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00"/>
        <w:spacing w:after="0"/>
        <w:rPr>
          <w:sz w:val="20"/>
          <w:szCs w:val="20"/>
          <w:color w:val="auto"/>
        </w:rPr>
      </w:pPr>
      <w:r>
        <w:rPr>
          <w:rFonts w:ascii="Arial" w:cs="Arial" w:eastAsia="Arial" w:hAnsi="Arial"/>
          <w:sz w:val="22"/>
          <w:szCs w:val="22"/>
          <w:color w:val="auto"/>
        </w:rPr>
        <w:t>SECURITIES AND EXCHANGE COMMISSION</w:t>
      </w:r>
    </w:p>
    <w:p>
      <w:pPr>
        <w:spacing w:after="0" w:line="206" w:lineRule="exact"/>
        <w:rPr>
          <w:sz w:val="24"/>
          <w:szCs w:val="24"/>
          <w:color w:val="auto"/>
        </w:rPr>
      </w:pPr>
    </w:p>
    <w:p>
      <w:pPr>
        <w:ind w:left="4640"/>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ind w:left="5180"/>
        <w:spacing w:after="0"/>
        <w:rPr>
          <w:sz w:val="20"/>
          <w:szCs w:val="20"/>
          <w:color w:val="auto"/>
        </w:rPr>
      </w:pPr>
      <w:r>
        <w:rPr>
          <w:rFonts w:ascii="Arial" w:cs="Arial" w:eastAsia="Arial" w:hAnsi="Arial"/>
          <w:sz w:val="22"/>
          <w:szCs w:val="22"/>
          <w:b w:val="1"/>
          <w:bCs w:val="1"/>
          <w:color w:val="auto"/>
        </w:rPr>
        <w:t>FORM 8-K</w:t>
      </w:r>
    </w:p>
    <w:p>
      <w:pPr>
        <w:spacing w:after="0" w:line="212" w:lineRule="exact"/>
        <w:rPr>
          <w:sz w:val="24"/>
          <w:szCs w:val="24"/>
          <w:color w:val="auto"/>
        </w:rPr>
      </w:pPr>
    </w:p>
    <w:p>
      <w:pPr>
        <w:ind w:left="3540"/>
        <w:spacing w:after="0"/>
        <w:rPr>
          <w:sz w:val="20"/>
          <w:szCs w:val="20"/>
          <w:color w:val="auto"/>
        </w:rPr>
      </w:pPr>
      <w:r>
        <w:rPr>
          <w:rFonts w:ascii="Arial" w:cs="Arial" w:eastAsia="Arial" w:hAnsi="Arial"/>
          <w:sz w:val="22"/>
          <w:szCs w:val="22"/>
          <w:color w:val="auto"/>
        </w:rPr>
        <w:t>Current Report Pursuant to Section 13 or 15(d) of</w:t>
      </w:r>
    </w:p>
    <w:p>
      <w:pPr>
        <w:spacing w:after="0" w:line="8" w:lineRule="exact"/>
        <w:rPr>
          <w:sz w:val="24"/>
          <w:szCs w:val="24"/>
          <w:color w:val="auto"/>
        </w:rPr>
      </w:pPr>
    </w:p>
    <w:p>
      <w:pPr>
        <w:ind w:left="4100"/>
        <w:spacing w:after="0"/>
        <w:rPr>
          <w:sz w:val="20"/>
          <w:szCs w:val="20"/>
          <w:color w:val="auto"/>
        </w:rPr>
      </w:pPr>
      <w:r>
        <w:rPr>
          <w:rFonts w:ascii="Arial" w:cs="Arial" w:eastAsia="Arial" w:hAnsi="Arial"/>
          <w:sz w:val="22"/>
          <w:szCs w:val="22"/>
          <w:color w:val="auto"/>
        </w:rPr>
        <w:t>The Securities Exchange Act of 1934</w:t>
      </w:r>
    </w:p>
    <w:p>
      <w:pPr>
        <w:spacing w:after="0" w:line="188" w:lineRule="exact"/>
        <w:rPr>
          <w:sz w:val="24"/>
          <w:szCs w:val="24"/>
          <w:color w:val="auto"/>
        </w:rPr>
      </w:pPr>
    </w:p>
    <w:p>
      <w:pPr>
        <w:ind w:left="2780"/>
        <w:spacing w:after="0"/>
        <w:rPr>
          <w:sz w:val="20"/>
          <w:szCs w:val="20"/>
          <w:color w:val="auto"/>
        </w:rPr>
      </w:pPr>
      <w:r>
        <w:rPr>
          <w:rFonts w:ascii="Arial" w:cs="Arial" w:eastAsia="Arial" w:hAnsi="Arial"/>
          <w:sz w:val="22"/>
          <w:szCs w:val="22"/>
          <w:color w:val="auto"/>
        </w:rPr>
        <w:t>Date of Report (Date of earliest event reported) September 21, 2004</w:t>
      </w:r>
    </w:p>
    <w:p>
      <w:pPr>
        <w:spacing w:after="0" w:line="206" w:lineRule="exact"/>
        <w:rPr>
          <w:sz w:val="24"/>
          <w:szCs w:val="24"/>
          <w:color w:val="auto"/>
        </w:rPr>
      </w:pPr>
    </w:p>
    <w:p>
      <w:pPr>
        <w:ind w:left="4400"/>
        <w:spacing w:after="0"/>
        <w:rPr>
          <w:sz w:val="20"/>
          <w:szCs w:val="20"/>
          <w:color w:val="auto"/>
        </w:rPr>
      </w:pPr>
      <w:r>
        <w:rPr>
          <w:rFonts w:ascii="Arial" w:cs="Arial" w:eastAsia="Arial" w:hAnsi="Arial"/>
          <w:sz w:val="22"/>
          <w:szCs w:val="22"/>
          <w:u w:val="single" w:color="auto"/>
          <w:color w:val="auto"/>
        </w:rPr>
        <w:t>COMCAST CORPORATION</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(Exact name of registrant as specified in its charter)</w:t>
      </w:r>
    </w:p>
    <w:p>
      <w:pPr>
        <w:spacing w:after="0" w:line="159" w:lineRule="exact"/>
        <w:rPr>
          <w:sz w:val="24"/>
          <w:szCs w:val="24"/>
          <w:color w:val="auto"/>
        </w:rPr>
      </w:pPr>
    </w:p>
    <w:tbl>
      <w:tblPr>
        <w:tblLayout w:type="fixed"/>
        <w:tblInd w:w="600" w:type="dxa"/>
        <w:tblCellMar>
          <w:top w:w="0" w:type="dxa"/>
          <w:left w:w="0" w:type="dxa"/>
          <w:bottom w:w="0" w:type="dxa"/>
          <w:right w:w="0" w:type="dxa"/>
        </w:tblCellMar>
      </w:tblPr>
      <w:tr>
        <w:trPr>
          <w:trHeight w:val="253"/>
        </w:trPr>
        <w:tc>
          <w:tcPr>
            <w:tcW w:w="560" w:type="dxa"/>
            <w:vAlign w:val="bottom"/>
          </w:tcPr>
          <w:p>
            <w:pPr>
              <w:spacing w:after="0"/>
              <w:rPr>
                <w:sz w:val="21"/>
                <w:szCs w:val="21"/>
                <w:color w:val="auto"/>
              </w:rPr>
            </w:pPr>
          </w:p>
        </w:tc>
        <w:tc>
          <w:tcPr>
            <w:tcW w:w="2860" w:type="dxa"/>
            <w:vAlign w:val="bottom"/>
            <w:gridSpan w:val="2"/>
          </w:tcPr>
          <w:p>
            <w:pPr>
              <w:jc w:val="center"/>
              <w:ind w:right="1720"/>
              <w:spacing w:after="0"/>
              <w:rPr>
                <w:sz w:val="20"/>
                <w:szCs w:val="20"/>
                <w:color w:val="auto"/>
              </w:rPr>
            </w:pPr>
            <w:r>
              <w:rPr>
                <w:rFonts w:ascii="Arial" w:cs="Arial" w:eastAsia="Arial" w:hAnsi="Arial"/>
                <w:sz w:val="22"/>
                <w:szCs w:val="22"/>
                <w:color w:val="auto"/>
                <w:w w:val="87"/>
              </w:rPr>
              <w:t>Pennsylvania</w:t>
            </w:r>
          </w:p>
        </w:tc>
        <w:tc>
          <w:tcPr>
            <w:tcW w:w="3620" w:type="dxa"/>
            <w:vAlign w:val="bottom"/>
            <w:gridSpan w:val="3"/>
          </w:tcPr>
          <w:p>
            <w:pPr>
              <w:jc w:val="center"/>
              <w:ind w:right="140"/>
              <w:spacing w:after="0"/>
              <w:rPr>
                <w:sz w:val="20"/>
                <w:szCs w:val="20"/>
                <w:color w:val="auto"/>
              </w:rPr>
            </w:pPr>
            <w:r>
              <w:rPr>
                <w:rFonts w:ascii="Arial" w:cs="Arial" w:eastAsia="Arial" w:hAnsi="Arial"/>
                <w:sz w:val="22"/>
                <w:szCs w:val="22"/>
                <w:color w:val="auto"/>
                <w:w w:val="87"/>
              </w:rPr>
              <w:t>000-50093</w:t>
            </w:r>
          </w:p>
        </w:tc>
        <w:tc>
          <w:tcPr>
            <w:tcW w:w="2900" w:type="dxa"/>
            <w:vAlign w:val="bottom"/>
            <w:gridSpan w:val="3"/>
          </w:tcPr>
          <w:p>
            <w:pPr>
              <w:jc w:val="center"/>
              <w:ind w:left="1192"/>
              <w:spacing w:after="0"/>
              <w:rPr>
                <w:sz w:val="20"/>
                <w:szCs w:val="20"/>
                <w:color w:val="auto"/>
              </w:rPr>
            </w:pPr>
            <w:r>
              <w:rPr>
                <w:rFonts w:ascii="Arial" w:cs="Arial" w:eastAsia="Arial" w:hAnsi="Arial"/>
                <w:sz w:val="22"/>
                <w:szCs w:val="22"/>
                <w:color w:val="auto"/>
                <w:w w:val="88"/>
              </w:rPr>
              <w:t>27-0000798</w:t>
            </w:r>
          </w:p>
        </w:tc>
      </w:tr>
      <w:tr>
        <w:trPr>
          <w:trHeight w:val="20"/>
        </w:trPr>
        <w:tc>
          <w:tcPr>
            <w:tcW w:w="5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42"/>
        </w:trPr>
        <w:tc>
          <w:tcPr>
            <w:tcW w:w="3420" w:type="dxa"/>
            <w:vAlign w:val="bottom"/>
            <w:gridSpan w:val="3"/>
          </w:tcPr>
          <w:p>
            <w:pPr>
              <w:jc w:val="center"/>
              <w:ind w:right="1160"/>
              <w:spacing w:after="0" w:line="242" w:lineRule="exact"/>
              <w:rPr>
                <w:sz w:val="20"/>
                <w:szCs w:val="20"/>
                <w:color w:val="auto"/>
              </w:rPr>
            </w:pPr>
            <w:r>
              <w:rPr>
                <w:rFonts w:ascii="Arial" w:cs="Arial" w:eastAsia="Arial" w:hAnsi="Arial"/>
                <w:sz w:val="22"/>
                <w:szCs w:val="22"/>
                <w:color w:val="auto"/>
                <w:w w:val="90"/>
              </w:rPr>
              <w:t>(State or other jurisdiction</w:t>
            </w:r>
          </w:p>
        </w:tc>
        <w:tc>
          <w:tcPr>
            <w:tcW w:w="3620" w:type="dxa"/>
            <w:vAlign w:val="bottom"/>
            <w:gridSpan w:val="3"/>
          </w:tcPr>
          <w:p>
            <w:pPr>
              <w:jc w:val="center"/>
              <w:ind w:right="140"/>
              <w:spacing w:after="0" w:line="242" w:lineRule="exact"/>
              <w:rPr>
                <w:sz w:val="20"/>
                <w:szCs w:val="20"/>
                <w:color w:val="auto"/>
              </w:rPr>
            </w:pPr>
            <w:r>
              <w:rPr>
                <w:rFonts w:ascii="Arial" w:cs="Arial" w:eastAsia="Arial" w:hAnsi="Arial"/>
                <w:sz w:val="22"/>
                <w:szCs w:val="22"/>
                <w:color w:val="auto"/>
                <w:w w:val="90"/>
              </w:rPr>
              <w:t>(Commission</w:t>
            </w:r>
          </w:p>
        </w:tc>
        <w:tc>
          <w:tcPr>
            <w:tcW w:w="2900" w:type="dxa"/>
            <w:vAlign w:val="bottom"/>
            <w:gridSpan w:val="3"/>
          </w:tcPr>
          <w:p>
            <w:pPr>
              <w:jc w:val="center"/>
              <w:ind w:left="1152"/>
              <w:spacing w:after="0" w:line="242" w:lineRule="exact"/>
              <w:rPr>
                <w:sz w:val="20"/>
                <w:szCs w:val="20"/>
                <w:color w:val="auto"/>
              </w:rPr>
            </w:pPr>
            <w:r>
              <w:rPr>
                <w:rFonts w:ascii="Arial" w:cs="Arial" w:eastAsia="Arial" w:hAnsi="Arial"/>
                <w:sz w:val="22"/>
                <w:szCs w:val="22"/>
                <w:color w:val="auto"/>
                <w:w w:val="92"/>
              </w:rPr>
              <w:t>(IRS Employer</w:t>
            </w:r>
          </w:p>
        </w:tc>
      </w:tr>
      <w:tr>
        <w:trPr>
          <w:trHeight w:val="275"/>
        </w:trPr>
        <w:tc>
          <w:tcPr>
            <w:tcW w:w="3420" w:type="dxa"/>
            <w:vAlign w:val="bottom"/>
            <w:gridSpan w:val="3"/>
          </w:tcPr>
          <w:p>
            <w:pPr>
              <w:jc w:val="center"/>
              <w:ind w:right="1160"/>
              <w:spacing w:after="0"/>
              <w:rPr>
                <w:sz w:val="20"/>
                <w:szCs w:val="20"/>
                <w:color w:val="auto"/>
              </w:rPr>
            </w:pPr>
            <w:r>
              <w:rPr>
                <w:rFonts w:ascii="Arial" w:cs="Arial" w:eastAsia="Arial" w:hAnsi="Arial"/>
                <w:sz w:val="22"/>
                <w:szCs w:val="22"/>
                <w:color w:val="auto"/>
                <w:w w:val="91"/>
              </w:rPr>
              <w:t>of incorporation)</w:t>
            </w:r>
          </w:p>
        </w:tc>
        <w:tc>
          <w:tcPr>
            <w:tcW w:w="3620" w:type="dxa"/>
            <w:vAlign w:val="bottom"/>
            <w:gridSpan w:val="3"/>
          </w:tcPr>
          <w:p>
            <w:pPr>
              <w:jc w:val="center"/>
              <w:ind w:right="140"/>
              <w:spacing w:after="0"/>
              <w:rPr>
                <w:sz w:val="20"/>
                <w:szCs w:val="20"/>
                <w:color w:val="auto"/>
              </w:rPr>
            </w:pPr>
            <w:r>
              <w:rPr>
                <w:rFonts w:ascii="Arial" w:cs="Arial" w:eastAsia="Arial" w:hAnsi="Arial"/>
                <w:sz w:val="22"/>
                <w:szCs w:val="22"/>
                <w:color w:val="auto"/>
                <w:w w:val="91"/>
              </w:rPr>
              <w:t>File Number)</w:t>
            </w:r>
          </w:p>
        </w:tc>
        <w:tc>
          <w:tcPr>
            <w:tcW w:w="2900" w:type="dxa"/>
            <w:vAlign w:val="bottom"/>
            <w:gridSpan w:val="3"/>
          </w:tcPr>
          <w:p>
            <w:pPr>
              <w:jc w:val="center"/>
              <w:ind w:left="1192"/>
              <w:spacing w:after="0"/>
              <w:rPr>
                <w:sz w:val="20"/>
                <w:szCs w:val="20"/>
                <w:color w:val="auto"/>
              </w:rPr>
            </w:pPr>
            <w:r>
              <w:rPr>
                <w:rFonts w:ascii="Arial" w:cs="Arial" w:eastAsia="Arial" w:hAnsi="Arial"/>
                <w:sz w:val="22"/>
                <w:szCs w:val="22"/>
                <w:color w:val="auto"/>
                <w:w w:val="93"/>
              </w:rPr>
              <w:t>Identification No.)</w:t>
            </w:r>
          </w:p>
        </w:tc>
      </w:tr>
    </w:tbl>
    <w:p>
      <w:pPr>
        <w:spacing w:after="0" w:line="200" w:lineRule="exact"/>
        <w:rPr>
          <w:sz w:val="24"/>
          <w:szCs w:val="24"/>
          <w:color w:val="auto"/>
        </w:rPr>
      </w:pPr>
    </w:p>
    <w:p>
      <w:pPr>
        <w:spacing w:after="0" w:line="255" w:lineRule="exact"/>
        <w:rPr>
          <w:sz w:val="24"/>
          <w:szCs w:val="24"/>
          <w:color w:val="auto"/>
        </w:rPr>
      </w:pPr>
    </w:p>
    <w:p>
      <w:pPr>
        <w:ind w:left="1800"/>
        <w:spacing w:after="0"/>
        <w:rPr>
          <w:sz w:val="20"/>
          <w:szCs w:val="20"/>
          <w:color w:val="auto"/>
        </w:rPr>
      </w:pPr>
      <w:r>
        <w:rPr>
          <w:rFonts w:ascii="Arial" w:cs="Arial" w:eastAsia="Arial" w:hAnsi="Arial"/>
          <w:sz w:val="22"/>
          <w:szCs w:val="22"/>
          <w:u w:val="single" w:color="auto"/>
          <w:color w:val="auto"/>
        </w:rPr>
        <w:t>1500 Market Street, Philadelphia, PA</w:t>
      </w:r>
    </w:p>
    <w:p>
      <w:pPr>
        <w:spacing w:after="0" w:line="8" w:lineRule="exact"/>
        <w:rPr>
          <w:sz w:val="24"/>
          <w:szCs w:val="24"/>
          <w:color w:val="auto"/>
        </w:rPr>
      </w:pPr>
    </w:p>
    <w:p>
      <w:pPr>
        <w:jc w:val="right"/>
        <w:ind w:left="1720" w:right="1640"/>
        <w:spacing w:after="0" w:line="237" w:lineRule="auto"/>
        <w:rPr>
          <w:sz w:val="20"/>
          <w:szCs w:val="20"/>
          <w:color w:val="auto"/>
        </w:rPr>
      </w:pPr>
      <w:r>
        <w:rPr>
          <w:rFonts w:ascii="Arial" w:cs="Arial" w:eastAsia="Arial" w:hAnsi="Arial"/>
          <w:sz w:val="22"/>
          <w:szCs w:val="22"/>
          <w:color w:val="auto"/>
        </w:rPr>
        <w:t xml:space="preserve">(Address of principal executive offices)                                </w:t>
      </w:r>
      <w:r>
        <w:rPr>
          <w:rFonts w:ascii="Arial" w:cs="Arial" w:eastAsia="Arial" w:hAnsi="Arial"/>
          <w:sz w:val="22"/>
          <w:szCs w:val="22"/>
          <w:u w:val="single" w:color="auto"/>
          <w:color w:val="auto"/>
        </w:rPr>
        <w:t>19102-2148</w:t>
      </w:r>
      <w:r>
        <w:rPr>
          <w:rFonts w:ascii="Arial" w:cs="Arial" w:eastAsia="Arial" w:hAnsi="Arial"/>
          <w:sz w:val="22"/>
          <w:szCs w:val="22"/>
          <w:color w:val="auto"/>
        </w:rPr>
        <w:t xml:space="preserve"> (Zip Code)</w:t>
      </w:r>
    </w:p>
    <w:p>
      <w:pPr>
        <w:spacing w:after="0" w:line="185" w:lineRule="exact"/>
        <w:rPr>
          <w:sz w:val="24"/>
          <w:szCs w:val="24"/>
          <w:color w:val="auto"/>
        </w:rPr>
      </w:pPr>
    </w:p>
    <w:p>
      <w:pPr>
        <w:ind w:left="2800"/>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u w:val="single" w:color="auto"/>
          <w:color w:val="auto"/>
        </w:rPr>
        <w:t>(215) 665-1700</w:t>
      </w:r>
    </w:p>
    <w:p>
      <w:pPr>
        <w:spacing w:after="0" w:line="206" w:lineRule="exact"/>
        <w:rPr>
          <w:sz w:val="24"/>
          <w:szCs w:val="24"/>
          <w:color w:val="auto"/>
        </w:rPr>
      </w:pPr>
    </w:p>
    <w:p>
      <w:pPr>
        <w:ind w:left="5520"/>
        <w:spacing w:after="0"/>
        <w:rPr>
          <w:sz w:val="20"/>
          <w:szCs w:val="20"/>
          <w:color w:val="auto"/>
        </w:rPr>
      </w:pPr>
      <w:r>
        <w:rPr>
          <w:rFonts w:ascii="Arial" w:cs="Arial" w:eastAsia="Arial" w:hAnsi="Arial"/>
          <w:sz w:val="22"/>
          <w:szCs w:val="22"/>
          <w:u w:val="single" w:color="auto"/>
          <w:color w:val="auto"/>
        </w:rPr>
        <w:t>N/A</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188" w:lineRule="exact"/>
        <w:rPr>
          <w:sz w:val="24"/>
          <w:szCs w:val="24"/>
          <w:color w:val="auto"/>
        </w:rPr>
      </w:pPr>
    </w:p>
    <w:p>
      <w:pPr>
        <w:ind w:right="10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3" w:lineRule="exact"/>
        <w:rPr>
          <w:sz w:val="24"/>
          <w:szCs w:val="24"/>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Written communications pursuant to Rule 425 under the Securities Act (17 CFR 230.425)</w:t>
      </w:r>
    </w:p>
    <w:p>
      <w:pPr>
        <w:spacing w:after="0" w:line="8" w:lineRule="exact"/>
        <w:rPr>
          <w:rFonts w:ascii="Arial" w:cs="Arial" w:eastAsia="Arial" w:hAnsi="Arial"/>
          <w:sz w:val="22"/>
          <w:szCs w:val="22"/>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Soliciting material pursuant to Rule 14a-12 under the Exchange Act (17 CFR 240.14a-12)</w:t>
      </w: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Pre-commencement communications pursuant to Rule 14d-2(b) under the Exchange Act (17 CFR 240.14d-2(b))</w:t>
      </w: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ITEM 1.01. </w:t>
      </w:r>
      <w:r>
        <w:rPr>
          <w:rFonts w:ascii="Arial" w:cs="Arial" w:eastAsia="Arial" w:hAnsi="Arial"/>
          <w:sz w:val="22"/>
          <w:szCs w:val="22"/>
          <w:u w:val="single" w:color="auto"/>
          <w:color w:val="auto"/>
        </w:rPr>
        <w:t>ENTRY INTO A MATERIAL DEFINITIVE AGREEMENT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The Company hereby files the following forms of document which will be used to evidence a stock option or restricted stock grant made to a director or named executive officer under the specified Company plan. These forms of document are attached hereto pursuant to paragraph (c) of Item 9.01 of Form 8-K as Exhibits 10.1 through 10.7.</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Directors:</w:t>
      </w:r>
    </w:p>
    <w:p>
      <w:pPr>
        <w:spacing w:after="0" w:line="206" w:lineRule="exact"/>
        <w:rPr>
          <w:sz w:val="24"/>
          <w:szCs w:val="24"/>
          <w:color w:val="auto"/>
        </w:rPr>
      </w:pPr>
    </w:p>
    <w:p>
      <w:pPr>
        <w:ind w:left="440"/>
        <w:spacing w:after="0"/>
        <w:rPr>
          <w:sz w:val="20"/>
          <w:szCs w:val="20"/>
          <w:color w:val="auto"/>
        </w:rPr>
      </w:pPr>
      <w:r>
        <w:rPr>
          <w:rFonts w:ascii="Arial" w:cs="Arial" w:eastAsia="Arial" w:hAnsi="Arial"/>
          <w:sz w:val="22"/>
          <w:szCs w:val="22"/>
          <w:color w:val="auto"/>
        </w:rPr>
        <w:t>Grant Document under 2002 Stock Option Plan.</w:t>
      </w:r>
    </w:p>
    <w:p>
      <w:pPr>
        <w:spacing w:after="0" w:line="206" w:lineRule="exact"/>
        <w:rPr>
          <w:sz w:val="24"/>
          <w:szCs w:val="24"/>
          <w:color w:val="auto"/>
        </w:rPr>
      </w:pPr>
    </w:p>
    <w:p>
      <w:pPr>
        <w:ind w:left="1040" w:hanging="505"/>
        <w:spacing w:after="0"/>
        <w:tabs>
          <w:tab w:leader="none" w:pos="1040"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Non-Qualified Stock Option.</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22"/>
          <w:szCs w:val="22"/>
          <w:color w:val="auto"/>
        </w:rPr>
        <w:t>Named Executive Officers:</w:t>
      </w:r>
    </w:p>
    <w:p>
      <w:pPr>
        <w:spacing w:after="0" w:line="206" w:lineRule="exact"/>
        <w:rPr>
          <w:sz w:val="24"/>
          <w:szCs w:val="24"/>
          <w:color w:val="auto"/>
        </w:rPr>
      </w:pPr>
    </w:p>
    <w:p>
      <w:pPr>
        <w:ind w:left="440"/>
        <w:spacing w:after="0"/>
        <w:rPr>
          <w:sz w:val="20"/>
          <w:szCs w:val="20"/>
          <w:color w:val="auto"/>
        </w:rPr>
      </w:pPr>
      <w:r>
        <w:rPr>
          <w:rFonts w:ascii="Arial" w:cs="Arial" w:eastAsia="Arial" w:hAnsi="Arial"/>
          <w:sz w:val="22"/>
          <w:szCs w:val="22"/>
          <w:color w:val="auto"/>
        </w:rPr>
        <w:t>Grant Documents under 2002 Restricted Stock Plan.</w:t>
      </w:r>
    </w:p>
    <w:p>
      <w:pPr>
        <w:spacing w:after="0" w:line="206" w:lineRule="exact"/>
        <w:rPr>
          <w:sz w:val="24"/>
          <w:szCs w:val="24"/>
          <w:color w:val="auto"/>
        </w:rPr>
      </w:pPr>
    </w:p>
    <w:p>
      <w:pPr>
        <w:ind w:left="1040" w:hanging="505"/>
        <w:spacing w:after="0"/>
        <w:tabs>
          <w:tab w:leader="none" w:pos="104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Restricted Stock Award.</w:t>
      </w:r>
    </w:p>
    <w:p>
      <w:pPr>
        <w:spacing w:after="0" w:line="233" w:lineRule="exact"/>
        <w:rPr>
          <w:rFonts w:ascii="Arial" w:cs="Arial" w:eastAsia="Arial" w:hAnsi="Arial"/>
          <w:sz w:val="22"/>
          <w:szCs w:val="22"/>
          <w:color w:val="auto"/>
        </w:rPr>
      </w:pPr>
    </w:p>
    <w:p>
      <w:pPr>
        <w:ind w:left="1040" w:hanging="505"/>
        <w:spacing w:after="0"/>
        <w:tabs>
          <w:tab w:leader="none" w:pos="104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Restricted Stock Unit Award.</w:t>
      </w:r>
    </w:p>
    <w:p>
      <w:pPr>
        <w:spacing w:after="0" w:line="200" w:lineRule="exact"/>
        <w:rPr>
          <w:sz w:val="24"/>
          <w:szCs w:val="24"/>
          <w:color w:val="auto"/>
        </w:rPr>
      </w:pPr>
    </w:p>
    <w:p>
      <w:pPr>
        <w:spacing w:after="0" w:line="249" w:lineRule="exact"/>
        <w:rPr>
          <w:sz w:val="24"/>
          <w:szCs w:val="24"/>
          <w:color w:val="auto"/>
        </w:rPr>
      </w:pPr>
    </w:p>
    <w:p>
      <w:pPr>
        <w:ind w:left="440"/>
        <w:spacing w:after="0"/>
        <w:rPr>
          <w:sz w:val="20"/>
          <w:szCs w:val="20"/>
          <w:color w:val="auto"/>
        </w:rPr>
      </w:pPr>
      <w:r>
        <w:rPr>
          <w:rFonts w:ascii="Arial" w:cs="Arial" w:eastAsia="Arial" w:hAnsi="Arial"/>
          <w:sz w:val="22"/>
          <w:szCs w:val="22"/>
          <w:color w:val="auto"/>
        </w:rPr>
        <w:t>Grant Documents under 2002 Stock Option Plan.</w:t>
      </w:r>
    </w:p>
    <w:p>
      <w:pPr>
        <w:spacing w:after="0" w:line="206" w:lineRule="exact"/>
        <w:rPr>
          <w:sz w:val="24"/>
          <w:szCs w:val="24"/>
          <w:color w:val="auto"/>
        </w:rPr>
      </w:pPr>
    </w:p>
    <w:p>
      <w:pPr>
        <w:ind w:left="1040" w:hanging="505"/>
        <w:spacing w:after="0"/>
        <w:tabs>
          <w:tab w:leader="none" w:pos="1040" w:val="left"/>
        </w:tabs>
        <w:numPr>
          <w:ilvl w:val="0"/>
          <w:numId w:val="4"/>
        </w:numPr>
        <w:rPr>
          <w:rFonts w:ascii="Arial" w:cs="Arial" w:eastAsia="Arial" w:hAnsi="Arial"/>
          <w:sz w:val="22"/>
          <w:szCs w:val="22"/>
          <w:color w:val="auto"/>
        </w:rPr>
      </w:pPr>
      <w:r>
        <w:rPr>
          <w:rFonts w:ascii="Arial" w:cs="Arial" w:eastAsia="Arial" w:hAnsi="Arial"/>
          <w:sz w:val="22"/>
          <w:szCs w:val="22"/>
          <w:color w:val="auto"/>
        </w:rPr>
        <w:t>Non-Qualified Option (nine year and six month vesting).</w:t>
      </w:r>
    </w:p>
    <w:p>
      <w:pPr>
        <w:spacing w:after="0" w:line="233" w:lineRule="exact"/>
        <w:rPr>
          <w:rFonts w:ascii="Arial" w:cs="Arial" w:eastAsia="Arial" w:hAnsi="Arial"/>
          <w:sz w:val="22"/>
          <w:szCs w:val="22"/>
          <w:color w:val="auto"/>
        </w:rPr>
      </w:pPr>
    </w:p>
    <w:p>
      <w:pPr>
        <w:ind w:left="1040" w:hanging="505"/>
        <w:spacing w:after="0"/>
        <w:tabs>
          <w:tab w:leader="none" w:pos="1040" w:val="left"/>
        </w:tabs>
        <w:numPr>
          <w:ilvl w:val="0"/>
          <w:numId w:val="4"/>
        </w:numPr>
        <w:rPr>
          <w:rFonts w:ascii="Arial" w:cs="Arial" w:eastAsia="Arial" w:hAnsi="Arial"/>
          <w:sz w:val="22"/>
          <w:szCs w:val="22"/>
          <w:color w:val="auto"/>
        </w:rPr>
      </w:pPr>
      <w:r>
        <w:rPr>
          <w:rFonts w:ascii="Arial" w:cs="Arial" w:eastAsia="Arial" w:hAnsi="Arial"/>
          <w:sz w:val="22"/>
          <w:szCs w:val="22"/>
          <w:color w:val="auto"/>
        </w:rPr>
        <w:t>Non-Qualified Option (five year vesting).</w:t>
      </w:r>
    </w:p>
    <w:p>
      <w:pPr>
        <w:sectPr>
          <w:pgSz w:w="11900" w:h="16838" w:orient="portrait"/>
          <w:cols w:equalWidth="0" w:num="1">
            <w:col w:w="11300"/>
          </w:cols>
          <w:pgMar w:left="240" w:top="226" w:right="359" w:bottom="0" w:gutter="0" w:footer="0" w:header="0"/>
        </w:sectPr>
      </w:pPr>
    </w:p>
    <w:p>
      <w:pPr>
        <w:spacing w:after="0" w:line="200" w:lineRule="exact"/>
        <w:rPr>
          <w:sz w:val="24"/>
          <w:szCs w:val="24"/>
          <w:color w:val="auto"/>
        </w:rPr>
      </w:pPr>
    </w:p>
    <w:p>
      <w:pPr>
        <w:spacing w:after="0" w:line="249" w:lineRule="exact"/>
        <w:rPr>
          <w:sz w:val="24"/>
          <w:szCs w:val="24"/>
          <w:color w:val="auto"/>
        </w:rPr>
      </w:pPr>
    </w:p>
    <w:p>
      <w:pPr>
        <w:ind w:left="440"/>
        <w:spacing w:after="0"/>
        <w:rPr>
          <w:sz w:val="20"/>
          <w:szCs w:val="20"/>
          <w:color w:val="auto"/>
        </w:rPr>
      </w:pPr>
      <w:r>
        <w:rPr>
          <w:rFonts w:ascii="Arial" w:cs="Arial" w:eastAsia="Arial" w:hAnsi="Arial"/>
          <w:sz w:val="19"/>
          <w:szCs w:val="19"/>
          <w:color w:val="auto"/>
        </w:rPr>
        <w:t>Grant Documents under 2003 Stock Option Plan.</w:t>
      </w:r>
    </w:p>
    <w:p>
      <w:pPr>
        <w:sectPr>
          <w:pgSz w:w="11900" w:h="16838" w:orient="portrait"/>
          <w:cols w:equalWidth="0" w:num="1">
            <w:col w:w="11300"/>
          </w:cols>
          <w:pgMar w:left="240" w:top="226" w:right="359" w:bottom="0" w:gutter="0" w:footer="0" w:header="0"/>
          <w:type w:val="continuous"/>
        </w:sectPr>
      </w:pPr>
    </w:p>
    <w:bookmarkStart w:id="1" w:name="page2"/>
    <w:bookmarkEnd w:id="1"/>
    <w:p>
      <w:pPr>
        <w:ind w:left="1040" w:hanging="505"/>
        <w:spacing w:after="0"/>
        <w:tabs>
          <w:tab w:leader="none" w:pos="10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Non-Qualified Option (nine year and six month vesting).</w:t>
      </w:r>
    </w:p>
    <w:p>
      <w:pPr>
        <w:spacing w:after="0" w:line="233" w:lineRule="exact"/>
        <w:rPr>
          <w:rFonts w:ascii="Arial" w:cs="Arial" w:eastAsia="Arial" w:hAnsi="Arial"/>
          <w:sz w:val="22"/>
          <w:szCs w:val="22"/>
          <w:color w:val="auto"/>
        </w:rPr>
      </w:pPr>
    </w:p>
    <w:p>
      <w:pPr>
        <w:ind w:left="1040" w:hanging="505"/>
        <w:spacing w:after="0"/>
        <w:tabs>
          <w:tab w:leader="none" w:pos="10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Non-Qualified Option (five year vesting).</w:t>
      </w:r>
    </w:p>
    <w:p>
      <w:pPr>
        <w:spacing w:after="0" w:line="200" w:lineRule="exact"/>
        <w:rPr>
          <w:sz w:val="20"/>
          <w:szCs w:val="20"/>
          <w:color w:val="auto"/>
        </w:rPr>
      </w:pPr>
    </w:p>
    <w:p>
      <w:pPr>
        <w:spacing w:after="0" w:line="249"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These forms of grant document contain all of the material terms and conditions of any stock option or restricted stock grant, other than the date of grant, the number of shares or units subject to the grant and (in the case of a stock option grant) the exercise price per share. Under current Company policy, a stock option granted to a named executive officer will contain the following vesting terms: as to an option with respect to 50,000 or fewer shares, five year vesting; and as to an option with respect to more than 50,000 shares, five year vesting as to one-half of the number of shares and nine year and six month vesting as to one-half the number of shares.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8.01. </w:t>
      </w:r>
      <w:r>
        <w:rPr>
          <w:rFonts w:ascii="Arial" w:cs="Arial" w:eastAsia="Arial" w:hAnsi="Arial"/>
          <w:sz w:val="22"/>
          <w:szCs w:val="22"/>
          <w:u w:val="single" w:color="auto"/>
          <w:color w:val="auto"/>
        </w:rPr>
        <w:t>OTHER EVENTS</w:t>
      </w:r>
    </w:p>
    <w:p>
      <w:pPr>
        <w:spacing w:after="0" w:line="206" w:lineRule="exact"/>
        <w:rPr>
          <w:sz w:val="20"/>
          <w:szCs w:val="20"/>
          <w:color w:val="auto"/>
        </w:rPr>
      </w:pPr>
    </w:p>
    <w:p>
      <w:pPr>
        <w:ind w:right="80" w:firstLine="432"/>
        <w:spacing w:after="0" w:line="234" w:lineRule="auto"/>
        <w:rPr>
          <w:sz w:val="20"/>
          <w:szCs w:val="20"/>
          <w:color w:val="auto"/>
        </w:rPr>
      </w:pPr>
      <w:r>
        <w:rPr>
          <w:rFonts w:ascii="Arial" w:cs="Arial" w:eastAsia="Arial" w:hAnsi="Arial"/>
          <w:sz w:val="22"/>
          <w:szCs w:val="22"/>
          <w:color w:val="auto"/>
        </w:rPr>
        <w:t>Exhibit 99.1 to this Current Report on Form 8-K gives effect to presenting our content operations as a reportable segment in Note 14 to our Consolidated Financial Statements for the Years Ended December 31, 2003, 2002 and 2001. Beginning in the first quarter of 2004, although they do not meet the quantitative disclosure requirements of SFAS No. 131, “Disclosures About Segments of an Enterprise and Related Information,” we elected to separately disclose our content businesses as a reportable segment. These revised consolidated financial statements present all periods on a basis comparable to our 2004 segment reporting. Our content segment consists of our national networks E! Entertainment, Style Network, The Golf Channel, Outdoor Life Network and G4techTV (formerly G4).</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ITEM 9.01. </w:t>
      </w:r>
      <w:r>
        <w:rPr>
          <w:rFonts w:ascii="Arial" w:cs="Arial" w:eastAsia="Arial" w:hAnsi="Arial"/>
          <w:sz w:val="22"/>
          <w:szCs w:val="22"/>
          <w:u w:val="single" w:color="auto"/>
          <w:color w:val="auto"/>
        </w:rPr>
        <w:t>FINANCIAL STATEMENTS AND EXHIBITS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 FINANCIAL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Pursuant to paragraph (b) (1) of Item 7 of Form 8-K, Comcast is furnishing financial information in Exhibit 99.1.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 EXHIBITS</w:t>
      </w:r>
    </w:p>
    <w:p>
      <w:pPr>
        <w:spacing w:after="0" w:line="206"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Comcast Corporation Directors’ Non-Qualified Stock Option Grant Document under the 2002 Stock Option Plan.</w:t>
      </w:r>
    </w:p>
    <w:p>
      <w:pPr>
        <w:spacing w:after="0" w:line="233" w:lineRule="exact"/>
        <w:rPr>
          <w:sz w:val="20"/>
          <w:szCs w:val="20"/>
          <w:color w:val="auto"/>
        </w:rPr>
      </w:pPr>
    </w:p>
    <w:p>
      <w:pPr>
        <w:ind w:left="720" w:hanging="701"/>
        <w:spacing w:after="0" w:line="251" w:lineRule="auto"/>
        <w:tabs>
          <w:tab w:leader="none" w:pos="70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2"/>
          <w:szCs w:val="22"/>
          <w:color w:val="auto"/>
        </w:rPr>
        <w:t>Comcast Corporation Named Executive Officers’ Restricted Stock Award Grant Document under the 2002 Restricted Stock Plan.</w:t>
      </w:r>
    </w:p>
    <w:p>
      <w:pPr>
        <w:spacing w:after="0" w:line="200" w:lineRule="exact"/>
        <w:rPr>
          <w:sz w:val="20"/>
          <w:szCs w:val="20"/>
          <w:color w:val="auto"/>
        </w:rPr>
      </w:pPr>
    </w:p>
    <w:p>
      <w:pPr>
        <w:ind w:left="720" w:right="120" w:hanging="701"/>
        <w:spacing w:after="0" w:line="251" w:lineRule="auto"/>
        <w:tabs>
          <w:tab w:leader="none" w:pos="70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22"/>
          <w:szCs w:val="22"/>
          <w:color w:val="auto"/>
        </w:rPr>
        <w:t>Comcast Corporation Named Executive Officers’ Restricted Stock Unit Award Grant Document under the 2002 Restricted Stock Plan.</w:t>
      </w:r>
    </w:p>
    <w:p>
      <w:pPr>
        <w:spacing w:after="0" w:line="200" w:lineRule="exact"/>
        <w:rPr>
          <w:sz w:val="20"/>
          <w:szCs w:val="20"/>
          <w:color w:val="auto"/>
        </w:rPr>
      </w:pPr>
    </w:p>
    <w:p>
      <w:pPr>
        <w:ind w:left="720" w:right="520" w:hanging="701"/>
        <w:spacing w:after="0" w:line="251" w:lineRule="auto"/>
        <w:tabs>
          <w:tab w:leader="none" w:pos="70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22"/>
          <w:szCs w:val="22"/>
          <w:color w:val="auto"/>
        </w:rPr>
        <w:t>Comcast Corporation Named Executive Officers’ Non-Qualified Option (with nine year and six month vesting) Grant Document under the 2002 Stock Option Plan.</w:t>
      </w:r>
    </w:p>
    <w:p>
      <w:pPr>
        <w:spacing w:after="0" w:line="20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color w:val="auto"/>
        </w:rPr>
        <w:t>Comcast Corporation Named Executive Officers’ Non-Qualified Option (with five year vesting) Grant Document under the</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22"/>
          <w:szCs w:val="22"/>
          <w:color w:val="auto"/>
        </w:rPr>
        <w:t>2002 Stock Option Plan.</w:t>
      </w:r>
    </w:p>
    <w:p>
      <w:pPr>
        <w:spacing w:after="0" w:line="215" w:lineRule="exact"/>
        <w:rPr>
          <w:sz w:val="20"/>
          <w:szCs w:val="20"/>
          <w:color w:val="auto"/>
        </w:rPr>
      </w:pPr>
    </w:p>
    <w:p>
      <w:pPr>
        <w:ind w:left="720" w:right="520" w:hanging="701"/>
        <w:spacing w:after="0" w:line="251" w:lineRule="auto"/>
        <w:tabs>
          <w:tab w:leader="none" w:pos="70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22"/>
          <w:szCs w:val="22"/>
          <w:color w:val="auto"/>
        </w:rPr>
        <w:t>Comcast Corporation Named Executive Officers’ Non-Qualified Option (with nine year and six month vesting) Grant Document under the 2003 Stock Option Plan.</w:t>
      </w:r>
    </w:p>
    <w:p>
      <w:pPr>
        <w:spacing w:after="0" w:line="20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19"/>
          <w:szCs w:val="19"/>
          <w:color w:val="auto"/>
        </w:rPr>
        <w:t>Comcast Corporation Named Executive Officers’ Non-Qualified Option (with five year vesting) Grant Document under the</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22"/>
          <w:szCs w:val="22"/>
          <w:color w:val="auto"/>
        </w:rPr>
        <w:t>2003 Stock Option Plan.</w:t>
      </w:r>
    </w:p>
    <w:p>
      <w:pPr>
        <w:spacing w:after="0" w:line="215"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Comcast Corporation consolidated financial statements for the years ended December 31, 2003, 2002 and 2001.</w:t>
      </w:r>
    </w:p>
    <w:p>
      <w:pPr>
        <w:spacing w:after="0" w:line="233"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99.2</w:t>
      </w:r>
      <w:r>
        <w:rPr>
          <w:sz w:val="20"/>
          <w:szCs w:val="20"/>
          <w:color w:val="auto"/>
        </w:rPr>
        <w:tab/>
      </w:r>
      <w:r>
        <w:rPr>
          <w:rFonts w:ascii="Arial" w:cs="Arial" w:eastAsia="Arial" w:hAnsi="Arial"/>
          <w:sz w:val="19"/>
          <w:szCs w:val="19"/>
          <w:color w:val="auto"/>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SIGNATURES</w:t>
      </w:r>
    </w:p>
    <w:p>
      <w:pPr>
        <w:spacing w:after="0" w:line="206" w:lineRule="exact"/>
        <w:rPr>
          <w:sz w:val="20"/>
          <w:szCs w:val="20"/>
          <w:color w:val="auto"/>
        </w:rPr>
      </w:pPr>
    </w:p>
    <w:p>
      <w:pPr>
        <w:ind w:firstLine="432"/>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spacing w:after="0"/>
        <w:tabs>
          <w:tab w:leader="none" w:pos="5480" w:val="left"/>
        </w:tabs>
        <w:rPr>
          <w:sz w:val="20"/>
          <w:szCs w:val="20"/>
          <w:color w:val="auto"/>
        </w:rPr>
      </w:pPr>
      <w:r>
        <w:rPr>
          <w:rFonts w:ascii="Arial" w:cs="Arial" w:eastAsia="Arial" w:hAnsi="Arial"/>
          <w:sz w:val="22"/>
          <w:szCs w:val="22"/>
          <w:color w:val="auto"/>
        </w:rPr>
        <w:t>Dated: September 21, 2004</w:t>
      </w:r>
      <w:r>
        <w:rPr>
          <w:sz w:val="20"/>
          <w:szCs w:val="20"/>
          <w:color w:val="auto"/>
        </w:rPr>
        <w:tab/>
      </w:r>
      <w:r>
        <w:rPr>
          <w:rFonts w:ascii="Arial" w:cs="Arial" w:eastAsia="Arial" w:hAnsi="Arial"/>
          <w:sz w:val="19"/>
          <w:szCs w:val="19"/>
          <w:color w:val="auto"/>
        </w:rPr>
        <w:t>COMCAST CORPORATION</w:t>
      </w:r>
    </w:p>
    <w:p>
      <w:pPr>
        <w:spacing w:after="0" w:line="233"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76200</wp:posOffset>
            </wp:positionV>
            <wp:extent cx="29159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Lawrence J. Salva</w:t>
      </w:r>
    </w:p>
    <w:p>
      <w:pPr>
        <w:ind w:left="5500"/>
        <w:spacing w:after="0" w:line="238" w:lineRule="auto"/>
        <w:rPr>
          <w:sz w:val="20"/>
          <w:szCs w:val="20"/>
          <w:color w:val="auto"/>
        </w:rPr>
      </w:pPr>
      <w:r>
        <w:rPr>
          <w:rFonts w:ascii="Arial" w:cs="Arial" w:eastAsia="Arial" w:hAnsi="Arial"/>
          <w:sz w:val="22"/>
          <w:szCs w:val="22"/>
          <w:color w:val="auto"/>
        </w:rPr>
        <w:t>Senior Vice President, Chief Accounting Officer</w:t>
      </w:r>
    </w:p>
    <w:p>
      <w:pPr>
        <w:ind w:left="5500"/>
        <w:spacing w:after="0"/>
        <w:rPr>
          <w:sz w:val="20"/>
          <w:szCs w:val="20"/>
          <w:color w:val="auto"/>
        </w:rPr>
      </w:pPr>
      <w:r>
        <w:rPr>
          <w:rFonts w:ascii="Arial" w:cs="Arial" w:eastAsia="Arial" w:hAnsi="Arial"/>
          <w:sz w:val="22"/>
          <w:szCs w:val="22"/>
          <w:color w:val="auto"/>
        </w:rPr>
        <w:t>and Controller (Principal Accounting Officer)</w:t>
      </w:r>
    </w:p>
    <w:p>
      <w:pPr>
        <w:sectPr>
          <w:pgSz w:w="11900" w:h="16838" w:orient="portrait"/>
          <w:cols w:equalWidth="0" w:num="1">
            <w:col w:w="11420"/>
          </w:cols>
          <w:pgMar w:left="240" w:top="118" w:right="239" w:bottom="29" w:gutter="0" w:footer="0" w:header="0"/>
        </w:sectPr>
      </w:pPr>
    </w:p>
    <w:bookmarkStart w:id="2" w:name="page3"/>
    <w:bookmarkEnd w:id="2"/>
    <w:p>
      <w:pPr>
        <w:ind w:left="328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NON-QUALIFIED Option</w:t>
      </w:r>
    </w:p>
    <w:p>
      <w:pPr>
        <w:spacing w:after="0" w:line="207" w:lineRule="exact"/>
        <w:rPr>
          <w:sz w:val="20"/>
          <w:szCs w:val="20"/>
          <w:color w:val="auto"/>
        </w:rPr>
      </w:pPr>
    </w:p>
    <w:p>
      <w:pPr>
        <w:ind w:right="1999" w:firstLine="1896"/>
        <w:spacing w:after="0" w:line="290" w:lineRule="auto"/>
        <w:rPr>
          <w:sz w:val="20"/>
          <w:szCs w:val="20"/>
          <w:color w:val="auto"/>
        </w:rPr>
      </w:pPr>
      <w:r>
        <w:rPr>
          <w:rFonts w:ascii="Courier New" w:cs="Courier New" w:eastAsia="Courier New" w:hAnsi="Courier New"/>
          <w:sz w:val="16"/>
          <w:szCs w:val="16"/>
          <w:color w:val="auto"/>
        </w:rPr>
        <w:t>This is a Non-Qualified Stock Option Award dated [Date] ("Award") from Comcast Corporation (the "Sponsor") to [Name] (the "Optionee").</w:t>
      </w:r>
    </w:p>
    <w:p>
      <w:pPr>
        <w:spacing w:after="0" w:line="164" w:lineRule="exact"/>
        <w:rPr>
          <w:sz w:val="20"/>
          <w:szCs w:val="20"/>
          <w:color w:val="auto"/>
        </w:rPr>
      </w:pPr>
    </w:p>
    <w:p>
      <w:pPr>
        <w:ind w:left="1280" w:hanging="324"/>
        <w:spacing w:after="0"/>
        <w:tabs>
          <w:tab w:leader="none" w:pos="12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herein:</w:t>
      </w:r>
    </w:p>
    <w:p>
      <w:pPr>
        <w:spacing w:after="0" w:line="206"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means, with respect to any Person, any other Person which,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212" w:lineRule="exact"/>
        <w:rPr>
          <w:rFonts w:ascii="Courier New" w:cs="Courier New" w:eastAsia="Courier New" w:hAnsi="Courier New"/>
          <w:sz w:val="18"/>
          <w:szCs w:val="18"/>
          <w:color w:val="auto"/>
        </w:rPr>
      </w:pPr>
    </w:p>
    <w:p>
      <w:pPr>
        <w:ind w:right="2099" w:firstLine="1904"/>
        <w:spacing w:after="0" w:line="236" w:lineRule="auto"/>
        <w:tabs>
          <w:tab w:leader="none" w:pos="2318"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Transaction" means the acquisition of Comcast Cable Communications Holdings, Inc. (formerly known as AT&amp;T Broadband Corp.) by the Company.</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Sponsor.</w:t>
      </w:r>
    </w:p>
    <w:p>
      <w:pPr>
        <w:spacing w:after="0" w:line="206" w:lineRule="exact"/>
        <w:rPr>
          <w:rFonts w:ascii="Courier New" w:cs="Courier New" w:eastAsia="Courier New" w:hAnsi="Courier New"/>
          <w:sz w:val="18"/>
          <w:szCs w:val="18"/>
          <w:color w:val="auto"/>
        </w:rPr>
      </w:pPr>
    </w:p>
    <w:p>
      <w:pPr>
        <w:ind w:right="1879" w:firstLine="1904"/>
        <w:spacing w:after="0" w:line="268" w:lineRule="auto"/>
        <w:tabs>
          <w:tab w:leader="none" w:pos="2318" w:val="left"/>
        </w:tabs>
        <w:numPr>
          <w:ilvl w:val="2"/>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 (i) fraud; (ii) misappropriation; (iii) embezzlement; (iv) gross negligence in the performance of duties; (v) self-dealing; (vi) 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provided that as to items (ix),</w:t>
      </w:r>
    </w:p>
    <w:p>
      <w:pPr>
        <w:spacing w:after="0" w:line="1" w:lineRule="exact"/>
        <w:rPr>
          <w:rFonts w:ascii="Courier New" w:cs="Courier New" w:eastAsia="Courier New" w:hAnsi="Courier New"/>
          <w:sz w:val="16"/>
          <w:szCs w:val="16"/>
          <w:color w:val="auto"/>
        </w:rPr>
      </w:pPr>
    </w:p>
    <w:p>
      <w:pPr>
        <w:ind w:right="1779" w:firstLine="8"/>
        <w:spacing w:after="0" w:line="235"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(xi), if capable of being cured, such event or condition remains uncured following 30 days written notice thereof.</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of Control" means any transaction or series of transactions as a result of which any Person who was a Third Party immediately before such 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212" w:lineRule="exact"/>
        <w:rPr>
          <w:rFonts w:ascii="Courier New" w:cs="Courier New" w:eastAsia="Courier New" w:hAnsi="Courier New"/>
          <w:sz w:val="18"/>
          <w:szCs w:val="18"/>
          <w:color w:val="auto"/>
        </w:rPr>
      </w:pPr>
    </w:p>
    <w:p>
      <w:pPr>
        <w:ind w:right="1779" w:firstLine="1904"/>
        <w:spacing w:after="0" w:line="236" w:lineRule="auto"/>
        <w:tabs>
          <w:tab w:leader="none" w:pos="2318"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means the closing of the acquisition and sale of the Shares as described in, and subject to the provisions of, Paragraph 9 hereof.</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Date" means the date of the Closing.</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93" w:lineRule="exact"/>
        <w:rPr>
          <w:rFonts w:ascii="Courier New" w:cs="Courier New" w:eastAsia="Courier New" w:hAnsi="Courier New"/>
          <w:sz w:val="18"/>
          <w:szCs w:val="18"/>
          <w:color w:val="auto"/>
        </w:rPr>
      </w:pPr>
    </w:p>
    <w:p>
      <w:pPr>
        <w:ind w:right="1999" w:firstLine="1904"/>
        <w:spacing w:after="0" w:line="237" w:lineRule="auto"/>
        <w:tabs>
          <w:tab w:leader="none" w:pos="2318"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Plan" means any restricted stock, stock bonus, stock option or other compensation plan, program or arrangement established or maintained by the Sponsor or an Affiliate, including but not limited to this Plan, the Comcast Corporation 2002 Restricted Stock Plan, the Comcast Corporation 1987 Stock Option Plan and the AT&amp;T Broadband Corp. Adjustment Plan..</w:t>
      </w:r>
    </w:p>
    <w:p>
      <w:pPr>
        <w:spacing w:after="0" w:line="209" w:lineRule="exact"/>
        <w:rPr>
          <w:rFonts w:ascii="Courier New" w:cs="Courier New" w:eastAsia="Courier New" w:hAnsi="Courier New"/>
          <w:sz w:val="18"/>
          <w:szCs w:val="18"/>
          <w:color w:val="auto"/>
        </w:rPr>
      </w:pPr>
    </w:p>
    <w:p>
      <w:pPr>
        <w:ind w:right="1779" w:firstLine="1904"/>
        <w:spacing w:after="0" w:line="235" w:lineRule="auto"/>
        <w:tabs>
          <w:tab w:leader="none" w:pos="2318"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those members of the Board who have been designated pursuant to the Plan to act in that capacity.</w:t>
      </w:r>
    </w:p>
    <w:p>
      <w:pPr>
        <w:spacing w:after="0" w:line="208" w:lineRule="exact"/>
        <w:rPr>
          <w:rFonts w:ascii="Courier New" w:cs="Courier New" w:eastAsia="Courier New" w:hAnsi="Courier New"/>
          <w:sz w:val="18"/>
          <w:szCs w:val="18"/>
          <w:color w:val="auto"/>
        </w:rPr>
      </w:pPr>
    </w:p>
    <w:p>
      <w:pPr>
        <w:jc w:val="both"/>
        <w:ind w:right="1999" w:firstLine="1904"/>
        <w:spacing w:after="0" w:line="237" w:lineRule="auto"/>
        <w:tabs>
          <w:tab w:leader="none" w:pos="2318"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Sponsor's Class A Common Stock, par value, $.01 per share. For purposes of Paragraph 1(t) and Paragraph 5, the term "Common Stock" also means the Sponsor's Class A Special Common Stock, par value, $.01 per share.</w:t>
      </w:r>
    </w:p>
    <w:p>
      <w:pPr>
        <w:spacing w:after="0" w:line="207" w:lineRule="exact"/>
        <w:rPr>
          <w:rFonts w:ascii="Courier New" w:cs="Courier New" w:eastAsia="Courier New" w:hAnsi="Courier New"/>
          <w:sz w:val="18"/>
          <w:szCs w:val="18"/>
          <w:color w:val="auto"/>
        </w:rPr>
      </w:pPr>
    </w:p>
    <w:p>
      <w:pPr>
        <w:ind w:left="2320" w:hanging="416"/>
        <w:spacing w:after="0"/>
        <w:tabs>
          <w:tab w:leader="none" w:pos="2320"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the Sponsor and each of its Subsidiaries.</w:t>
      </w:r>
    </w:p>
    <w:p>
      <w:pPr>
        <w:spacing w:after="0" w:line="223" w:lineRule="exact"/>
        <w:rPr>
          <w:rFonts w:ascii="Courier New" w:cs="Courier New" w:eastAsia="Courier New" w:hAnsi="Courier New"/>
          <w:sz w:val="16"/>
          <w:szCs w:val="16"/>
          <w:color w:val="auto"/>
        </w:rPr>
      </w:pPr>
    </w:p>
    <w:p>
      <w:pPr>
        <w:ind w:right="2099" w:firstLine="1904"/>
        <w:spacing w:after="0" w:line="236" w:lineRule="auto"/>
        <w:tabs>
          <w:tab w:leader="none" w:pos="2318"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Exercise" means the date on which the notice required by Paragraph 6 hereof is hand-delivered, placed in the United States mail postage prepaid, or delivered to a telegraph or telex facility.</w:t>
      </w:r>
    </w:p>
    <w:p>
      <w:pPr>
        <w:spacing w:after="0" w:line="208" w:lineRule="exact"/>
        <w:rPr>
          <w:rFonts w:ascii="Courier New" w:cs="Courier New" w:eastAsia="Courier New" w:hAnsi="Courier New"/>
          <w:sz w:val="18"/>
          <w:szCs w:val="18"/>
          <w:color w:val="auto"/>
        </w:rPr>
      </w:pPr>
    </w:p>
    <w:p>
      <w:pPr>
        <w:ind w:right="1999" w:firstLine="1904"/>
        <w:spacing w:after="0" w:line="235" w:lineRule="auto"/>
        <w:tabs>
          <w:tab w:leader="none" w:pos="2318"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means the date hereof, the date on which the Sponsor awarded the Option.</w:t>
      </w:r>
    </w:p>
    <w:p>
      <w:pPr>
        <w:sectPr>
          <w:pgSz w:w="11900" w:h="16838" w:orient="portrait"/>
          <w:cols w:equalWidth="0" w:num="1">
            <w:col w:w="10219"/>
          </w:cols>
          <w:pgMar w:left="240" w:top="136" w:right="1440" w:bottom="0" w:gutter="0" w:footer="0" w:header="0"/>
        </w:sectPr>
      </w:pPr>
    </w:p>
    <w:bookmarkStart w:id="3" w:name="page4"/>
    <w:bookmarkEnd w:id="3"/>
    <w:p>
      <w:pPr>
        <w:ind w:right="2319" w:firstLine="1904"/>
        <w:spacing w:after="0" w:line="235" w:lineRule="auto"/>
        <w:tabs>
          <w:tab w:leader="none" w:pos="231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a disability within the meaning of section 22(e)(3) of the Code.</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Date" means the earliest of the following:</w:t>
      </w:r>
    </w:p>
    <w:p>
      <w:pPr>
        <w:spacing w:after="0" w:line="206" w:lineRule="exact"/>
        <w:rPr>
          <w:rFonts w:ascii="Courier New" w:cs="Courier New" w:eastAsia="Courier New" w:hAnsi="Courier New"/>
          <w:sz w:val="18"/>
          <w:szCs w:val="18"/>
          <w:color w:val="auto"/>
        </w:rPr>
      </w:pPr>
    </w:p>
    <w:p>
      <w:pPr>
        <w:ind w:left="2640" w:right="1779" w:hanging="525"/>
        <w:spacing w:after="0" w:line="272" w:lineRule="auto"/>
        <w:tabs>
          <w:tab w:leader="none" w:pos="264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Optionee shall terminate service to the Sponsor for any reason other than death, Disability, attainment of mandatory retirement age under any mandatory retirement policy established by the Board as in effect from time to time ("Mandatory Retirement") or Cause, the 90th day following such termination of service;</w:t>
      </w:r>
    </w:p>
    <w:p>
      <w:pPr>
        <w:spacing w:after="0" w:line="185" w:lineRule="exact"/>
        <w:rPr>
          <w:rFonts w:ascii="Courier New" w:cs="Courier New" w:eastAsia="Courier New" w:hAnsi="Courier New"/>
          <w:sz w:val="16"/>
          <w:szCs w:val="16"/>
          <w:color w:val="auto"/>
        </w:rPr>
      </w:pPr>
    </w:p>
    <w:p>
      <w:pPr>
        <w:jc w:val="both"/>
        <w:ind w:left="2640" w:right="1879" w:hanging="525"/>
        <w:spacing w:after="0" w:line="290" w:lineRule="auto"/>
        <w:tabs>
          <w:tab w:leader="none" w:pos="264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Optionee shall terminate service to the Sponsor for Cause, the date of such termination of service; or</w:t>
      </w:r>
    </w:p>
    <w:p>
      <w:pPr>
        <w:spacing w:after="0" w:line="169" w:lineRule="exact"/>
        <w:rPr>
          <w:rFonts w:ascii="Courier New" w:cs="Courier New" w:eastAsia="Courier New" w:hAnsi="Courier New"/>
          <w:sz w:val="16"/>
          <w:szCs w:val="16"/>
          <w:color w:val="auto"/>
        </w:rPr>
      </w:pPr>
    </w:p>
    <w:p>
      <w:pPr>
        <w:ind w:left="2640" w:right="2099" w:hanging="525"/>
        <w:spacing w:after="0" w:line="235" w:lineRule="auto"/>
        <w:tabs>
          <w:tab w:leader="none" w:pos="2745"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day before the tenth anniversary of the Date of Grant.</w:t>
      </w:r>
    </w:p>
    <w:p>
      <w:pPr>
        <w:spacing w:after="0" w:line="208" w:lineRule="exact"/>
        <w:rPr>
          <w:rFonts w:ascii="Courier New" w:cs="Courier New" w:eastAsia="Courier New" w:hAnsi="Courier New"/>
          <w:sz w:val="18"/>
          <w:szCs w:val="18"/>
          <w:color w:val="auto"/>
        </w:rPr>
      </w:pPr>
    </w:p>
    <w:p>
      <w:pPr>
        <w:ind w:right="2419" w:firstLine="1904"/>
        <w:spacing w:after="0" w:line="235" w:lineRule="auto"/>
        <w:tabs>
          <w:tab w:leader="none" w:pos="231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the Fair Market Value of a Share, as determined pursuant to the Plan.</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means the option hereby granted.</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Price" means [$xx.xx] per Share, as calculated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the Plan.</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Available Shares" means, as of any date, the sum</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4" w:name="page5"/>
    <w:bookmarkEnd w:id="4"/>
    <w:p>
      <w:pPr>
        <w:ind w:left="2640" w:right="1779" w:hanging="525"/>
        <w:spacing w:after="0" w:line="237" w:lineRule="auto"/>
        <w:tabs>
          <w:tab w:leader="none" w:pos="26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number of Shares owned by an Optionee that were not acquired by such Optionee pursuant to a Comcast Plan or otherwise in connection with the performance of services to the Sponsor or an Affiliate; plus</w:t>
      </w:r>
    </w:p>
    <w:p>
      <w:pPr>
        <w:spacing w:after="0" w:line="203" w:lineRule="exact"/>
        <w:rPr>
          <w:rFonts w:ascii="Courier New" w:cs="Courier New" w:eastAsia="Courier New" w:hAnsi="Courier New"/>
          <w:sz w:val="18"/>
          <w:szCs w:val="18"/>
          <w:color w:val="auto"/>
        </w:rPr>
      </w:pPr>
    </w:p>
    <w:p>
      <w:pPr>
        <w:ind w:left="2640" w:hanging="525"/>
        <w:spacing w:after="0"/>
        <w:tabs>
          <w:tab w:leader="none" w:pos="26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excess, if any of:</w:t>
      </w:r>
    </w:p>
    <w:p>
      <w:pPr>
        <w:spacing w:after="0" w:line="206" w:lineRule="exact"/>
        <w:rPr>
          <w:rFonts w:ascii="Courier New" w:cs="Courier New" w:eastAsia="Courier New" w:hAnsi="Courier New"/>
          <w:sz w:val="18"/>
          <w:szCs w:val="18"/>
          <w:color w:val="auto"/>
        </w:rPr>
      </w:pPr>
    </w:p>
    <w:p>
      <w:pPr>
        <w:ind w:right="1779" w:firstLine="1904"/>
        <w:spacing w:after="0" w:line="235" w:lineRule="auto"/>
        <w:tabs>
          <w:tab w:leader="none" w:pos="231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number of Shares owned by an Optionee other than the Shares described in Paragraph 1(t)(1); over</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w:t>
      </w:r>
    </w:p>
    <w:p>
      <w:pPr>
        <w:spacing w:after="0" w:line="206" w:lineRule="exact"/>
        <w:rPr>
          <w:rFonts w:ascii="Courier New" w:cs="Courier New" w:eastAsia="Courier New" w:hAnsi="Courier New"/>
          <w:sz w:val="18"/>
          <w:szCs w:val="18"/>
          <w:color w:val="auto"/>
        </w:rPr>
      </w:pPr>
    </w:p>
    <w:p>
      <w:pPr>
        <w:ind w:left="2860" w:hanging="429"/>
        <w:spacing w:after="0"/>
        <w:tabs>
          <w:tab w:leader="none" w:pos="2860"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Shares owned by such Optionee for</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less than six months; plus</w:t>
      </w:r>
    </w:p>
    <w:p>
      <w:pPr>
        <w:spacing w:after="0" w:line="207" w:lineRule="exact"/>
        <w:rPr>
          <w:rFonts w:ascii="Courier New" w:cs="Courier New" w:eastAsia="Courier New" w:hAnsi="Courier New"/>
          <w:sz w:val="16"/>
          <w:szCs w:val="16"/>
          <w:color w:val="auto"/>
        </w:rPr>
      </w:pPr>
    </w:p>
    <w:p>
      <w:pPr>
        <w:ind w:left="2860" w:hanging="429"/>
        <w:spacing w:after="0"/>
        <w:tabs>
          <w:tab w:leader="none" w:pos="2860"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Shares owned by such Optionee that</w:t>
      </w:r>
    </w:p>
    <w:p>
      <w:pPr>
        <w:spacing w:after="0" w:line="21" w:lineRule="exact"/>
        <w:rPr>
          <w:rFonts w:ascii="Courier New" w:cs="Courier New" w:eastAsia="Courier New" w:hAnsi="Courier New"/>
          <w:sz w:val="16"/>
          <w:szCs w:val="16"/>
          <w:color w:val="auto"/>
        </w:rPr>
      </w:pPr>
    </w:p>
    <w:p>
      <w:pPr>
        <w:ind w:right="273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has, within the preceding six months, been the subject of a withholding certification pursuant to Paragraph 15(b) or any similar withholding certification under any other Comcast Plan; plus</w:t>
      </w:r>
    </w:p>
    <w:p>
      <w:pPr>
        <w:spacing w:after="0" w:line="208" w:lineRule="exact"/>
        <w:rPr>
          <w:rFonts w:ascii="Courier New" w:cs="Courier New" w:eastAsia="Courier New" w:hAnsi="Courier New"/>
          <w:sz w:val="16"/>
          <w:szCs w:val="16"/>
          <w:color w:val="auto"/>
        </w:rPr>
      </w:pPr>
    </w:p>
    <w:p>
      <w:pPr>
        <w:ind w:left="2860" w:hanging="429"/>
        <w:spacing w:after="0"/>
        <w:tabs>
          <w:tab w:leader="none" w:pos="2860"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Shares owned by such Optionee that</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204" w:lineRule="exact"/>
        <w:rPr>
          <w:rFonts w:ascii="Courier New" w:cs="Courier New" w:eastAsia="Courier New" w:hAnsi="Courier New"/>
          <w:sz w:val="16"/>
          <w:szCs w:val="16"/>
          <w:color w:val="auto"/>
        </w:rPr>
      </w:pPr>
    </w:p>
    <w:p>
      <w:pPr>
        <w:ind w:left="2860" w:hanging="429"/>
        <w:spacing w:after="0"/>
        <w:tabs>
          <w:tab w:leader="none" w:pos="286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such Shares owned by such Optionee as</w:t>
      </w:r>
    </w:p>
    <w:p>
      <w:pPr>
        <w:spacing w:after="0" w:line="4" w:lineRule="exact"/>
        <w:rPr>
          <w:rFonts w:ascii="Courier New" w:cs="Courier New" w:eastAsia="Courier New" w:hAnsi="Courier New"/>
          <w:sz w:val="18"/>
          <w:szCs w:val="18"/>
          <w:color w:val="auto"/>
        </w:rPr>
      </w:pPr>
    </w:p>
    <w:p>
      <w:pPr>
        <w:ind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which evidence of ownership has, within the preceding six months, been provided to the Company in connection with the crediting of "Deferred Stock Units" to such Optionee's Account under the Comcast Corporation 2002 Deferred Stock Option Plan (as in effect from time to time).</w:t>
      </w:r>
    </w:p>
    <w:p>
      <w:pPr>
        <w:spacing w:after="0" w:line="207" w:lineRule="exact"/>
        <w:rPr>
          <w:sz w:val="20"/>
          <w:szCs w:val="20"/>
          <w:color w:val="auto"/>
        </w:rPr>
      </w:pPr>
    </w:p>
    <w:p>
      <w:pPr>
        <w:ind w:right="1879" w:firstLine="1896"/>
        <w:spacing w:after="0" w:line="271" w:lineRule="auto"/>
        <w:rPr>
          <w:sz w:val="20"/>
          <w:szCs w:val="20"/>
          <w:color w:val="auto"/>
        </w:rPr>
      </w:pPr>
      <w:r>
        <w:rPr>
          <w:rFonts w:ascii="Courier New" w:cs="Courier New" w:eastAsia="Courier New" w:hAnsi="Courier New"/>
          <w:sz w:val="16"/>
          <w:szCs w:val="16"/>
          <w:color w:val="auto"/>
        </w:rPr>
        <w:t>For purposes of this Paragraph 1(t), a Share that is subject to a deferral election pursuant to another Comcast Plan shall not be treated as owned by an Optionee until all conditions to the delivery of such Share have lapsed. For purposes of determining the number of Other Available Shares, the term "Shares" shall also include the securities held by a Participant immediately before the consummation of the AT&amp;T Broadband Transaction that became Common Stock as a result of the AT&amp;T Broadband Transaction.</w:t>
      </w:r>
    </w:p>
    <w:p>
      <w:pPr>
        <w:spacing w:after="0" w:line="188" w:lineRule="exact"/>
        <w:rPr>
          <w:sz w:val="20"/>
          <w:szCs w:val="20"/>
          <w:color w:val="auto"/>
        </w:rPr>
      </w:pPr>
    </w:p>
    <w:p>
      <w:pPr>
        <w:ind w:right="2519" w:firstLine="1904"/>
        <w:spacing w:after="0" w:line="290" w:lineRule="auto"/>
        <w:tabs>
          <w:tab w:leader="none" w:pos="231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 partnership, an association, a trust or any other entity or organization.</w:t>
      </w:r>
    </w:p>
    <w:p>
      <w:pPr>
        <w:spacing w:after="0" w:line="169" w:lineRule="exact"/>
        <w:rPr>
          <w:rFonts w:ascii="Courier New" w:cs="Courier New" w:eastAsia="Courier New" w:hAnsi="Courier New"/>
          <w:sz w:val="16"/>
          <w:szCs w:val="16"/>
          <w:color w:val="auto"/>
        </w:rPr>
      </w:pPr>
    </w:p>
    <w:p>
      <w:pPr>
        <w:ind w:right="2199" w:firstLine="1904"/>
        <w:spacing w:after="0" w:line="235" w:lineRule="auto"/>
        <w:tabs>
          <w:tab w:leader="none" w:pos="231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the Comcast Corporation 2002 Stock Option Plan, incorporated herein by reference.</w:t>
      </w:r>
    </w:p>
    <w:p>
      <w:pPr>
        <w:spacing w:after="0" w:line="208" w:lineRule="exact"/>
        <w:rPr>
          <w:rFonts w:ascii="Courier New" w:cs="Courier New" w:eastAsia="Courier New" w:hAnsi="Courier New"/>
          <w:sz w:val="18"/>
          <w:szCs w:val="18"/>
          <w:color w:val="auto"/>
        </w:rPr>
      </w:pPr>
    </w:p>
    <w:p>
      <w:pPr>
        <w:ind w:right="1999" w:firstLine="1904"/>
        <w:spacing w:after="0" w:line="235" w:lineRule="auto"/>
        <w:tabs>
          <w:tab w:leader="none" w:pos="231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means the [# of shares] shares of Common Stock, which are the subject of the Option hereby granted.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8" w:right="1440" w:bottom="1440" w:gutter="0" w:footer="0" w:header="0"/>
        </w:sectPr>
      </w:pPr>
    </w:p>
    <w:bookmarkStart w:id="5" w:name="page6"/>
    <w:bookmarkEnd w:id="5"/>
    <w:p>
      <w:pPr>
        <w:ind w:right="1879" w:firstLine="1904"/>
        <w:spacing w:after="0" w:line="275" w:lineRule="auto"/>
        <w:tabs>
          <w:tab w:leader="none" w:pos="231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"Sponsor"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182" w:lineRule="exact"/>
        <w:rPr>
          <w:rFonts w:ascii="Courier New" w:cs="Courier New" w:eastAsia="Courier New" w:hAnsi="Courier New"/>
          <w:sz w:val="16"/>
          <w:szCs w:val="16"/>
          <w:color w:val="auto"/>
        </w:rPr>
      </w:pPr>
    </w:p>
    <w:p>
      <w:pPr>
        <w:ind w:right="1779" w:firstLine="1904"/>
        <w:spacing w:after="0" w:line="236" w:lineRule="auto"/>
        <w:tabs>
          <w:tab w:leader="none" w:pos="231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means any business entity that, at the time in question, is a subsidiary of the Sponsor within the meaning of section 424(f) of the Code.</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 Percent Shareholder"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the Sponsor or a Subsidiary.</w:t>
      </w:r>
    </w:p>
    <w:p>
      <w:pPr>
        <w:spacing w:after="0" w:line="205" w:lineRule="exact"/>
        <w:rPr>
          <w:sz w:val="20"/>
          <w:szCs w:val="20"/>
          <w:color w:val="auto"/>
        </w:rPr>
      </w:pPr>
    </w:p>
    <w:p>
      <w:pPr>
        <w:ind w:left="2440" w:hanging="536"/>
        <w:spacing w:after="0"/>
        <w:tabs>
          <w:tab w:leader="none" w:pos="24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"Terminating Event" means any of the following events:</w:t>
      </w:r>
    </w:p>
    <w:p>
      <w:pPr>
        <w:spacing w:after="0" w:line="201" w:lineRule="exact"/>
        <w:rPr>
          <w:rFonts w:ascii="Courier New" w:cs="Courier New" w:eastAsia="Courier New" w:hAnsi="Courier New"/>
          <w:sz w:val="18"/>
          <w:szCs w:val="18"/>
          <w:color w:val="auto"/>
        </w:rPr>
      </w:pPr>
    </w:p>
    <w:p>
      <w:pPr>
        <w:ind w:left="2640" w:hanging="525"/>
        <w:spacing w:after="0"/>
        <w:tabs>
          <w:tab w:leader="none" w:pos="264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liquidation of the Sponsor; or</w:t>
      </w:r>
    </w:p>
    <w:p>
      <w:pPr>
        <w:spacing w:after="0" w:line="201" w:lineRule="exact"/>
        <w:rPr>
          <w:rFonts w:ascii="Courier New" w:cs="Courier New" w:eastAsia="Courier New" w:hAnsi="Courier New"/>
          <w:sz w:val="18"/>
          <w:szCs w:val="18"/>
          <w:color w:val="auto"/>
        </w:rPr>
      </w:pPr>
    </w:p>
    <w:p>
      <w:pPr>
        <w:ind w:left="2640" w:hanging="525"/>
        <w:spacing w:after="0"/>
        <w:tabs>
          <w:tab w:leader="none" w:pos="264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of Control.</w:t>
      </w:r>
    </w:p>
    <w:p>
      <w:pPr>
        <w:spacing w:after="0" w:line="206" w:lineRule="exact"/>
        <w:rPr>
          <w:rFonts w:ascii="Courier New" w:cs="Courier New" w:eastAsia="Courier New" w:hAnsi="Courier New"/>
          <w:sz w:val="18"/>
          <w:szCs w:val="18"/>
          <w:color w:val="auto"/>
        </w:rPr>
      </w:pPr>
    </w:p>
    <w:p>
      <w:pPr>
        <w:ind w:right="2199" w:firstLine="1904"/>
        <w:spacing w:after="0" w:line="279" w:lineRule="auto"/>
        <w:tabs>
          <w:tab w:leader="none" w:pos="2423"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other than a Company, together with such Person's Affiliates, provided that the term "Third Party" shall not include the Sponsor or an Affiliate of the Sponsor.</w:t>
      </w:r>
    </w:p>
    <w:p>
      <w:pPr>
        <w:spacing w:after="0" w:line="178" w:lineRule="exact"/>
        <w:rPr>
          <w:rFonts w:ascii="Courier New" w:cs="Courier New" w:eastAsia="Courier New" w:hAnsi="Courier New"/>
          <w:sz w:val="16"/>
          <w:szCs w:val="16"/>
          <w:color w:val="auto"/>
        </w:rPr>
      </w:pPr>
    </w:p>
    <w:p>
      <w:pPr>
        <w:ind w:left="2440" w:hanging="536"/>
        <w:spacing w:after="0"/>
        <w:tabs>
          <w:tab w:leader="none" w:pos="244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"1933 Act" means the Securities Act of 1933, as amended.</w:t>
      </w:r>
    </w:p>
    <w:p>
      <w:pPr>
        <w:spacing w:after="0" w:line="223" w:lineRule="exact"/>
        <w:rPr>
          <w:rFonts w:ascii="Courier New" w:cs="Courier New" w:eastAsia="Courier New" w:hAnsi="Courier New"/>
          <w:sz w:val="16"/>
          <w:szCs w:val="16"/>
          <w:color w:val="auto"/>
        </w:rPr>
      </w:pPr>
    </w:p>
    <w:p>
      <w:pPr>
        <w:ind w:left="2440" w:hanging="536"/>
        <w:spacing w:after="0"/>
        <w:tabs>
          <w:tab w:leader="none" w:pos="244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"1934 Act" means the Securities Exchange Act of 1934, as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amended.</w:t>
      </w:r>
    </w:p>
    <w:p>
      <w:pPr>
        <w:spacing w:after="0" w:line="207" w:lineRule="exact"/>
        <w:rPr>
          <w:rFonts w:ascii="Courier New" w:cs="Courier New" w:eastAsia="Courier New" w:hAnsi="Courier New"/>
          <w:sz w:val="16"/>
          <w:szCs w:val="16"/>
          <w:color w:val="auto"/>
        </w:rPr>
      </w:pPr>
    </w:p>
    <w:p>
      <w:pPr>
        <w:ind w:right="1879" w:firstLine="956"/>
        <w:spacing w:after="0" w:line="236" w:lineRule="auto"/>
        <w:tabs>
          <w:tab w:leader="none" w:pos="126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 Subject to the terms and conditions set forth herein and in the Plan, the Sponsor hereby grants to the Optionee the Option to purchase any or all of the Shares.</w:t>
      </w:r>
    </w:p>
    <w:p>
      <w:pPr>
        <w:spacing w:after="0" w:line="203"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of Exercise of Options.</w:t>
      </w:r>
    </w:p>
    <w:p>
      <w:pPr>
        <w:spacing w:after="0" w:line="207"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Except as provided in Paragraph 4, the Option may be exercised after six months from the Date of Grant, and shall remain exercisable until the Expiration Date, when the right to exercise shall terminate absolutely. No Shares subject to the Option shall first become exercisable following the Optionee's termination of service to the Sponsor for any reason other than the Optionee's death, Disability or Mandatory Retirement. The Option shall become immediately exercisable in full upon the Optionee's termination of service as a Non-Employee Director because of death, Disability or Mandatory Retirement, whether or not six months have elapsed from the Date of Grant.</w:t>
      </w:r>
    </w:p>
    <w:p>
      <w:pPr>
        <w:spacing w:after="0" w:line="38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 Terminating Event.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6" w:name="page7"/>
    <w:bookmarkEnd w:id="6"/>
    <w:p>
      <w:pPr>
        <w:ind w:left="-956" w:right="1779" w:firstLine="1904"/>
        <w:spacing w:after="0" w:line="269" w:lineRule="auto"/>
        <w:tabs>
          <w:tab w:leader="none" w:pos="1361"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Sponsor shall give the Optionee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 the Optionee shall be permitted to exercise the Option to the extent the Option is then exercisable; provided that, the Sponsor may, by similar notice, require the Optionee to exercise the Option, to the extent the Option is then exercisable, or to forfeit the Option (or portion thereof, as applicable). The Board may, in its discretion, provide that upon the Optionee's receipt of the notice of a Terminating Event under this Paragraph 4(a), the entire number of Shares covered by Options shall become immediately exercisable. Upon the close of the period described in this Paragraph 4(a) during which an Option may be exercised in connection with a Terminating Event, such Option (including such portion thereof that is not exercisable) shall terminate to the extent that such Option has not theretofore been exercised.</w:t>
      </w:r>
    </w:p>
    <w:p>
      <w:pPr>
        <w:spacing w:after="0" w:line="396" w:lineRule="exact"/>
        <w:rPr>
          <w:rFonts w:ascii="Courier New" w:cs="Courier New" w:eastAsia="Courier New" w:hAnsi="Courier New"/>
          <w:sz w:val="16"/>
          <w:szCs w:val="16"/>
          <w:color w:val="auto"/>
        </w:rPr>
      </w:pPr>
    </w:p>
    <w:p>
      <w:pPr>
        <w:ind w:left="-956" w:right="1999" w:firstLine="1904"/>
        <w:spacing w:after="0" w:line="237" w:lineRule="auto"/>
        <w:tabs>
          <w:tab w:leader="none" w:pos="1361"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Paragraph 4(a), in the event the Terminating Event is not consummated, the Option shall be deemed not to have been exercised and shall be exercisable thereafter to the extent it would have been exercisable if no such notice had been given.</w:t>
      </w:r>
    </w:p>
    <w:p>
      <w:pPr>
        <w:spacing w:after="0" w:line="207" w:lineRule="exact"/>
        <w:rPr>
          <w:rFonts w:ascii="Courier New" w:cs="Courier New" w:eastAsia="Courier New" w:hAnsi="Courier New"/>
          <w:sz w:val="18"/>
          <w:szCs w:val="18"/>
          <w:color w:val="auto"/>
        </w:rPr>
      </w:pPr>
    </w:p>
    <w:p>
      <w:pPr>
        <w:ind w:left="-956" w:right="1779" w:firstLine="956"/>
        <w:spacing w:after="0" w:line="269" w:lineRule="auto"/>
        <w:tabs>
          <w:tab w:leader="none" w:pos="30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for Shares. Full payment for Shares purchased upon the exercise of an Option shall be made in cash or, at the election of the Optionee and as the Board may, in its sole discretion, approve, by surrendering or attesting to ownership of shares of Common Stock with an aggregate Fair Market Value equal to the aggregate option price, or by attesting to ownership and delivering such combination of shares and cash as the Board may, in its sole discretion, approve; provided that ownership of shares may be attested to and shares may be surrendered in satisfaction of the option price only if the Optionee certifies in writing to the Sponsor that the Optionee owns a number of Other Available Shares as of the Date of Exercise that is at least equal to the number of shares as to which ownership has been attested or the number of shares to be surrendered in satisfaction of the Option Price, as applicable. If payment is made in whole or part by attestation of ownership, the Optionee shall attest to ownership of shares representing shares legally and beneficially owned by such Optionee, free of all liens, claims and encumbrances of every kind and having a Fair Market Value on the date of attestation that is not greater than the aggregate option price.</w:t>
      </w:r>
    </w:p>
    <w:p>
      <w:pPr>
        <w:spacing w:after="0" w:line="200" w:lineRule="exact"/>
        <w:rPr>
          <w:rFonts w:ascii="Courier New" w:cs="Courier New" w:eastAsia="Courier New" w:hAnsi="Courier New"/>
          <w:sz w:val="16"/>
          <w:szCs w:val="16"/>
          <w:color w:val="auto"/>
        </w:rPr>
      </w:pPr>
    </w:p>
    <w:p>
      <w:pPr>
        <w:spacing w:after="0" w:line="399" w:lineRule="exact"/>
        <w:rPr>
          <w:rFonts w:ascii="Courier New" w:cs="Courier New" w:eastAsia="Courier New" w:hAnsi="Courier New"/>
          <w:sz w:val="16"/>
          <w:szCs w:val="16"/>
          <w:color w:val="auto"/>
        </w:rPr>
      </w:pPr>
    </w:p>
    <w:p>
      <w:pPr>
        <w:ind w:left="-956" w:right="1879" w:firstLine="956"/>
        <w:spacing w:after="0" w:line="275" w:lineRule="auto"/>
        <w:tabs>
          <w:tab w:leader="none" w:pos="30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Manner of Exercise. The Option shall be exercised by giving written notice of exercise in accordance with the manner proscribed by the Board. Such notice shall be deemed to have been given when hand-delivered, telecopied or mailed, first class postage prepaid, and shall be irrevocable once given.</w:t>
      </w:r>
    </w:p>
    <w:p>
      <w:pPr>
        <w:spacing w:after="0" w:line="182" w:lineRule="exact"/>
        <w:rPr>
          <w:rFonts w:ascii="Courier New" w:cs="Courier New" w:eastAsia="Courier New" w:hAnsi="Courier New"/>
          <w:sz w:val="16"/>
          <w:szCs w:val="16"/>
          <w:color w:val="auto"/>
        </w:rPr>
      </w:pPr>
    </w:p>
    <w:p>
      <w:pPr>
        <w:ind w:left="-956" w:right="1879" w:firstLine="956"/>
        <w:spacing w:after="0" w:line="271" w:lineRule="auto"/>
        <w:tabs>
          <w:tab w:leader="none" w:pos="30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of Option. The Option may not be transferred or assigned by the Optionee otherwise than by will or the laws of descent and distribution or be exercised during his life other than by the Optionee or for his benefit by his attorney-in-fact or guardian. Any attempt at assignment, transfer, pledge or disposition of the Option contrary to the provisions hereof or the levy of any execution, attachment or similar process upon the Option shall be null and void and without effect. Any exercise of the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263"/>
          </w:cols>
          <w:pgMar w:left="1196" w:top="925" w:right="1440" w:bottom="1440" w:gutter="0" w:footer="0" w:header="0"/>
        </w:sectPr>
      </w:pPr>
    </w:p>
    <w:bookmarkStart w:id="7" w:name="page8"/>
    <w:bookmarkEnd w:id="7"/>
    <w:p>
      <w:pPr>
        <w:ind w:right="1999"/>
        <w:spacing w:after="0" w:line="235" w:lineRule="auto"/>
        <w:rPr>
          <w:sz w:val="20"/>
          <w:szCs w:val="20"/>
          <w:color w:val="auto"/>
        </w:rPr>
      </w:pPr>
      <w:r>
        <w:rPr>
          <w:rFonts w:ascii="Courier New" w:cs="Courier New" w:eastAsia="Courier New" w:hAnsi="Courier New"/>
          <w:sz w:val="18"/>
          <w:szCs w:val="18"/>
          <w:color w:val="auto"/>
        </w:rPr>
        <w:t>Option by a person other than the Optionee shall be accompanied by appropriate proofs of the right of such person to exercise the Option.</w:t>
      </w:r>
    </w:p>
    <w:p>
      <w:pPr>
        <w:spacing w:after="0" w:line="208" w:lineRule="exact"/>
        <w:rPr>
          <w:sz w:val="20"/>
          <w:szCs w:val="20"/>
          <w:color w:val="auto"/>
        </w:rPr>
      </w:pPr>
    </w:p>
    <w:p>
      <w:pPr>
        <w:ind w:right="1779" w:firstLine="956"/>
        <w:spacing w:after="0" w:line="270" w:lineRule="auto"/>
        <w:tabs>
          <w:tab w:leader="none" w:pos="126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Laws. The Board may from time to time impose any conditions on the exercise of the Option as it deems necessary or appropriate to comply with the then-existing requirements of the 1933 Act or the 1934 Act, including Rule 16b-3 (or any similar rule) of the Securities and Exchange Commission. If the listing, registration or qualification of Shares issuable on the exercise of the Option upon any securities exchange or under any federal or state law, or the consent or approval of any governmental regulatory body is necessary as a condition of or in connection with the purchase of such Shares, the Sponsor shall not be obligated to issue or deliver the certificates representing the Shares otherwise issuable on the exercise of the Option unless and until such listing, registration, qualification, consent or approval shall have been effected or obtained. If registration is considered unnecessary by the Sponsor or its counsel, the Sponsor may cause a legend to be placed on such Shares calling attention to the fact that they have been acquired for investment and have not been registered.</w:t>
      </w:r>
    </w:p>
    <w:p>
      <w:pPr>
        <w:spacing w:after="0" w:line="386" w:lineRule="exact"/>
        <w:rPr>
          <w:rFonts w:ascii="Courier New" w:cs="Courier New" w:eastAsia="Courier New" w:hAnsi="Courier New"/>
          <w:sz w:val="16"/>
          <w:szCs w:val="16"/>
          <w:color w:val="auto"/>
        </w:rPr>
      </w:pPr>
    </w:p>
    <w:p>
      <w:pPr>
        <w:ind w:right="1879" w:firstLine="956"/>
        <w:spacing w:after="0" w:line="271" w:lineRule="auto"/>
        <w:tabs>
          <w:tab w:leader="none" w:pos="126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Certificate at Closing; Payment of Cash. Subject to the provisions of this Paragraph 9, the Closing Date shall occur as promptly as is feasible after the exercise of the Option. Subject to the provisions of Paragraphs 8 and 10 hereof, a certificate for the Shares issuable on the exercise of the Option shall be delivered to the Optionee or to his personal representative, heir or legatee at the Closing, provided that no certificates for Shares will be delivered to the Optionee or to his personal representative, heir or legatee unless the Option Price has been paid in full.</w:t>
      </w:r>
    </w:p>
    <w:p>
      <w:pPr>
        <w:spacing w:after="0" w:line="185"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Prior to Exercise. The Optionee shall not have any right as a stockholder with respect to any Shares subject to his Options until the Option shall have been exercised in accordance with the terms of the Plan and this Award and the Optionee shall have paid the full purchase price for the number of Shares in respect of which the Option was exercised, provided that in the event that the Optionee's service to the Sponsor is terminated for Cause, upon a determination by the Board, the Optionee shall automatically forfeit all Shares otherwise subject to delivery upon exercise of an Option but for which the Sponsor has not yet delivered the Share certificates, upon refund by the Sponsor of the Option Price.</w:t>
      </w:r>
    </w:p>
    <w:p>
      <w:pPr>
        <w:spacing w:after="0" w:line="214" w:lineRule="exact"/>
        <w:rPr>
          <w:rFonts w:ascii="Courier New" w:cs="Courier New" w:eastAsia="Courier New" w:hAnsi="Courier New"/>
          <w:sz w:val="18"/>
          <w:szCs w:val="18"/>
          <w:color w:val="auto"/>
        </w:rPr>
      </w:pPr>
    </w:p>
    <w:p>
      <w:pPr>
        <w:ind w:right="1779" w:firstLine="956"/>
        <w:spacing w:after="0" w:line="271" w:lineRule="auto"/>
        <w:tabs>
          <w:tab w:leader="none" w:pos="136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Status of Option; Interpretation. The Option is intended to be a non-qualified stock option. Accordingly, it is intended that the transfer of property pursuant to the exercise of the Option be subject to federal income tax in accordance with section 83 of the Code. The Option is not intended to qualify as an incentive stock option within the meaning of section 422 of the Code. The interpretation and construction of any provision of this Option or the Plan made by the Board shall be final and conclusive and, insofar as possible, shall be consistent with the intention expressed in this Paragraph 11.</w:t>
      </w:r>
    </w:p>
    <w:p>
      <w:pPr>
        <w:spacing w:after="0" w:line="185" w:lineRule="exact"/>
        <w:rPr>
          <w:rFonts w:ascii="Courier New" w:cs="Courier New" w:eastAsia="Courier New" w:hAnsi="Courier New"/>
          <w:sz w:val="16"/>
          <w:szCs w:val="16"/>
          <w:color w:val="auto"/>
        </w:rPr>
      </w:pPr>
    </w:p>
    <w:p>
      <w:pPr>
        <w:ind w:right="1779" w:firstLine="956"/>
        <w:spacing w:after="0" w:line="236" w:lineRule="auto"/>
        <w:tabs>
          <w:tab w:leader="none" w:pos="136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Not to Affect Employment. The Option granted hereunder shall not confer upon the Optionee any right to continue in service as an employee, officer or director of the Sponsor or any subsidiary of the Sponsor.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8" w:name="page9"/>
    <w:bookmarkEnd w:id="8"/>
    <w:p>
      <w:pPr>
        <w:ind w:left="1380" w:hanging="424"/>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for the Optionee to which notice, demands and other communications to be given or delivered under or by reason of the provisions hereof shall be the address contained in the Sponsor's personnel records, or such other address as the Optionee may provide to the Sponsor by written notice.</w:t>
      </w:r>
    </w:p>
    <w:p>
      <w:pPr>
        <w:spacing w:after="0" w:line="208" w:lineRule="exact"/>
        <w:rPr>
          <w:rFonts w:ascii="Courier New" w:cs="Courier New" w:eastAsia="Courier New" w:hAnsi="Courier New"/>
          <w:sz w:val="18"/>
          <w:szCs w:val="18"/>
          <w:color w:val="auto"/>
        </w:rPr>
      </w:pPr>
    </w:p>
    <w:p>
      <w:pPr>
        <w:ind w:right="1779" w:firstLine="1904"/>
        <w:spacing w:after="0" w:line="235" w:lineRule="auto"/>
        <w:tabs>
          <w:tab w:leader="none" w:pos="2318"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Award may be executed in one or more counterparts all of which taken together will constitute one and the same instrument.</w:t>
      </w:r>
    </w:p>
    <w:p>
      <w:pPr>
        <w:spacing w:after="0" w:line="208" w:lineRule="exact"/>
        <w:rPr>
          <w:rFonts w:ascii="Courier New" w:cs="Courier New" w:eastAsia="Courier New" w:hAnsi="Courier New"/>
          <w:sz w:val="18"/>
          <w:szCs w:val="18"/>
          <w:color w:val="auto"/>
        </w:rPr>
      </w:pPr>
    </w:p>
    <w:p>
      <w:pPr>
        <w:jc w:val="both"/>
        <w:ind w:right="1779" w:firstLine="1904"/>
        <w:spacing w:after="0" w:line="236" w:lineRule="auto"/>
        <w:tabs>
          <w:tab w:leader="none" w:pos="2318"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validity, performance, construction and effect of this Award shall be governed by the laws of the Commonwealth of Pennsylvania, without giving effect to principles of conflicts of law.</w:t>
      </w:r>
    </w:p>
    <w:p>
      <w:pPr>
        <w:spacing w:after="0" w:line="208" w:lineRule="exact"/>
        <w:rPr>
          <w:rFonts w:ascii="Courier New" w:cs="Courier New" w:eastAsia="Courier New" w:hAnsi="Courier New"/>
          <w:sz w:val="18"/>
          <w:szCs w:val="18"/>
          <w:color w:val="auto"/>
        </w:rPr>
      </w:pPr>
    </w:p>
    <w:p>
      <w:pPr>
        <w:ind w:right="1999" w:firstLine="1904"/>
        <w:spacing w:after="0" w:line="270" w:lineRule="auto"/>
        <w:tabs>
          <w:tab w:leader="none" w:pos="2318"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Optionee hereby irrevocably and unconditionally consents to submit to the exclusive jurisdiction of the courts of the Commonwealth of Pennsylvania and of the United States of America, in each case located in Philadelphia, Pennsylvania, for any actions, suits or proceedings arising out of or relating to this Award and the transactions contemplated hereby ("Litigation") and agrees not to commence any Litigation except in any such court, and further agrees that service of process, summons, notice or document by U.S. registered mail to his respective address shall be effective service of process for any Litigation brought against him in any such court. Each party hereby irrevocably and unconditionally waives any objection to the laying of venue of any Litigation in the courts of the Commonwealth of Pennsylvania or of the United States of America, in each case located in Philadelphia, Pennsylvania, and hereby further irrevocably and unconditionally waives and agrees not to plead or claim in any such court that any Litigation brought in any such court has been brought in an inconvenient forum.</w:t>
      </w:r>
    </w:p>
    <w:p>
      <w:pPr>
        <w:spacing w:after="0" w:line="386"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of Taxes. Whenever the Sponsor proposes or is required to deliver or transfer Shares in connection with the exercise of the Option, the Sponsor shall have the right to (a) require the Optionee to remit to the Sponsor an amount sufficient to satisfy any federal, state and/or local withholding tax requirements prior to the delivery or transfer of any certificate or certificates for such Shares or (b) take whatever action it deems necessary to protect its interests with respect to tax liabilities.</w:t>
      </w:r>
    </w:p>
    <w:p>
      <w:pPr>
        <w:spacing w:after="0" w:line="211"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IN WITNESS WHEREOF, the Sponsor has granted this Award on the day and year first above written.</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Lawrence S. Smith</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rPr>
          <w:sz w:val="20"/>
          <w:szCs w:val="20"/>
          <w:color w:val="auto"/>
        </w:rPr>
      </w:pPr>
      <w:r>
        <w:rPr>
          <w:rFonts w:ascii="Courier New" w:cs="Courier New" w:eastAsia="Courier New" w:hAnsi="Courier New"/>
          <w:sz w:val="18"/>
          <w:szCs w:val="18"/>
          <w:color w:val="auto"/>
        </w:rPr>
        <w:t>Lawrence S. Smith</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20"/>
        <w:spacing w:after="0"/>
        <w:tabs>
          <w:tab w:leader="none" w:pos="5140" w:val="left"/>
        </w:tabs>
        <w:rPr>
          <w:sz w:val="20"/>
          <w:szCs w:val="20"/>
          <w:color w:val="auto"/>
        </w:rPr>
      </w:pPr>
      <w:r>
        <w:rPr>
          <w:rFonts w:ascii="Courier New" w:cs="Courier New" w:eastAsia="Courier New" w:hAnsi="Courier New"/>
          <w:sz w:val="18"/>
          <w:szCs w:val="18"/>
          <w:color w:val="auto"/>
        </w:rPr>
        <w:t>ATTEST:</w:t>
        <w:tab/>
        <w:t>/s/ Arthur R. Block</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Arthur R. Block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19" w:right="1440" w:bottom="1440" w:gutter="0" w:footer="0" w:header="0"/>
        </w:sectPr>
      </w:pPr>
    </w:p>
    <w:bookmarkStart w:id="9" w:name="page10"/>
    <w:bookmarkEnd w:id="9"/>
    <w:p>
      <w:pPr>
        <w:ind w:left="328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RESTRICTED STOCK AWARD</w:t>
      </w:r>
    </w:p>
    <w:p>
      <w:pPr>
        <w:spacing w:after="0" w:line="200" w:lineRule="exact"/>
        <w:rPr>
          <w:sz w:val="20"/>
          <w:szCs w:val="20"/>
          <w:color w:val="auto"/>
        </w:rPr>
      </w:pPr>
    </w:p>
    <w:p>
      <w:pPr>
        <w:spacing w:after="0" w:line="209" w:lineRule="exact"/>
        <w:rPr>
          <w:sz w:val="20"/>
          <w:szCs w:val="20"/>
          <w:color w:val="auto"/>
        </w:rPr>
      </w:pPr>
    </w:p>
    <w:p>
      <w:pPr>
        <w:ind w:right="2199" w:firstLine="1896"/>
        <w:spacing w:after="0" w:line="235" w:lineRule="auto"/>
        <w:rPr>
          <w:sz w:val="20"/>
          <w:szCs w:val="20"/>
          <w:color w:val="auto"/>
        </w:rPr>
      </w:pPr>
      <w:r>
        <w:rPr>
          <w:rFonts w:ascii="Courier New" w:cs="Courier New" w:eastAsia="Courier New" w:hAnsi="Courier New"/>
          <w:sz w:val="18"/>
          <w:szCs w:val="18"/>
          <w:color w:val="auto"/>
        </w:rPr>
        <w:t>This is a Restricted Stock Award dated [Date] from Comcast Corporation (the "Company") to [Name] (the "Grantee").</w:t>
      </w:r>
    </w:p>
    <w:p>
      <w:pPr>
        <w:spacing w:after="0" w:line="208" w:lineRule="exact"/>
        <w:rPr>
          <w:sz w:val="20"/>
          <w:szCs w:val="20"/>
          <w:color w:val="auto"/>
        </w:rPr>
      </w:pPr>
    </w:p>
    <w:p>
      <w:pPr>
        <w:ind w:right="1879" w:firstLine="956"/>
        <w:spacing w:after="0" w:line="235" w:lineRule="auto"/>
        <w:tabs>
          <w:tab w:leader="none" w:pos="126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Capitalized terms used herein are defined below or, if not defined below, have the meanings given to them in the Plan.</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212"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 means an unfunded bookkeeping account established pursuant to Paragraph 7(d) and maintained by the Committee in the name of Grantee (a) to which Deferred Stock Units are deemed credited and (b) to which an amount equal to the Fair Market Value of Deferred Stock Units with respect to which a Diversification Election has been made and interest thereon are deemed credited, reduced by distributions in accordance with the Plan.</w:t>
      </w:r>
    </w:p>
    <w:p>
      <w:pPr>
        <w:spacing w:after="0" w:line="209" w:lineRule="exact"/>
        <w:rPr>
          <w:rFonts w:ascii="Courier New" w:cs="Courier New" w:eastAsia="Courier New" w:hAnsi="Courier New"/>
          <w:sz w:val="18"/>
          <w:szCs w:val="18"/>
          <w:color w:val="auto"/>
        </w:rPr>
      </w:pPr>
    </w:p>
    <w:p>
      <w:pPr>
        <w:ind w:left="2220" w:hanging="316"/>
        <w:spacing w:after="0"/>
        <w:tabs>
          <w:tab w:leader="none" w:pos="222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means the award of Restricted Stock hereby granted.</w:t>
      </w:r>
    </w:p>
    <w:p>
      <w:pPr>
        <w:spacing w:after="0" w:line="218" w:lineRule="exact"/>
        <w:rPr>
          <w:rFonts w:ascii="Courier New" w:cs="Courier New" w:eastAsia="Courier New" w:hAnsi="Courier New"/>
          <w:sz w:val="16"/>
          <w:szCs w:val="16"/>
          <w:color w:val="auto"/>
        </w:rPr>
      </w:pPr>
    </w:p>
    <w:p>
      <w:pPr>
        <w:ind w:left="2220" w:hanging="316"/>
        <w:spacing w:after="0"/>
        <w:tabs>
          <w:tab w:leader="none" w:pos="22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spacing w:after="0" w:line="206" w:lineRule="exact"/>
        <w:rPr>
          <w:rFonts w:ascii="Courier New" w:cs="Courier New" w:eastAsia="Courier New" w:hAnsi="Courier New"/>
          <w:sz w:val="18"/>
          <w:szCs w:val="18"/>
          <w:color w:val="auto"/>
        </w:rPr>
      </w:pPr>
    </w:p>
    <w:p>
      <w:pPr>
        <w:ind w:left="2220" w:hanging="316"/>
        <w:spacing w:after="0"/>
        <w:tabs>
          <w:tab w:leader="none" w:pos="222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w:t>
      </w:r>
    </w:p>
    <w:p>
      <w:pPr>
        <w:spacing w:after="0" w:line="218" w:lineRule="exact"/>
        <w:rPr>
          <w:rFonts w:ascii="Courier New" w:cs="Courier New" w:eastAsia="Courier New" w:hAnsi="Courier New"/>
          <w:sz w:val="16"/>
          <w:szCs w:val="16"/>
          <w:color w:val="auto"/>
        </w:rPr>
      </w:pPr>
    </w:p>
    <w:p>
      <w:pPr>
        <w:ind w:left="2220" w:hanging="316"/>
        <w:spacing w:after="0"/>
        <w:tabs>
          <w:tab w:leader="none" w:pos="22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the Compensation Committee of the Board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its delegate.</w:t>
      </w:r>
    </w:p>
    <w:p>
      <w:pPr>
        <w:spacing w:after="0" w:line="207" w:lineRule="exact"/>
        <w:rPr>
          <w:rFonts w:ascii="Courier New" w:cs="Courier New" w:eastAsia="Courier New" w:hAnsi="Courier New"/>
          <w:sz w:val="18"/>
          <w:szCs w:val="18"/>
          <w:color w:val="auto"/>
        </w:rPr>
      </w:pPr>
    </w:p>
    <w:p>
      <w:pPr>
        <w:ind w:right="2099" w:firstLine="1904"/>
        <w:spacing w:after="0" w:line="235" w:lineRule="auto"/>
        <w:tabs>
          <w:tab w:leader="none" w:pos="2212"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means the date first set forth above, on which the Company awarded the Restricted Stock.</w:t>
      </w:r>
    </w:p>
    <w:p>
      <w:pPr>
        <w:spacing w:after="0" w:line="208" w:lineRule="exact"/>
        <w:rPr>
          <w:rFonts w:ascii="Courier New" w:cs="Courier New" w:eastAsia="Courier New" w:hAnsi="Courier New"/>
          <w:sz w:val="18"/>
          <w:szCs w:val="18"/>
          <w:color w:val="auto"/>
        </w:rPr>
      </w:pPr>
    </w:p>
    <w:p>
      <w:pPr>
        <w:ind w:right="2199" w:firstLine="1904"/>
        <w:spacing w:after="0" w:line="235" w:lineRule="auto"/>
        <w:tabs>
          <w:tab w:leader="none" w:pos="2212"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"Deferred Stock Units" means the number of hypothetical Shares subject to an Election.</w:t>
      </w:r>
    </w:p>
    <w:p>
      <w:pPr>
        <w:spacing w:after="0" w:line="202" w:lineRule="exact"/>
        <w:rPr>
          <w:rFonts w:ascii="Courier New" w:cs="Courier New" w:eastAsia="Courier New" w:hAnsi="Courier New"/>
          <w:sz w:val="18"/>
          <w:szCs w:val="18"/>
          <w:color w:val="auto"/>
        </w:rPr>
      </w:pPr>
    </w:p>
    <w:p>
      <w:pPr>
        <w:ind w:left="2220" w:hanging="316"/>
        <w:spacing w:after="0"/>
        <w:tabs>
          <w:tab w:leader="none" w:pos="22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"Disabled Grantee" means</w:t>
      </w:r>
    </w:p>
    <w:p>
      <w:pPr>
        <w:spacing w:after="0" w:line="206" w:lineRule="exact"/>
        <w:rPr>
          <w:rFonts w:ascii="Courier New" w:cs="Courier New" w:eastAsia="Courier New" w:hAnsi="Courier New"/>
          <w:sz w:val="18"/>
          <w:szCs w:val="18"/>
          <w:color w:val="auto"/>
        </w:rPr>
      </w:pPr>
    </w:p>
    <w:p>
      <w:pPr>
        <w:ind w:left="2640" w:right="2199" w:hanging="525"/>
        <w:spacing w:after="0" w:line="290" w:lineRule="auto"/>
        <w:tabs>
          <w:tab w:leader="none" w:pos="2640" w:val="left"/>
        </w:tabs>
        <w:numPr>
          <w:ilvl w:val="2"/>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Grantee, if Grantee's employment by a Participating Company is terminated by reason of disability;</w:t>
      </w:r>
    </w:p>
    <w:p>
      <w:pPr>
        <w:spacing w:after="0" w:line="169" w:lineRule="exact"/>
        <w:rPr>
          <w:rFonts w:ascii="Courier New" w:cs="Courier New" w:eastAsia="Courier New" w:hAnsi="Courier New"/>
          <w:sz w:val="16"/>
          <w:szCs w:val="16"/>
          <w:color w:val="auto"/>
        </w:rPr>
      </w:pPr>
    </w:p>
    <w:p>
      <w:pPr>
        <w:ind w:left="2640" w:right="1779" w:hanging="525"/>
        <w:spacing w:after="0" w:line="236" w:lineRule="auto"/>
        <w:tabs>
          <w:tab w:leader="none" w:pos="2640"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Grantee, if Grantee becomes disabled (as determined by the Committee) following termination of employment by a Participating Company; or</w:t>
      </w:r>
    </w:p>
    <w:p>
      <w:pPr>
        <w:spacing w:after="0" w:line="208" w:lineRule="exact"/>
        <w:rPr>
          <w:rFonts w:ascii="Courier New" w:cs="Courier New" w:eastAsia="Courier New" w:hAnsi="Courier New"/>
          <w:sz w:val="18"/>
          <w:szCs w:val="18"/>
          <w:color w:val="auto"/>
        </w:rPr>
      </w:pPr>
    </w:p>
    <w:p>
      <w:pPr>
        <w:ind w:left="2640" w:right="1879" w:hanging="525"/>
        <w:spacing w:after="0" w:line="236" w:lineRule="auto"/>
        <w:tabs>
          <w:tab w:leader="none" w:pos="2640"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Grantee's duly-appointed legal guardian following an event described in Paragraph 1(h)(1) or 1(h)(2) acting on Grantee's behalf.</w:t>
      </w:r>
    </w:p>
    <w:p>
      <w:pPr>
        <w:spacing w:after="0" w:line="208" w:lineRule="exact"/>
        <w:rPr>
          <w:rFonts w:ascii="Courier New" w:cs="Courier New" w:eastAsia="Courier New" w:hAnsi="Courier New"/>
          <w:sz w:val="18"/>
          <w:szCs w:val="18"/>
          <w:color w:val="auto"/>
        </w:rPr>
      </w:pPr>
    </w:p>
    <w:p>
      <w:pPr>
        <w:ind w:right="1779" w:firstLine="1904"/>
        <w:spacing w:after="0" w:line="290" w:lineRule="auto"/>
        <w:tabs>
          <w:tab w:leader="none" w:pos="2212"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"Employer" means the Company or the subsidiary or affiliate of the Company for which Grantee is performing services on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99" w:firstLine="1896"/>
        <w:spacing w:after="0" w:line="236" w:lineRule="auto"/>
        <w:rPr>
          <w:sz w:val="20"/>
          <w:szCs w:val="20"/>
          <w:color w:val="auto"/>
        </w:rPr>
      </w:pPr>
      <w:r>
        <w:rPr>
          <w:rFonts w:ascii="Courier New" w:cs="Courier New" w:eastAsia="Courier New" w:hAnsi="Courier New"/>
          <w:sz w:val="18"/>
          <w:szCs w:val="18"/>
          <w:color w:val="auto"/>
        </w:rPr>
        <w:t>j. "Normal Retirement" means Grantee's termination of employment that is treated by the Participating Company as a retirement under its employment policies and practices as in effect from time to time.</w:t>
      </w:r>
    </w:p>
    <w:p>
      <w:pPr>
        <w:spacing w:after="0" w:line="209"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k. "Plan" means the Comcast Corporation 2002 Restricted Stock Plan, incorporated herein by reference.</w:t>
      </w:r>
    </w:p>
    <w:p>
      <w:pPr>
        <w:spacing w:after="0" w:line="208"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l. "Plan Year" means the 12-consecutive month period extending from January 3 to January 2.</w:t>
      </w:r>
    </w:p>
    <w:p>
      <w:pPr>
        <w:spacing w:after="0" w:line="208" w:lineRule="exact"/>
        <w:rPr>
          <w:sz w:val="20"/>
          <w:szCs w:val="20"/>
          <w:color w:val="auto"/>
        </w:rPr>
      </w:pPr>
    </w:p>
    <w:p>
      <w:pPr>
        <w:jc w:val="both"/>
        <w:ind w:right="2099" w:firstLine="1896"/>
        <w:spacing w:after="0" w:line="236" w:lineRule="auto"/>
        <w:rPr>
          <w:sz w:val="20"/>
          <w:szCs w:val="20"/>
          <w:color w:val="auto"/>
        </w:rPr>
      </w:pPr>
      <w:r>
        <w:rPr>
          <w:rFonts w:ascii="Courier New" w:cs="Courier New" w:eastAsia="Courier New" w:hAnsi="Courier New"/>
          <w:sz w:val="18"/>
          <w:szCs w:val="18"/>
          <w:color w:val="auto"/>
        </w:rPr>
        <w:t>m. "Restricted Period" means, with respect to each Share of Restricted Stock, the period beginning on the Date of Grant and ending on the Vesting Date.</w:t>
      </w:r>
    </w:p>
    <w:p>
      <w:pPr>
        <w:spacing w:after="0" w:line="209"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n. "Restricted Stock" means the [# of shares] Shares which are the subject of the Award hereby granted.</w:t>
      </w:r>
    </w:p>
    <w:p>
      <w:pPr>
        <w:spacing w:after="0" w:line="208" w:lineRule="exact"/>
        <w:rPr>
          <w:sz w:val="20"/>
          <w:szCs w:val="20"/>
          <w:color w:val="auto"/>
        </w:rPr>
      </w:pPr>
    </w:p>
    <w:p>
      <w:pPr>
        <w:ind w:right="2519" w:firstLine="1896"/>
        <w:spacing w:after="0" w:line="235" w:lineRule="auto"/>
        <w:rPr>
          <w:sz w:val="20"/>
          <w:szCs w:val="20"/>
          <w:color w:val="auto"/>
        </w:rPr>
      </w:pPr>
      <w:r>
        <w:rPr>
          <w:rFonts w:ascii="Courier New" w:cs="Courier New" w:eastAsia="Courier New" w:hAnsi="Courier New"/>
          <w:sz w:val="18"/>
          <w:szCs w:val="18"/>
          <w:color w:val="auto"/>
        </w:rPr>
        <w:t>o. "Retired Grantee" means Grantee, following Grantee's termination of employment pursuant to a Normal Retirement.</w:t>
      </w:r>
    </w:p>
    <w:p>
      <w:pPr>
        <w:spacing w:after="0" w:line="208"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p. "Rule 16b-3" means Rule 16b-3 promulgated under the 1934 Act, as in effect from time to time.</w:t>
      </w:r>
    </w:p>
    <w:p>
      <w:pPr>
        <w:spacing w:after="0" w:line="208" w:lineRule="exact"/>
        <w:rPr>
          <w:sz w:val="20"/>
          <w:szCs w:val="20"/>
          <w:color w:val="auto"/>
        </w:rPr>
      </w:pPr>
    </w:p>
    <w:p>
      <w:pPr>
        <w:ind w:right="2419" w:firstLine="1896"/>
        <w:spacing w:after="0" w:line="235" w:lineRule="auto"/>
        <w:rPr>
          <w:sz w:val="20"/>
          <w:szCs w:val="20"/>
          <w:color w:val="auto"/>
        </w:rPr>
      </w:pPr>
      <w:r>
        <w:rPr>
          <w:rFonts w:ascii="Courier New" w:cs="Courier New" w:eastAsia="Courier New" w:hAnsi="Courier New"/>
          <w:sz w:val="18"/>
          <w:szCs w:val="18"/>
          <w:color w:val="auto"/>
        </w:rPr>
        <w:t>q. "Shares" means shares of the Company's Class A Common Stock, par value $.01 per share.</w:t>
      </w:r>
    </w:p>
    <w:p>
      <w:pPr>
        <w:sectPr>
          <w:pgSz w:w="11900" w:h="16838" w:orient="portrait"/>
          <w:cols w:equalWidth="0" w:num="1">
            <w:col w:w="10219"/>
          </w:cols>
          <w:pgMar w:left="240" w:top="136" w:right="1440" w:bottom="0" w:gutter="0" w:footer="0" w:header="0"/>
        </w:sectPr>
      </w:pPr>
    </w:p>
    <w:bookmarkStart w:id="10" w:name="page11"/>
    <w:bookmarkEnd w:id="10"/>
    <w:p>
      <w:pPr>
        <w:ind w:right="1999" w:firstLine="1896"/>
        <w:spacing w:after="0" w:line="236" w:lineRule="auto"/>
        <w:rPr>
          <w:sz w:val="20"/>
          <w:szCs w:val="20"/>
          <w:color w:val="auto"/>
        </w:rPr>
      </w:pPr>
      <w:r>
        <w:rPr>
          <w:rFonts w:ascii="Courier New" w:cs="Courier New" w:eastAsia="Courier New" w:hAnsi="Courier New"/>
          <w:sz w:val="18"/>
          <w:szCs w:val="18"/>
          <w:color w:val="auto"/>
        </w:rPr>
        <w:t>r. "Vesting Date" means the date on which the restrictions imposed under Paragraph 3 on a Share of Restricted Stock lapse, as provided in Paragraph 4.</w:t>
      </w:r>
    </w:p>
    <w:p>
      <w:pPr>
        <w:spacing w:after="0" w:line="203"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 "1934 Act" means the Securities Exchange Act of 1934, as</w:t>
      </w:r>
    </w:p>
    <w:p>
      <w:pPr>
        <w:spacing w:after="0" w:line="238" w:lineRule="auto"/>
        <w:rPr>
          <w:sz w:val="20"/>
          <w:szCs w:val="20"/>
          <w:color w:val="auto"/>
        </w:rPr>
      </w:pPr>
      <w:r>
        <w:rPr>
          <w:rFonts w:ascii="Courier New" w:cs="Courier New" w:eastAsia="Courier New" w:hAnsi="Courier New"/>
          <w:sz w:val="18"/>
          <w:szCs w:val="18"/>
          <w:color w:val="auto"/>
        </w:rPr>
        <w:t>amended.</w:t>
      </w:r>
    </w:p>
    <w:p>
      <w:pPr>
        <w:spacing w:after="0" w:line="207" w:lineRule="exact"/>
        <w:rPr>
          <w:sz w:val="20"/>
          <w:szCs w:val="20"/>
          <w:color w:val="auto"/>
        </w:rPr>
      </w:pPr>
    </w:p>
    <w:p>
      <w:pPr>
        <w:ind w:right="1879" w:firstLine="956"/>
        <w:spacing w:after="0" w:line="236" w:lineRule="auto"/>
        <w:tabs>
          <w:tab w:leader="none" w:pos="126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Restricted Stock. Subject to the terms and conditions set forth herein and in the Plan, the Company hereby grants to Grantee [# of Units] the Restricted Stock.</w:t>
      </w:r>
    </w:p>
    <w:p>
      <w:pPr>
        <w:spacing w:after="0" w:line="208" w:lineRule="exact"/>
        <w:rPr>
          <w:rFonts w:ascii="Courier New" w:cs="Courier New" w:eastAsia="Courier New" w:hAnsi="Courier New"/>
          <w:sz w:val="18"/>
          <w:szCs w:val="18"/>
          <w:color w:val="auto"/>
        </w:rPr>
      </w:pPr>
    </w:p>
    <w:p>
      <w:pPr>
        <w:ind w:right="2319" w:firstLine="956"/>
        <w:spacing w:after="0" w:line="273" w:lineRule="auto"/>
        <w:tabs>
          <w:tab w:leader="none" w:pos="126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Restricted Stock. Subject to the terms and conditions set forth herein and in the Plan, during the Restricted Period, Grantee shall not be permitted to sell, transfer, pledge or assign the Restricted Stock. The Company shall maintain possession of the certificates respecting the Restricted Stock during the Restricted Period.</w:t>
      </w:r>
    </w:p>
    <w:p>
      <w:pPr>
        <w:spacing w:after="0" w:line="178" w:lineRule="exact"/>
        <w:rPr>
          <w:rFonts w:ascii="Courier New" w:cs="Courier New" w:eastAsia="Courier New" w:hAnsi="Courier New"/>
          <w:sz w:val="16"/>
          <w:szCs w:val="16"/>
          <w:color w:val="auto"/>
        </w:rPr>
      </w:pPr>
    </w:p>
    <w:p>
      <w:pPr>
        <w:ind w:left="1280" w:hanging="324"/>
        <w:spacing w:after="0"/>
        <w:tabs>
          <w:tab w:leader="none" w:pos="12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Lapse of Restrictions.</w:t>
      </w:r>
    </w:p>
    <w:p>
      <w:pPr>
        <w:spacing w:after="0" w:line="206" w:lineRule="exact"/>
        <w:rPr>
          <w:rFonts w:ascii="Courier New" w:cs="Courier New" w:eastAsia="Courier New" w:hAnsi="Courier New"/>
          <w:sz w:val="18"/>
          <w:szCs w:val="18"/>
          <w:color w:val="auto"/>
        </w:rPr>
      </w:pPr>
    </w:p>
    <w:p>
      <w:pPr>
        <w:ind w:right="1779" w:firstLine="1896"/>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Subject to the terms and conditions set forth herein and in the Plan, the restrictions set forth in Paragraph 3 on each Share of Restricted Stock that has not been forfeited shall lapse on the Vesting Date; provided, however, that on the Vesting Date, Grantee is, and has from the Date of Grant continuously been, an employee of a Participating Company during the Restricted Period.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44" w:right="1440" w:bottom="1440" w:gutter="0" w:footer="0" w:header="0"/>
        </w:sectPr>
      </w:pPr>
    </w:p>
    <w:bookmarkStart w:id="11" w:name="page12"/>
    <w:bookmarkEnd w:id="11"/>
    <w:p>
      <w:pPr>
        <w:ind w:right="1999" w:firstLine="1896"/>
        <w:spacing w:after="0" w:line="236" w:lineRule="auto"/>
        <w:rPr>
          <w:sz w:val="20"/>
          <w:szCs w:val="20"/>
          <w:color w:val="auto"/>
        </w:rPr>
      </w:pPr>
      <w:r>
        <w:rPr>
          <w:rFonts w:ascii="Courier New" w:cs="Courier New" w:eastAsia="Courier New" w:hAnsi="Courier New"/>
          <w:sz w:val="18"/>
          <w:szCs w:val="18"/>
          <w:color w:val="auto"/>
        </w:rPr>
        <w:t>b. Subject to Paragraph 4(a) and 4(c), a Vesting Date for Shares of Restricted Stock subject to the Award shall occur in accordance with the following schedule:</w:t>
      </w:r>
    </w:p>
    <w:p>
      <w:pPr>
        <w:spacing w:after="0" w:line="209" w:lineRule="exact"/>
        <w:rPr>
          <w:sz w:val="20"/>
          <w:szCs w:val="20"/>
          <w:color w:val="auto"/>
        </w:rPr>
      </w:pPr>
    </w:p>
    <w:p>
      <w:pPr>
        <w:ind w:left="2640" w:right="1879" w:hanging="525"/>
        <w:spacing w:after="0" w:line="235" w:lineRule="auto"/>
        <w:tabs>
          <w:tab w:leader="none" w:pos="2640"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to [15%] of the Shares of the Restricted Stock, the first anniversary of the Date of Grant.</w:t>
      </w:r>
    </w:p>
    <w:p>
      <w:pPr>
        <w:spacing w:after="0" w:line="208" w:lineRule="exact"/>
        <w:rPr>
          <w:rFonts w:ascii="Courier New" w:cs="Courier New" w:eastAsia="Courier New" w:hAnsi="Courier New"/>
          <w:sz w:val="18"/>
          <w:szCs w:val="18"/>
          <w:color w:val="auto"/>
        </w:rPr>
      </w:pPr>
    </w:p>
    <w:p>
      <w:pPr>
        <w:ind w:left="2640" w:right="1779" w:hanging="525"/>
        <w:spacing w:after="0" w:line="236" w:lineRule="auto"/>
        <w:tabs>
          <w:tab w:leader="none" w:pos="2640"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to an additional [15%] of the Shares of the Restricted Stock, the second anniversary of the Date of Grant.</w:t>
      </w:r>
    </w:p>
    <w:p>
      <w:pPr>
        <w:spacing w:after="0" w:line="208" w:lineRule="exact"/>
        <w:rPr>
          <w:rFonts w:ascii="Courier New" w:cs="Courier New" w:eastAsia="Courier New" w:hAnsi="Courier New"/>
          <w:sz w:val="18"/>
          <w:szCs w:val="18"/>
          <w:color w:val="auto"/>
        </w:rPr>
      </w:pPr>
    </w:p>
    <w:p>
      <w:pPr>
        <w:ind w:left="2640" w:right="1879" w:hanging="525"/>
        <w:spacing w:after="0" w:line="236" w:lineRule="auto"/>
        <w:tabs>
          <w:tab w:leader="none" w:pos="2640"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to an additional [15%] of the Shares of the Restricted Stock, the third anniversary of the Date of Grant.</w:t>
      </w:r>
    </w:p>
    <w:p>
      <w:pPr>
        <w:spacing w:after="0" w:line="208" w:lineRule="exact"/>
        <w:rPr>
          <w:rFonts w:ascii="Courier New" w:cs="Courier New" w:eastAsia="Courier New" w:hAnsi="Courier New"/>
          <w:sz w:val="18"/>
          <w:szCs w:val="18"/>
          <w:color w:val="auto"/>
        </w:rPr>
      </w:pPr>
    </w:p>
    <w:p>
      <w:pPr>
        <w:ind w:left="2640" w:right="1779" w:hanging="525"/>
        <w:spacing w:after="0" w:line="236" w:lineRule="auto"/>
        <w:tabs>
          <w:tab w:leader="none" w:pos="2640"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to an additional [15%] of the Shares of the Restricted Stock, the fourth anniversary of the Date of Grant.</w:t>
      </w:r>
    </w:p>
    <w:p>
      <w:pPr>
        <w:spacing w:after="0" w:line="208" w:lineRule="exact"/>
        <w:rPr>
          <w:rFonts w:ascii="Courier New" w:cs="Courier New" w:eastAsia="Courier New" w:hAnsi="Courier New"/>
          <w:sz w:val="18"/>
          <w:szCs w:val="18"/>
          <w:color w:val="auto"/>
        </w:rPr>
      </w:pPr>
    </w:p>
    <w:p>
      <w:pPr>
        <w:ind w:left="2640" w:right="2099" w:hanging="525"/>
        <w:spacing w:after="0" w:line="236" w:lineRule="auto"/>
        <w:tabs>
          <w:tab w:leader="none" w:pos="2640"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to an additional [40%] of the Shares of the Restricted Stock Units, the fifth anniversary of the Date of Grant.</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212"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Paragraphs 4(a) or (b) to the contrary, if Grantee terminates employment with the Company or a Subsidiary Company during the Restricted Period due to his death or due to Grantee becoming a Disabled Grantee within the meaning of Paragraph 1(h)(1), the Vesting Date for the Shares of Restricted Stock shall be accelerated so that a Vesting Date will be deemed to occur with respect to the Shares of Restricted Stock on the date of such termination of employment.</w:t>
      </w:r>
    </w:p>
    <w:p>
      <w:pPr>
        <w:spacing w:after="0" w:line="205"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Forfeiture of Restricted Stock.</w:t>
      </w:r>
    </w:p>
    <w:p>
      <w:pPr>
        <w:spacing w:after="0" w:line="206" w:lineRule="exact"/>
        <w:rPr>
          <w:rFonts w:ascii="Courier New" w:cs="Courier New" w:eastAsia="Courier New" w:hAnsi="Courier New"/>
          <w:sz w:val="18"/>
          <w:szCs w:val="18"/>
          <w:color w:val="auto"/>
        </w:rPr>
      </w:pPr>
    </w:p>
    <w:p>
      <w:pPr>
        <w:ind w:right="1779" w:firstLine="1904"/>
        <w:spacing w:after="0" w:line="237" w:lineRule="auto"/>
        <w:tabs>
          <w:tab w:leader="none" w:pos="2212"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terms and conditions set forth herein and in the Plan, if Grantee terminates employment with the Company and all Subsidiary Companies during the Restricted Period, other than due to death or disability, Grantee shall forfeit the Restricted Stock as of such termination of employment. Upon a forfeiture of the Restricted Stock as provided in this Paragraph 5, the Shares of Restricted Stock shall be deemed canceled.</w:t>
      </w:r>
    </w:p>
    <w:p>
      <w:pPr>
        <w:spacing w:after="0" w:line="209" w:lineRule="exact"/>
        <w:rPr>
          <w:rFonts w:ascii="Courier New" w:cs="Courier New" w:eastAsia="Courier New" w:hAnsi="Courier New"/>
          <w:sz w:val="18"/>
          <w:szCs w:val="18"/>
          <w:color w:val="auto"/>
        </w:rPr>
      </w:pPr>
    </w:p>
    <w:p>
      <w:pPr>
        <w:ind w:right="2319" w:firstLine="1904"/>
        <w:spacing w:after="0" w:line="236" w:lineRule="auto"/>
        <w:tabs>
          <w:tab w:leader="none" w:pos="2212"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Paragraph 5 shall not apply to Shares of Restricted Stock as to which the restrictions of Paragraph 3 have lapsed.</w:t>
      </w:r>
    </w:p>
    <w:p>
      <w:pPr>
        <w:spacing w:after="0" w:line="208" w:lineRule="exact"/>
        <w:rPr>
          <w:rFonts w:ascii="Courier New" w:cs="Courier New" w:eastAsia="Courier New" w:hAnsi="Courier New"/>
          <w:sz w:val="18"/>
          <w:szCs w:val="18"/>
          <w:color w:val="auto"/>
        </w:rPr>
      </w:pPr>
    </w:p>
    <w:p>
      <w:pPr>
        <w:ind w:right="1999" w:firstLine="956"/>
        <w:spacing w:after="0" w:line="237" w:lineRule="auto"/>
        <w:tabs>
          <w:tab w:leader="none" w:pos="1264"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of Grantee. During the Restricted Period and during any period of deferral under Paragraph 7, Grantee shall not have the right to vote the Restricted Stock nor to receive cash dividends with respect to the Restricted Stock.</w:t>
      </w:r>
    </w:p>
    <w:p>
      <w:pPr>
        <w:spacing w:after="0" w:line="207" w:lineRule="exact"/>
        <w:rPr>
          <w:rFonts w:ascii="Courier New" w:cs="Courier New" w:eastAsia="Courier New" w:hAnsi="Courier New"/>
          <w:sz w:val="18"/>
          <w:szCs w:val="18"/>
          <w:color w:val="auto"/>
        </w:rPr>
      </w:pPr>
    </w:p>
    <w:p>
      <w:pPr>
        <w:ind w:right="1779" w:firstLine="956"/>
        <w:spacing w:after="0" w:line="236" w:lineRule="auto"/>
        <w:tabs>
          <w:tab w:leader="none" w:pos="1264"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Deferral Elections. Grantee may elect to defer the receipt of Shares issuable with respect to Restricted Stock, consistent, however, with the following:</w:t>
      </w:r>
    </w:p>
    <w:p>
      <w:pPr>
        <w:spacing w:after="0" w:line="203" w:lineRule="exact"/>
        <w:rPr>
          <w:rFonts w:ascii="Courier New" w:cs="Courier New" w:eastAsia="Courier New" w:hAnsi="Courier New"/>
          <w:sz w:val="18"/>
          <w:szCs w:val="18"/>
          <w:color w:val="auto"/>
        </w:rPr>
      </w:pPr>
    </w:p>
    <w:p>
      <w:pPr>
        <w:ind w:left="2220" w:hanging="316"/>
        <w:spacing w:after="0"/>
        <w:tabs>
          <w:tab w:leader="none" w:pos="22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Deferral Elections.</w:t>
      </w:r>
    </w:p>
    <w:p>
      <w:pPr>
        <w:spacing w:after="0" w:line="206" w:lineRule="exact"/>
        <w:rPr>
          <w:rFonts w:ascii="Courier New" w:cs="Courier New" w:eastAsia="Courier New" w:hAnsi="Courier New"/>
          <w:sz w:val="18"/>
          <w:szCs w:val="18"/>
          <w:color w:val="auto"/>
        </w:rPr>
      </w:pPr>
    </w:p>
    <w:p>
      <w:pPr>
        <w:ind w:left="2640" w:right="1879" w:hanging="525"/>
        <w:spacing w:after="0" w:line="237" w:lineRule="auto"/>
        <w:tabs>
          <w:tab w:leader="none" w:pos="2640"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Election. Grantee shall have the right to make an Initial Election to defer the receipt of all or a portion of the Shares issuable with respect to Restricted Stock as to which a Vesting Date may occur in the succeeding Plan Year by filing 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12" w:name="page13"/>
    <w:bookmarkEnd w:id="12"/>
    <w:p>
      <w:pPr>
        <w:ind w:left="2520" w:right="1779"/>
        <w:spacing w:after="0" w:line="290" w:lineRule="auto"/>
        <w:rPr>
          <w:sz w:val="20"/>
          <w:szCs w:val="20"/>
          <w:color w:val="auto"/>
        </w:rPr>
      </w:pPr>
      <w:r>
        <w:rPr>
          <w:rFonts w:ascii="Courier New" w:cs="Courier New" w:eastAsia="Courier New" w:hAnsi="Courier New"/>
          <w:sz w:val="16"/>
          <w:szCs w:val="16"/>
          <w:color w:val="auto"/>
        </w:rPr>
        <w:t>Initial Election to defer the receipt of such Shares on the form provided by the Committee for this purpose.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20" w:type="dxa"/>
            <w:vAlign w:val="bottom"/>
          </w:tcPr>
          <w:p>
            <w:pPr>
              <w:spacing w:after="0"/>
              <w:rPr>
                <w:sz w:val="17"/>
                <w:szCs w:val="17"/>
                <w:color w:val="auto"/>
              </w:rPr>
            </w:pPr>
          </w:p>
        </w:tc>
        <w:tc>
          <w:tcPr>
            <w:tcW w:w="6700" w:type="dxa"/>
            <w:vAlign w:val="bottom"/>
            <w:gridSpan w:val="4"/>
          </w:tcPr>
          <w:p>
            <w:pPr>
              <w:ind w:left="380"/>
              <w:spacing w:after="0"/>
              <w:rPr>
                <w:sz w:val="20"/>
                <w:szCs w:val="20"/>
                <w:color w:val="auto"/>
              </w:rPr>
            </w:pPr>
            <w:r>
              <w:rPr>
                <w:rFonts w:ascii="Courier New" w:cs="Courier New" w:eastAsia="Courier New" w:hAnsi="Courier New"/>
                <w:sz w:val="18"/>
                <w:szCs w:val="18"/>
                <w:color w:val="auto"/>
                <w:w w:val="98"/>
              </w:rPr>
              <w:t>(2)  Deadline for Deferral Election. An Initial Election to</w:t>
            </w:r>
          </w:p>
        </w:tc>
      </w:tr>
      <w:tr>
        <w:trPr>
          <w:trHeight w:val="203"/>
        </w:trPr>
        <w:tc>
          <w:tcPr>
            <w:tcW w:w="1620" w:type="dxa"/>
            <w:vAlign w:val="bottom"/>
          </w:tcPr>
          <w:p>
            <w:pPr>
              <w:spacing w:after="0"/>
              <w:rPr>
                <w:sz w:val="17"/>
                <w:szCs w:val="17"/>
                <w:color w:val="auto"/>
              </w:rPr>
            </w:pPr>
          </w:p>
        </w:tc>
        <w:tc>
          <w:tcPr>
            <w:tcW w:w="30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w w:val="99"/>
              </w:rPr>
              <w:t>defer the receipt of</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issuable with respect to</w:t>
            </w:r>
          </w:p>
        </w:tc>
      </w:tr>
      <w:tr>
        <w:trPr>
          <w:trHeight w:val="203"/>
        </w:trPr>
        <w:tc>
          <w:tcPr>
            <w:tcW w:w="1620" w:type="dxa"/>
            <w:vAlign w:val="bottom"/>
          </w:tcPr>
          <w:p>
            <w:pPr>
              <w:spacing w:after="0"/>
              <w:rPr>
                <w:sz w:val="17"/>
                <w:szCs w:val="17"/>
                <w:color w:val="auto"/>
              </w:rPr>
            </w:pPr>
          </w:p>
        </w:tc>
        <w:tc>
          <w:tcPr>
            <w:tcW w:w="2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9"/>
              </w:rPr>
              <w:t>Restricted Stock</w:t>
            </w:r>
          </w:p>
        </w:tc>
        <w:tc>
          <w:tcPr>
            <w:tcW w:w="4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as to which a Vesting Date may occur</w:t>
            </w:r>
          </w:p>
        </w:tc>
      </w:tr>
      <w:tr>
        <w:trPr>
          <w:trHeight w:val="203"/>
        </w:trPr>
        <w:tc>
          <w:tcPr>
            <w:tcW w:w="1620" w:type="dxa"/>
            <w:vAlign w:val="bottom"/>
          </w:tcPr>
          <w:p>
            <w:pPr>
              <w:spacing w:after="0"/>
              <w:rPr>
                <w:sz w:val="17"/>
                <w:szCs w:val="17"/>
                <w:color w:val="auto"/>
              </w:rPr>
            </w:pPr>
          </w:p>
        </w:tc>
        <w:tc>
          <w:tcPr>
            <w:tcW w:w="6700" w:type="dxa"/>
            <w:vAlign w:val="bottom"/>
            <w:gridSpan w:val="4"/>
          </w:tcPr>
          <w:p>
            <w:pPr>
              <w:ind w:left="900"/>
              <w:spacing w:after="0" w:line="203" w:lineRule="exact"/>
              <w:rPr>
                <w:sz w:val="20"/>
                <w:szCs w:val="20"/>
                <w:color w:val="auto"/>
              </w:rPr>
            </w:pPr>
            <w:r>
              <w:rPr>
                <w:rFonts w:ascii="Courier New" w:cs="Courier New" w:eastAsia="Courier New" w:hAnsi="Courier New"/>
                <w:sz w:val="18"/>
                <w:szCs w:val="18"/>
                <w:color w:val="auto"/>
              </w:rPr>
              <w:t>on the date set forth in Column A below, shall not be</w:t>
            </w:r>
          </w:p>
        </w:tc>
      </w:tr>
      <w:tr>
        <w:trPr>
          <w:trHeight w:val="203"/>
        </w:trPr>
        <w:tc>
          <w:tcPr>
            <w:tcW w:w="1620" w:type="dxa"/>
            <w:vAlign w:val="bottom"/>
          </w:tcPr>
          <w:p>
            <w:pPr>
              <w:spacing w:after="0"/>
              <w:rPr>
                <w:sz w:val="17"/>
                <w:szCs w:val="17"/>
                <w:color w:val="auto"/>
              </w:rPr>
            </w:pPr>
          </w:p>
        </w:tc>
        <w:tc>
          <w:tcPr>
            <w:tcW w:w="2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9"/>
              </w:rPr>
              <w:t>effective unless</w:t>
            </w:r>
          </w:p>
        </w:tc>
        <w:tc>
          <w:tcPr>
            <w:tcW w:w="4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it is filed with the Committee on or</w:t>
            </w:r>
          </w:p>
        </w:tc>
      </w:tr>
      <w:tr>
        <w:trPr>
          <w:trHeight w:val="203"/>
        </w:trPr>
        <w:tc>
          <w:tcPr>
            <w:tcW w:w="1620" w:type="dxa"/>
            <w:vAlign w:val="bottom"/>
          </w:tcPr>
          <w:p>
            <w:pPr>
              <w:spacing w:after="0"/>
              <w:rPr>
                <w:sz w:val="17"/>
                <w:szCs w:val="17"/>
                <w:color w:val="auto"/>
              </w:rPr>
            </w:pPr>
          </w:p>
        </w:tc>
        <w:tc>
          <w:tcPr>
            <w:tcW w:w="3580" w:type="dxa"/>
            <w:vAlign w:val="bottom"/>
            <w:gridSpan w:val="3"/>
          </w:tcPr>
          <w:p>
            <w:pPr>
              <w:ind w:left="900"/>
              <w:spacing w:after="0" w:line="203" w:lineRule="exact"/>
              <w:rPr>
                <w:sz w:val="20"/>
                <w:szCs w:val="20"/>
                <w:color w:val="auto"/>
              </w:rPr>
            </w:pPr>
            <w:r>
              <w:rPr>
                <w:rFonts w:ascii="Courier New" w:cs="Courier New" w:eastAsia="Courier New" w:hAnsi="Courier New"/>
                <w:sz w:val="18"/>
                <w:szCs w:val="18"/>
                <w:color w:val="auto"/>
                <w:w w:val="98"/>
              </w:rPr>
              <w:t>before the date set forth</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Column B below.</w:t>
            </w:r>
          </w:p>
        </w:tc>
      </w:tr>
      <w:tr>
        <w:trPr>
          <w:trHeight w:val="405"/>
        </w:trPr>
        <w:tc>
          <w:tcPr>
            <w:tcW w:w="1620" w:type="dxa"/>
            <w:vAlign w:val="bottom"/>
          </w:tcPr>
          <w:p>
            <w:pPr>
              <w:spacing w:after="0"/>
              <w:rPr>
                <w:sz w:val="20"/>
                <w:szCs w:val="20"/>
                <w:color w:val="auto"/>
              </w:rPr>
            </w:pPr>
            <w:r>
              <w:rPr>
                <w:rFonts w:ascii="Courier New" w:cs="Courier New" w:eastAsia="Courier New" w:hAnsi="Courier New"/>
                <w:sz w:val="18"/>
                <w:szCs w:val="18"/>
                <w:color w:val="auto"/>
              </w:rPr>
              <w:t>Column A</w:t>
            </w:r>
          </w:p>
        </w:tc>
        <w:tc>
          <w:tcPr>
            <w:tcW w:w="2640" w:type="dxa"/>
            <w:vAlign w:val="bottom"/>
          </w:tcPr>
          <w:p>
            <w:pPr>
              <w:ind w:left="1740"/>
              <w:spacing w:after="0"/>
              <w:rPr>
                <w:sz w:val="20"/>
                <w:szCs w:val="20"/>
                <w:color w:val="auto"/>
              </w:rPr>
            </w:pPr>
            <w:r>
              <w:rPr>
                <w:rFonts w:ascii="Courier New" w:cs="Courier New" w:eastAsia="Courier New" w:hAnsi="Courier New"/>
                <w:sz w:val="18"/>
                <w:szCs w:val="18"/>
                <w:color w:val="auto"/>
              </w:rPr>
              <w:t>Column B</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03"/>
        </w:trPr>
        <w:tc>
          <w:tcPr>
            <w:tcW w:w="1620" w:type="dxa"/>
            <w:vAlign w:val="bottom"/>
          </w:tcPr>
          <w:p>
            <w:pPr>
              <w:spacing w:after="0" w:line="203" w:lineRule="exact"/>
              <w:rPr>
                <w:sz w:val="20"/>
                <w:szCs w:val="20"/>
                <w:color w:val="auto"/>
              </w:rPr>
            </w:pPr>
            <w:r>
              <w:rPr>
                <w:rFonts w:ascii="Courier New" w:cs="Courier New" w:eastAsia="Courier New" w:hAnsi="Courier New"/>
                <w:sz w:val="18"/>
                <w:szCs w:val="18"/>
                <w:color w:val="auto"/>
              </w:rPr>
              <w:t>Vesting Date</w:t>
            </w:r>
          </w:p>
        </w:tc>
        <w:tc>
          <w:tcPr>
            <w:tcW w:w="2640" w:type="dxa"/>
            <w:vAlign w:val="bottom"/>
          </w:tcPr>
          <w:p>
            <w:pPr>
              <w:ind w:left="1740"/>
              <w:spacing w:after="0" w:line="203" w:lineRule="exact"/>
              <w:rPr>
                <w:sz w:val="20"/>
                <w:szCs w:val="20"/>
                <w:color w:val="auto"/>
              </w:rPr>
            </w:pPr>
            <w:r>
              <w:rPr>
                <w:rFonts w:ascii="Courier New" w:cs="Courier New" w:eastAsia="Courier New" w:hAnsi="Courier New"/>
                <w:sz w:val="18"/>
                <w:szCs w:val="18"/>
                <w:color w:val="auto"/>
              </w:rPr>
              <w:t>Election</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Deadline</w:t>
            </w:r>
          </w:p>
        </w:tc>
        <w:tc>
          <w:tcPr>
            <w:tcW w:w="3120" w:type="dxa"/>
            <w:vAlign w:val="bottom"/>
          </w:tcPr>
          <w:p>
            <w:pPr>
              <w:spacing w:after="0"/>
              <w:rPr>
                <w:sz w:val="17"/>
                <w:szCs w:val="17"/>
                <w:color w:val="auto"/>
              </w:rPr>
            </w:pPr>
          </w:p>
        </w:tc>
      </w:tr>
      <w:tr>
        <w:trPr>
          <w:trHeight w:val="203"/>
        </w:trPr>
        <w:tc>
          <w:tcPr>
            <w:tcW w:w="16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120" w:type="dxa"/>
            <w:vAlign w:val="bottom"/>
          </w:tcPr>
          <w:p>
            <w:pPr>
              <w:spacing w:after="0"/>
              <w:rPr>
                <w:sz w:val="17"/>
                <w:szCs w:val="17"/>
                <w:color w:val="auto"/>
              </w:rPr>
            </w:pPr>
          </w:p>
        </w:tc>
      </w:tr>
      <w:tr>
        <w:trPr>
          <w:trHeight w:val="405"/>
        </w:trPr>
        <w:tc>
          <w:tcPr>
            <w:tcW w:w="4260" w:type="dxa"/>
            <w:vAlign w:val="bottom"/>
            <w:gridSpan w:val="2"/>
          </w:tcPr>
          <w:p>
            <w:pPr>
              <w:spacing w:after="0"/>
              <w:rPr>
                <w:sz w:val="20"/>
                <w:szCs w:val="20"/>
                <w:color w:val="auto"/>
              </w:rPr>
            </w:pPr>
            <w:r>
              <w:rPr>
                <w:rFonts w:ascii="Courier New" w:cs="Courier New" w:eastAsia="Courier New" w:hAnsi="Courier New"/>
                <w:sz w:val="18"/>
                <w:szCs w:val="18"/>
                <w:color w:val="auto"/>
                <w:w w:val="98"/>
              </w:rPr>
              <w:t>[1st anniversary of grant date] December</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31,</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[same year as year of grant]</w:t>
            </w:r>
          </w:p>
        </w:tc>
      </w:tr>
      <w:tr>
        <w:trPr>
          <w:trHeight w:val="203"/>
        </w:trPr>
        <w:tc>
          <w:tcPr>
            <w:tcW w:w="4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[2nd anniversary of grant date] December</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[1st</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year following year of grant]</w:t>
            </w:r>
          </w:p>
        </w:tc>
      </w:tr>
      <w:tr>
        <w:trPr>
          <w:trHeight w:val="203"/>
        </w:trPr>
        <w:tc>
          <w:tcPr>
            <w:tcW w:w="4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[3rd anniversary of grant date] December</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[2nd</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year following year of grant]</w:t>
            </w:r>
          </w:p>
        </w:tc>
      </w:tr>
      <w:tr>
        <w:trPr>
          <w:trHeight w:val="203"/>
        </w:trPr>
        <w:tc>
          <w:tcPr>
            <w:tcW w:w="4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[4th anniversary of grant date] December</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[3rd</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year following year of grant]</w:t>
            </w:r>
          </w:p>
        </w:tc>
      </w:tr>
    </w:tbl>
    <w:p>
      <w:pPr>
        <w:spacing w:after="0" w:line="207" w:lineRule="exact"/>
        <w:rPr>
          <w:sz w:val="20"/>
          <w:szCs w:val="20"/>
          <w:color w:val="auto"/>
        </w:rPr>
      </w:pPr>
    </w:p>
    <w:p>
      <w:pPr>
        <w:ind w:left="2520" w:right="1879" w:hanging="525"/>
        <w:spacing w:after="0" w:line="268" w:lineRule="auto"/>
        <w:tabs>
          <w:tab w:leader="none" w:pos="252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Deferral Period. Subject to Paragraph 7(b), all Shares issuable with respect to Restricted Stock that is subject to an Initial Election under this Paragraph 7(a) shall be delivered to Grantee without any legend or restrictions (except those that may be imposed by the Committee, in its sole judgment, under Paragraph</w:t>
      </w:r>
    </w:p>
    <w:p>
      <w:pPr>
        <w:spacing w:after="0" w:line="1" w:lineRule="exact"/>
        <w:rPr>
          <w:rFonts w:ascii="Courier New" w:cs="Courier New" w:eastAsia="Courier New" w:hAnsi="Courier New"/>
          <w:sz w:val="16"/>
          <w:szCs w:val="16"/>
          <w:color w:val="auto"/>
        </w:rPr>
      </w:pPr>
    </w:p>
    <w:p>
      <w:pPr>
        <w:ind w:left="2520"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on the date designated by Grantee, which shall not be earlier than January 2 of the second calendar year beginning after the Vesting Date, nor later than January 2 of the tenth calendar year beginning after the Vesting Date.</w:t>
      </w:r>
    </w:p>
    <w:p>
      <w:pPr>
        <w:spacing w:after="0" w:line="208" w:lineRule="exact"/>
        <w:rPr>
          <w:rFonts w:ascii="Courier New" w:cs="Courier New" w:eastAsia="Courier New" w:hAnsi="Courier New"/>
          <w:sz w:val="16"/>
          <w:szCs w:val="16"/>
          <w:color w:val="auto"/>
        </w:rPr>
      </w:pPr>
    </w:p>
    <w:p>
      <w:pPr>
        <w:ind w:left="2520" w:right="1879" w:hanging="525"/>
        <w:spacing w:after="0" w:line="237" w:lineRule="auto"/>
        <w:tabs>
          <w:tab w:leader="none" w:pos="252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Failure of Vesting Date to Occur. An Initial Election shall be null and void if a Vesting Date does not occur with respect to Restricted Stock identified in such Initial Election.</w:t>
      </w:r>
    </w:p>
    <w:p>
      <w:pPr>
        <w:spacing w:after="0" w:line="201" w:lineRule="exact"/>
        <w:rPr>
          <w:rFonts w:ascii="Courier New" w:cs="Courier New" w:eastAsia="Courier New" w:hAnsi="Courier New"/>
          <w:sz w:val="18"/>
          <w:szCs w:val="18"/>
          <w:color w:val="auto"/>
        </w:rPr>
      </w:pPr>
    </w:p>
    <w:p>
      <w:pPr>
        <w:ind w:left="2100" w:hanging="316"/>
        <w:spacing w:after="0"/>
        <w:tabs>
          <w:tab w:leader="none" w:pos="21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Elections/Acceleration Elections.</w:t>
      </w:r>
    </w:p>
    <w:p>
      <w:pPr>
        <w:spacing w:after="0" w:line="206" w:lineRule="exact"/>
        <w:rPr>
          <w:rFonts w:ascii="Courier New" w:cs="Courier New" w:eastAsia="Courier New" w:hAnsi="Courier New"/>
          <w:sz w:val="18"/>
          <w:szCs w:val="18"/>
          <w:color w:val="auto"/>
        </w:rPr>
      </w:pPr>
    </w:p>
    <w:p>
      <w:pPr>
        <w:ind w:left="2520" w:right="1779" w:hanging="525"/>
        <w:spacing w:after="0" w:line="237" w:lineRule="auto"/>
        <w:tabs>
          <w:tab w:leader="none" w:pos="252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before June 30 of the calendar year preceding the calendar year in which Shares subject to an Initial Election under Paragraph 7(a) are to be delivered to Grantee, Grantee may make a Subsequent Election to defer the receipt of all or any portion of such Shares for a minimum of two and a maximum of ten additional years.</w:t>
      </w:r>
    </w:p>
    <w:p>
      <w:pPr>
        <w:spacing w:after="0" w:line="211" w:lineRule="exact"/>
        <w:rPr>
          <w:rFonts w:ascii="Courier New" w:cs="Courier New" w:eastAsia="Courier New" w:hAnsi="Courier New"/>
          <w:sz w:val="18"/>
          <w:szCs w:val="18"/>
          <w:color w:val="auto"/>
        </w:rPr>
      </w:pPr>
    </w:p>
    <w:p>
      <w:pPr>
        <w:ind w:left="2520" w:right="1779" w:hanging="525"/>
        <w:spacing w:after="0" w:line="268" w:lineRule="auto"/>
        <w:tabs>
          <w:tab w:leader="none" w:pos="252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Grantee dies before Shares subject to an Initial Election under Paragraph 7(a) are to be delivered, the estate or beneficiary to whom the right to delivery of such Shares shall have passed may elect to make a Subsequent Election to defer all or any portion of such Shares for a minimum of two additional years from the date delivery of Shares would otherwise by made, provided that such Shares shall be delivered in full on or before the fifth anniversary of Grantee's death. A Subsequent Election must be filed with the Committee by</w:t>
      </w:r>
    </w:p>
    <w:p>
      <w:pPr>
        <w:spacing w:after="0" w:line="1" w:lineRule="exact"/>
        <w:rPr>
          <w:rFonts w:ascii="Courier New" w:cs="Courier New" w:eastAsia="Courier New" w:hAnsi="Courier New"/>
          <w:sz w:val="16"/>
          <w:szCs w:val="16"/>
          <w:color w:val="auto"/>
        </w:rPr>
      </w:pPr>
    </w:p>
    <w:p>
      <w:pPr>
        <w:ind w:left="2520" w:right="1879" w:firstLine="2"/>
        <w:spacing w:after="0" w:line="273" w:lineRule="auto"/>
        <w:tabs>
          <w:tab w:leader="none" w:pos="2941"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June 30 following Grantee's death on or before May 1 of a calendar year, (B) the 60th day following Grantee's death after May 1 and before November 2 of a calendar year and (C) the December 31 following Grantee's death after November 1 of a calendar year.</w:t>
      </w:r>
    </w:p>
    <w:p>
      <w:pPr>
        <w:spacing w:after="0" w:line="184" w:lineRule="exact"/>
        <w:rPr>
          <w:rFonts w:ascii="Courier New" w:cs="Courier New" w:eastAsia="Courier New" w:hAnsi="Courier New"/>
          <w:sz w:val="16"/>
          <w:szCs w:val="16"/>
          <w:color w:val="auto"/>
        </w:rPr>
      </w:pPr>
    </w:p>
    <w:p>
      <w:pPr>
        <w:ind w:left="2520" w:right="1779" w:hanging="525"/>
        <w:spacing w:after="0" w:line="237" w:lineRule="auto"/>
        <w:tabs>
          <w:tab w:leader="none" w:pos="252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lieu of a Subsequent Election described in Paragraph 7(b)(2), the estate or beneficiary to whom the right to delivery of Shares shall have passed may make an Acceleration Election to accelerate the delivery date of such Shares from the date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099"/>
          </w:cols>
          <w:pgMar w:left="360" w:top="925" w:right="1440" w:bottom="970" w:gutter="0" w:footer="0" w:header="0"/>
        </w:sectPr>
      </w:pPr>
    </w:p>
    <w:bookmarkStart w:id="13" w:name="page14"/>
    <w:bookmarkEnd w:id="13"/>
    <w:p>
      <w:pPr>
        <w:ind w:left="1440" w:right="1779"/>
        <w:spacing w:after="0" w:line="268" w:lineRule="auto"/>
        <w:rPr>
          <w:sz w:val="20"/>
          <w:szCs w:val="20"/>
          <w:color w:val="auto"/>
        </w:rPr>
      </w:pPr>
      <w:r>
        <w:rPr>
          <w:rFonts w:ascii="Courier New" w:cs="Courier New" w:eastAsia="Courier New" w:hAnsi="Courier New"/>
          <w:sz w:val="16"/>
          <w:szCs w:val="16"/>
          <w:color w:val="auto"/>
        </w:rPr>
        <w:t>delivery of such Shares would otherwise be made to January 2 of the calendar year beginning after Grantee's death. An Acceleration Election must be filed with the Committee by (A) the June 30 following Grantee's death on or before May 1 of a calendar year,</w:t>
      </w:r>
    </w:p>
    <w:p>
      <w:pPr>
        <w:spacing w:after="0" w:line="1" w:lineRule="exact"/>
        <w:rPr>
          <w:sz w:val="20"/>
          <w:szCs w:val="20"/>
          <w:color w:val="auto"/>
        </w:rPr>
      </w:pPr>
    </w:p>
    <w:p>
      <w:pPr>
        <w:ind w:left="1440" w:right="1879" w:firstLine="2"/>
        <w:spacing w:after="0" w:line="237" w:lineRule="auto"/>
        <w:tabs>
          <w:tab w:leader="none" w:pos="1861" w:val="left"/>
        </w:tabs>
        <w:numPr>
          <w:ilvl w:val="2"/>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60th day following Grantee's death after May 1 and before November 2 of a calendar year and (C) the December 31 following Grantee's death after November 1 of a calendar year.</w:t>
      </w:r>
    </w:p>
    <w:p>
      <w:pPr>
        <w:spacing w:after="0" w:line="207" w:lineRule="exact"/>
        <w:rPr>
          <w:rFonts w:ascii="Courier New" w:cs="Courier New" w:eastAsia="Courier New" w:hAnsi="Courier New"/>
          <w:sz w:val="18"/>
          <w:szCs w:val="18"/>
          <w:color w:val="auto"/>
        </w:rPr>
      </w:pPr>
    </w:p>
    <w:p>
      <w:pPr>
        <w:ind w:left="1440" w:right="1779" w:hanging="525"/>
        <w:spacing w:after="0" w:line="269" w:lineRule="auto"/>
        <w:tabs>
          <w:tab w:leader="none" w:pos="144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Grantee becomes a Disabled Grantee before the Shares subject to an Initial Election under Paragraph 7(a) are to be delivered, the Grantee may make an Acceleration Election to accelerate the delivery date of such Shares from the date delivery of such Shares would otherwise be made to January 2 of the calendar year beginning after Grantee becomes a Disabled Grantee. An Acceleration Election must be filed with the Committee by (A) the June 30 following the date Grantee becomes a Disabled Grantee if Grantee becomes a Disabled Grantee on or before May 1 of a calendar year, (B) the 60th day following the date Grantee becomes a Disabled Grantee if Grantee becomes a Disabled Grantee after May 1 and before November 2 of a calendar year and (C) the December 31 following the date Grantee becomes a Disabled Grantee if Grantee becomes a Disabled Grantee after November 1 of a calendar year.</w:t>
      </w:r>
    </w:p>
    <w:p>
      <w:pPr>
        <w:spacing w:after="0" w:line="395" w:lineRule="exact"/>
        <w:rPr>
          <w:rFonts w:ascii="Courier New" w:cs="Courier New" w:eastAsia="Courier New" w:hAnsi="Courier New"/>
          <w:sz w:val="16"/>
          <w:szCs w:val="16"/>
          <w:color w:val="auto"/>
        </w:rPr>
      </w:pPr>
    </w:p>
    <w:p>
      <w:pPr>
        <w:ind w:left="1440" w:right="1779" w:hanging="525"/>
        <w:spacing w:after="0" w:line="270" w:lineRule="auto"/>
        <w:tabs>
          <w:tab w:leader="none" w:pos="144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Grantee becomes a Retired Grantee before Shares subject to an Initial Election under Paragraph 7(a) are to be delivered, Grantee may make a Subsequent Election to defer all or any portion of such Shares for a minimum of two additional years from the date delivery of Shares would otherwise be made, provided that such Shares shall be delivered in full on or before the fifth anniversary of Grantee's retirement. A Subsequent Election must be filed with the Committee by (A) the June 30 following Grantee's Normal Retirement on or before May 1 of a calendar year, (B) the 60th day following Grantee's Normal Retirement after May 1 and before November 2 of a calendar year and (C) the December 31 following Grantee's Normal Retirement after November 1 of a calendar year.</w:t>
      </w:r>
    </w:p>
    <w:p>
      <w:pPr>
        <w:spacing w:after="0" w:line="386" w:lineRule="exact"/>
        <w:rPr>
          <w:rFonts w:ascii="Courier New" w:cs="Courier New" w:eastAsia="Courier New" w:hAnsi="Courier New"/>
          <w:sz w:val="16"/>
          <w:szCs w:val="16"/>
          <w:color w:val="auto"/>
        </w:rPr>
      </w:pPr>
    </w:p>
    <w:p>
      <w:pPr>
        <w:ind w:left="-1200" w:right="1879" w:firstLine="1904"/>
        <w:spacing w:after="0" w:line="237" w:lineRule="auto"/>
        <w:tabs>
          <w:tab w:leader="none" w:pos="101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Diversification Election. As provided in the Plan and as described in the prospectus for the Plan, a Grantee with an Account may be eligible to make a Diversification Election on an election form supplied by the Committee for this purpose.</w:t>
      </w:r>
    </w:p>
    <w:p>
      <w:pPr>
        <w:spacing w:after="0" w:line="207" w:lineRule="exact"/>
        <w:rPr>
          <w:rFonts w:ascii="Courier New" w:cs="Courier New" w:eastAsia="Courier New" w:hAnsi="Courier New"/>
          <w:sz w:val="18"/>
          <w:szCs w:val="18"/>
          <w:color w:val="auto"/>
        </w:rPr>
      </w:pPr>
    </w:p>
    <w:p>
      <w:pPr>
        <w:ind w:left="-1200" w:right="1779" w:firstLine="1904"/>
        <w:spacing w:after="0" w:line="237" w:lineRule="auto"/>
        <w:tabs>
          <w:tab w:leader="none" w:pos="101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Book Accounts. An Account shall be established for each Grantee who makes an Initial Election. Deferred Stock Units shall be credited to the Account as of the Date an Initial Election becomes effective. Each Deferred Stock Unit will represent a hypothetical Share credited to the Account in lieu of delivery of the Shares to which an Initial Election, Subsequent Election or Acceleration Election applies. If an eligible Grantee makes a Diversification Election, then to the extent an Account is deemed invested in the Income Fund, the Committee shall credit earnings with respect to such Account at the Applicable Interest Rate.</w:t>
      </w:r>
    </w:p>
    <w:p>
      <w:pPr>
        <w:spacing w:after="0" w:line="213" w:lineRule="exact"/>
        <w:rPr>
          <w:rFonts w:ascii="Courier New" w:cs="Courier New" w:eastAsia="Courier New" w:hAnsi="Courier New"/>
          <w:sz w:val="18"/>
          <w:szCs w:val="18"/>
          <w:color w:val="auto"/>
        </w:rPr>
      </w:pPr>
    </w:p>
    <w:p>
      <w:pPr>
        <w:ind w:left="-1200" w:right="1779" w:firstLine="1904"/>
        <w:spacing w:after="0" w:line="237" w:lineRule="auto"/>
        <w:tabs>
          <w:tab w:leader="none" w:pos="101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Status of Deferred Amounts. Grantee's right to delivery of Shares subject to an Initial Election, Subsequent Election or Acceleration Election, or to amounts deemed invested in the Income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019"/>
          </w:cols>
          <w:pgMar w:left="1440" w:top="723" w:right="1440" w:bottom="1440" w:gutter="0" w:footer="0" w:header="0"/>
        </w:sectPr>
      </w:pPr>
    </w:p>
    <w:bookmarkStart w:id="14" w:name="page15"/>
    <w:bookmarkEnd w:id="14"/>
    <w:p>
      <w:pPr>
        <w:ind w:right="1879"/>
        <w:spacing w:after="0" w:line="237" w:lineRule="auto"/>
        <w:rPr>
          <w:sz w:val="20"/>
          <w:szCs w:val="20"/>
          <w:color w:val="auto"/>
        </w:rPr>
      </w:pPr>
      <w:r>
        <w:rPr>
          <w:rFonts w:ascii="Courier New" w:cs="Courier New" w:eastAsia="Courier New" w:hAnsi="Courier New"/>
          <w:sz w:val="18"/>
          <w:szCs w:val="18"/>
          <w:color w:val="auto"/>
        </w:rPr>
        <w:t>the Plan or an Award shall be deemed to create an escrow, trust, custodial account or fiduciary relationship of any kind. Nothing contained in the Plan or an Award shall be construed to eliminate any priority or preferred position of Grantee in a bankruptcy matter with respect to claims for wages.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f. Non-Assignability, Etc. The right of Grantee to receive Shares subject to an Election under this Paragraph 7, or to amounts deemed invested in the Income Fund pursuant to a Diversification Election, shall not be subject in any manner to attachment or other legal process for the debts of Grantee; and no right to receive Shares or cash hereunder shall be subject to anticipation, alienation, sale, transfer, assignment or encumbrance.</w:t>
      </w:r>
    </w:p>
    <w:p>
      <w:pPr>
        <w:spacing w:after="0" w:line="210" w:lineRule="exact"/>
        <w:rPr>
          <w:sz w:val="20"/>
          <w:szCs w:val="20"/>
          <w:color w:val="auto"/>
        </w:rPr>
      </w:pPr>
    </w:p>
    <w:p>
      <w:pPr>
        <w:ind w:right="1999" w:firstLine="956"/>
        <w:spacing w:after="0" w:line="237" w:lineRule="auto"/>
        <w:tabs>
          <w:tab w:leader="none" w:pos="126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Any notice to the Company under this Agreement shall be made in care of the Committee at the Company's main office in Philadelphia, Pennsylvania. All notices under this Agreement shall be deemed to have been given when hand-delivered or mailed, first class postage prepaid, and shall be irrevocable once given.</w:t>
      </w:r>
    </w:p>
    <w:p>
      <w:pPr>
        <w:spacing w:after="0" w:line="208" w:lineRule="exact"/>
        <w:rPr>
          <w:rFonts w:ascii="Courier New" w:cs="Courier New" w:eastAsia="Courier New" w:hAnsi="Courier New"/>
          <w:sz w:val="18"/>
          <w:szCs w:val="18"/>
          <w:color w:val="auto"/>
        </w:rPr>
      </w:pPr>
    </w:p>
    <w:p>
      <w:pPr>
        <w:ind w:right="1779" w:firstLine="956"/>
        <w:spacing w:after="0" w:line="275" w:lineRule="auto"/>
        <w:tabs>
          <w:tab w:leader="none" w:pos="126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Laws. The Committee may from time to time impose any conditions on the Restricted Stock as it deems necessary or advisable to ensure that the Plan satisfies the conditions of Rule 16b-3, and that Shares are issued and resold in compliance with the Securities Act of 1933, as amended.</w:t>
      </w:r>
    </w:p>
    <w:p>
      <w:pPr>
        <w:spacing w:after="0" w:line="182" w:lineRule="exact"/>
        <w:rPr>
          <w:rFonts w:ascii="Courier New" w:cs="Courier New" w:eastAsia="Courier New" w:hAnsi="Courier New"/>
          <w:sz w:val="16"/>
          <w:szCs w:val="16"/>
          <w:color w:val="auto"/>
        </w:rPr>
      </w:pPr>
    </w:p>
    <w:p>
      <w:pPr>
        <w:ind w:right="1779" w:firstLine="956"/>
        <w:spacing w:after="0" w:line="238" w:lineRule="auto"/>
        <w:tabs>
          <w:tab w:leader="none" w:pos="136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Shares. Except as otherwise provided in Paragraph 7, the Company shall notify Grantee that a Vesting Date with respect to Restricted Stock has occurred. Within ten (10) business days of a Vesting Date, the Company shall, without payment from Grantee for the Restricted Stock, deliver to Grantee a certificate for the Restricted Stock without any legend or restrictions, except for such restrictions as may be imposed by the Committee, in its sole judgment, under Paragraph 9, provided that no certificates for Shares will be delivered to Grantee until appropriate arrangements have been made with the Employer for the withholding of any taxes which may be due with respect to such Shares. The Company may condition delivery of certificates for Shares upon the 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times the Fair Market Value of a Share on the Vesting Date, as determined by the Committee.</w:t>
      </w:r>
    </w:p>
    <w:p>
      <w:pPr>
        <w:spacing w:after="0" w:line="208" w:lineRule="exact"/>
        <w:rPr>
          <w:rFonts w:ascii="Courier New" w:cs="Courier New" w:eastAsia="Courier New" w:hAnsi="Courier New"/>
          <w:sz w:val="18"/>
          <w:szCs w:val="18"/>
          <w:color w:val="auto"/>
        </w:rPr>
      </w:pPr>
    </w:p>
    <w:p>
      <w:pPr>
        <w:jc w:val="both"/>
        <w:ind w:right="1999" w:firstLine="956"/>
        <w:spacing w:after="0" w:line="236" w:lineRule="auto"/>
        <w:tabs>
          <w:tab w:leader="none" w:pos="136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 Not to Affect Employment. The Award granted hereunder shall not confer upon Grantee any right to continue in the employment of the Company or any subsidiary or affiliate of the Company.</w:t>
      </w:r>
    </w:p>
    <w:p>
      <w:pPr>
        <w:spacing w:after="0" w:line="203"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right="1779" w:firstLine="1904"/>
        <w:spacing w:after="0" w:line="237" w:lineRule="auto"/>
        <w:tabs>
          <w:tab w:leader="none" w:pos="2212"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Award granted hereunder is subject to the approval of the Plan by the shareholders of the Company to the extent that such approval (i) is required pursuant to the By-Laws of the National Association of Securities Dealers, Inc., and the schedules thereto, in connection with issuers whose securities are included in the NASDAQ National Market System, or (ii) is required to satisfy the conditions of Rule 16b-3.</w:t>
      </w:r>
    </w:p>
    <w:p>
      <w:pPr>
        <w:spacing w:after="0" w:line="209" w:lineRule="exact"/>
        <w:rPr>
          <w:rFonts w:ascii="Courier New" w:cs="Courier New" w:eastAsia="Courier New" w:hAnsi="Courier New"/>
          <w:sz w:val="18"/>
          <w:szCs w:val="18"/>
          <w:color w:val="auto"/>
        </w:rPr>
      </w:pPr>
    </w:p>
    <w:p>
      <w:pPr>
        <w:ind w:right="1879" w:firstLine="1904"/>
        <w:spacing w:after="0" w:line="237" w:lineRule="auto"/>
        <w:tabs>
          <w:tab w:leader="none" w:pos="2212"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for Grantee to which notice, demands and other communications to be given or delivered under or by reason of the provisions hereof shall be the Grantee's address as reflected in the Company's personnel records.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15" w:name="page16"/>
    <w:bookmarkEnd w:id="15"/>
    <w:p>
      <w:pPr>
        <w:ind w:right="1779" w:firstLine="1896"/>
        <w:spacing w:after="0" w:line="236" w:lineRule="auto"/>
        <w:rPr>
          <w:sz w:val="20"/>
          <w:szCs w:val="20"/>
          <w:color w:val="auto"/>
        </w:rPr>
      </w:pPr>
      <w:r>
        <w:rPr>
          <w:rFonts w:ascii="Courier New" w:cs="Courier New" w:eastAsia="Courier New" w:hAnsi="Courier New"/>
          <w:sz w:val="18"/>
          <w:szCs w:val="18"/>
          <w:color w:val="auto"/>
        </w:rPr>
        <w:t>c. The validity, performance, construction and effect of this Award shall be governed by the laws of the Commonwealth of Pennsylvania, without giving effect to principles of conflicts of law.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4640"/>
        <w:spacing w:after="0"/>
        <w:tabs>
          <w:tab w:leader="none" w:pos="5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Lawrence S. Smith</w:t>
      </w:r>
    </w:p>
    <w:p>
      <w:pPr>
        <w:ind w:left="6120"/>
        <w:spacing w:after="0" w:line="238" w:lineRule="auto"/>
        <w:rPr>
          <w:sz w:val="20"/>
          <w:szCs w:val="20"/>
          <w:color w:val="auto"/>
        </w:rPr>
      </w:pPr>
      <w:r>
        <w:rPr>
          <w:rFonts w:ascii="Courier New" w:cs="Courier New" w:eastAsia="Courier New" w:hAnsi="Courier New"/>
          <w:sz w:val="18"/>
          <w:szCs w:val="18"/>
          <w:color w:val="auto"/>
        </w:rPr>
        <w:t>-----------------</w:t>
      </w:r>
    </w:p>
    <w:p>
      <w:pPr>
        <w:ind w:left="6120"/>
        <w:spacing w:after="0"/>
        <w:rPr>
          <w:sz w:val="20"/>
          <w:szCs w:val="20"/>
          <w:color w:val="auto"/>
        </w:rPr>
      </w:pPr>
      <w:r>
        <w:rPr>
          <w:rFonts w:ascii="Courier New" w:cs="Courier New" w:eastAsia="Courier New" w:hAnsi="Courier New"/>
          <w:sz w:val="18"/>
          <w:szCs w:val="18"/>
          <w:color w:val="auto"/>
        </w:rPr>
        <w:t>Lawrence S. Smith</w:t>
      </w:r>
    </w:p>
    <w:p>
      <w:pPr>
        <w:spacing w:after="0" w:line="200" w:lineRule="exact"/>
        <w:rPr>
          <w:sz w:val="20"/>
          <w:szCs w:val="20"/>
          <w:color w:val="auto"/>
        </w:rPr>
      </w:pPr>
    </w:p>
    <w:p>
      <w:pPr>
        <w:spacing w:after="0" w:line="203" w:lineRule="exact"/>
        <w:rPr>
          <w:sz w:val="20"/>
          <w:szCs w:val="20"/>
          <w:color w:val="auto"/>
        </w:rPr>
      </w:pPr>
    </w:p>
    <w:p>
      <w:pPr>
        <w:ind w:left="4640"/>
        <w:spacing w:after="0"/>
        <w:tabs>
          <w:tab w:leader="none" w:pos="5680" w:val="left"/>
        </w:tabs>
        <w:rPr>
          <w:sz w:val="20"/>
          <w:szCs w:val="20"/>
          <w:color w:val="auto"/>
        </w:rPr>
      </w:pPr>
      <w:r>
        <w:rPr>
          <w:rFonts w:ascii="Courier New" w:cs="Courier New" w:eastAsia="Courier New" w:hAnsi="Courier New"/>
          <w:sz w:val="18"/>
          <w:szCs w:val="18"/>
          <w:color w:val="auto"/>
        </w:rPr>
        <w:t>ATTEST:</w:t>
      </w:r>
      <w:r>
        <w:rPr>
          <w:sz w:val="20"/>
          <w:szCs w:val="20"/>
          <w:color w:val="auto"/>
        </w:rPr>
        <w:tab/>
      </w:r>
      <w:r>
        <w:rPr>
          <w:rFonts w:ascii="Courier New" w:cs="Courier New" w:eastAsia="Courier New" w:hAnsi="Courier New"/>
          <w:sz w:val="18"/>
          <w:szCs w:val="18"/>
          <w:color w:val="auto"/>
        </w:rPr>
        <w:t>/s/ Arthur R. Block</w:t>
      </w:r>
    </w:p>
    <w:p>
      <w:pPr>
        <w:ind w:left="6120"/>
        <w:spacing w:after="0" w:line="238" w:lineRule="auto"/>
        <w:rPr>
          <w:sz w:val="20"/>
          <w:szCs w:val="20"/>
          <w:color w:val="auto"/>
        </w:rPr>
      </w:pPr>
      <w:r>
        <w:rPr>
          <w:rFonts w:ascii="Courier New" w:cs="Courier New" w:eastAsia="Courier New" w:hAnsi="Courier New"/>
          <w:sz w:val="18"/>
          <w:szCs w:val="18"/>
          <w:color w:val="auto"/>
        </w:rPr>
        <w:t>-----------------</w:t>
      </w:r>
    </w:p>
    <w:p>
      <w:pPr>
        <w:ind w:left="6120"/>
        <w:spacing w:after="0"/>
        <w:rPr>
          <w:sz w:val="20"/>
          <w:szCs w:val="20"/>
          <w:color w:val="auto"/>
        </w:rPr>
      </w:pPr>
      <w:r>
        <w:rPr>
          <w:rFonts w:ascii="Courier New" w:cs="Courier New" w:eastAsia="Courier New" w:hAnsi="Courier New"/>
          <w:sz w:val="18"/>
          <w:szCs w:val="18"/>
          <w:color w:val="auto"/>
        </w:rPr>
        <w:t>Arthur R. Block</w:t>
      </w:r>
    </w:p>
    <w:p>
      <w:pPr>
        <w:sectPr>
          <w:pgSz w:w="11900" w:h="16838" w:orient="portrait"/>
          <w:cols w:equalWidth="0" w:num="1">
            <w:col w:w="10219"/>
          </w:cols>
          <w:pgMar w:left="240" w:top="925" w:right="1440" w:bottom="1440" w:gutter="0" w:footer="0" w:header="0"/>
        </w:sectPr>
      </w:pPr>
    </w:p>
    <w:bookmarkStart w:id="16" w:name="page17"/>
    <w:bookmarkEnd w:id="16"/>
    <w:p>
      <w:pPr>
        <w:jc w:val="center"/>
        <w:ind w:right="1659"/>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RESTRICTED STOCK UNIT AWARD</w:t>
      </w:r>
    </w:p>
    <w:p>
      <w:pPr>
        <w:spacing w:after="0" w:line="200" w:lineRule="exact"/>
        <w:rPr>
          <w:sz w:val="20"/>
          <w:szCs w:val="20"/>
          <w:color w:val="auto"/>
        </w:rPr>
      </w:pPr>
    </w:p>
    <w:p>
      <w:pPr>
        <w:spacing w:after="0" w:line="209"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This is a Restricted Stock Unit Award dated [Date] from Comcast Corporation (the "Company") to [Name] (the "Grantee").</w:t>
      </w:r>
    </w:p>
    <w:p>
      <w:pPr>
        <w:spacing w:after="0" w:line="208" w:lineRule="exact"/>
        <w:rPr>
          <w:sz w:val="20"/>
          <w:szCs w:val="20"/>
          <w:color w:val="auto"/>
        </w:rPr>
      </w:pPr>
    </w:p>
    <w:p>
      <w:pPr>
        <w:ind w:right="1879" w:firstLine="956"/>
        <w:spacing w:after="0" w:line="235" w:lineRule="auto"/>
        <w:tabs>
          <w:tab w:leader="none" w:pos="126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Capitalized terms used herein are defined below or, if not defined below, have the meanings given to them in the Plan.</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21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 means an unfunded bookkeeping account established pursuant to Paragraph 5(d) and maintained by the Committee in the name of Grantee (a) to which Deferred Stock Units are deemed credited and (b) to which an amount equal to the Fair Market Value of Deferred Stock Units with respect to which a Diversification Election has been made and interest thereon are deemed credited, reduced by distributions in accordance with the Plan.</w:t>
      </w:r>
    </w:p>
    <w:p>
      <w:pPr>
        <w:spacing w:after="0" w:line="204" w:lineRule="exact"/>
        <w:rPr>
          <w:rFonts w:ascii="Courier New" w:cs="Courier New" w:eastAsia="Courier New" w:hAnsi="Courier New"/>
          <w:sz w:val="18"/>
          <w:szCs w:val="18"/>
          <w:color w:val="auto"/>
        </w:rPr>
      </w:pPr>
    </w:p>
    <w:p>
      <w:pPr>
        <w:ind w:left="2220" w:hanging="316"/>
        <w:spacing w:after="0"/>
        <w:tabs>
          <w:tab w:leader="none" w:pos="222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 means the award of Restricted Stock Units hereby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granted.</w:t>
      </w:r>
    </w:p>
    <w:p>
      <w:pPr>
        <w:spacing w:after="0" w:line="201" w:lineRule="exact"/>
        <w:rPr>
          <w:rFonts w:ascii="Courier New" w:cs="Courier New" w:eastAsia="Courier New" w:hAnsi="Courier New"/>
          <w:sz w:val="18"/>
          <w:szCs w:val="18"/>
          <w:color w:val="auto"/>
        </w:rPr>
      </w:pPr>
    </w:p>
    <w:p>
      <w:pPr>
        <w:ind w:left="2220" w:hanging="316"/>
        <w:spacing w:after="0"/>
        <w:tabs>
          <w:tab w:leader="none" w:pos="222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spacing w:after="0" w:line="206" w:lineRule="exact"/>
        <w:rPr>
          <w:rFonts w:ascii="Courier New" w:cs="Courier New" w:eastAsia="Courier New" w:hAnsi="Courier New"/>
          <w:sz w:val="18"/>
          <w:szCs w:val="18"/>
          <w:color w:val="auto"/>
        </w:rPr>
      </w:pPr>
    </w:p>
    <w:p>
      <w:pPr>
        <w:ind w:left="2220" w:hanging="316"/>
        <w:spacing w:after="0"/>
        <w:tabs>
          <w:tab w:leader="none" w:pos="222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w:t>
      </w:r>
    </w:p>
    <w:p>
      <w:pPr>
        <w:spacing w:after="0" w:line="218" w:lineRule="exact"/>
        <w:rPr>
          <w:rFonts w:ascii="Courier New" w:cs="Courier New" w:eastAsia="Courier New" w:hAnsi="Courier New"/>
          <w:sz w:val="16"/>
          <w:szCs w:val="16"/>
          <w:color w:val="auto"/>
        </w:rPr>
      </w:pPr>
    </w:p>
    <w:p>
      <w:pPr>
        <w:ind w:left="2220" w:hanging="316"/>
        <w:spacing w:after="0"/>
        <w:tabs>
          <w:tab w:leader="none" w:pos="222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the Compensation Committee of the Board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its delegate.</w:t>
      </w:r>
    </w:p>
    <w:p>
      <w:pPr>
        <w:spacing w:after="0" w:line="207" w:lineRule="exact"/>
        <w:rPr>
          <w:rFonts w:ascii="Courier New" w:cs="Courier New" w:eastAsia="Courier New" w:hAnsi="Courier New"/>
          <w:sz w:val="18"/>
          <w:szCs w:val="18"/>
          <w:color w:val="auto"/>
        </w:rPr>
      </w:pPr>
    </w:p>
    <w:p>
      <w:pPr>
        <w:ind w:right="2099" w:firstLine="1904"/>
        <w:spacing w:after="0" w:line="235" w:lineRule="auto"/>
        <w:tabs>
          <w:tab w:leader="none" w:pos="221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means the date first set forth above, on which the Company awarded the Restricted Stock Units.</w:t>
      </w:r>
    </w:p>
    <w:p>
      <w:pPr>
        <w:spacing w:after="0" w:line="208" w:lineRule="exact"/>
        <w:rPr>
          <w:rFonts w:ascii="Courier New" w:cs="Courier New" w:eastAsia="Courier New" w:hAnsi="Courier New"/>
          <w:sz w:val="18"/>
          <w:szCs w:val="18"/>
          <w:color w:val="auto"/>
        </w:rPr>
      </w:pPr>
    </w:p>
    <w:p>
      <w:pPr>
        <w:ind w:right="2199" w:firstLine="1904"/>
        <w:spacing w:after="0" w:line="235" w:lineRule="auto"/>
        <w:tabs>
          <w:tab w:leader="none" w:pos="221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"Deferred Stock Units" means the number of hypothetical Shares subject to an Election.</w:t>
      </w:r>
    </w:p>
    <w:p>
      <w:pPr>
        <w:spacing w:after="0" w:line="202" w:lineRule="exact"/>
        <w:rPr>
          <w:rFonts w:ascii="Courier New" w:cs="Courier New" w:eastAsia="Courier New" w:hAnsi="Courier New"/>
          <w:sz w:val="18"/>
          <w:szCs w:val="18"/>
          <w:color w:val="auto"/>
        </w:rPr>
      </w:pPr>
    </w:p>
    <w:p>
      <w:pPr>
        <w:ind w:left="2220" w:hanging="316"/>
        <w:spacing w:after="0"/>
        <w:tabs>
          <w:tab w:leader="none" w:pos="222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"Disabled Grantee" means</w:t>
      </w:r>
    </w:p>
    <w:p>
      <w:pPr>
        <w:spacing w:after="0" w:line="207" w:lineRule="exact"/>
        <w:rPr>
          <w:sz w:val="20"/>
          <w:szCs w:val="20"/>
          <w:color w:val="auto"/>
        </w:rPr>
      </w:pPr>
    </w:p>
    <w:p>
      <w:pPr>
        <w:ind w:right="2519" w:firstLine="1904"/>
        <w:spacing w:after="0" w:line="235" w:lineRule="auto"/>
        <w:tabs>
          <w:tab w:leader="none" w:pos="231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Grantee, if Grantee's employment by a Participating Company is terminated by reason of disability;</w:t>
      </w:r>
    </w:p>
    <w:p>
      <w:pPr>
        <w:spacing w:after="0" w:line="208" w:lineRule="exact"/>
        <w:rPr>
          <w:rFonts w:ascii="Courier New" w:cs="Courier New" w:eastAsia="Courier New" w:hAnsi="Courier New"/>
          <w:sz w:val="18"/>
          <w:szCs w:val="18"/>
          <w:color w:val="auto"/>
        </w:rPr>
      </w:pPr>
    </w:p>
    <w:p>
      <w:pPr>
        <w:ind w:right="1779" w:firstLine="1904"/>
        <w:spacing w:after="0" w:line="290" w:lineRule="auto"/>
        <w:tabs>
          <w:tab w:leader="none" w:pos="2318"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Grantee, if Grantee becomes disabled (as determined by the Committee) following termination of employment by a Participating Company; or</w:t>
      </w:r>
    </w:p>
    <w:p>
      <w:pPr>
        <w:spacing w:after="0" w:line="169" w:lineRule="exact"/>
        <w:rPr>
          <w:rFonts w:ascii="Courier New" w:cs="Courier New" w:eastAsia="Courier New" w:hAnsi="Courier New"/>
          <w:sz w:val="16"/>
          <w:szCs w:val="16"/>
          <w:color w:val="auto"/>
        </w:rPr>
      </w:pPr>
    </w:p>
    <w:p>
      <w:pPr>
        <w:ind w:right="1779" w:firstLine="1904"/>
        <w:spacing w:after="0" w:line="235" w:lineRule="auto"/>
        <w:tabs>
          <w:tab w:leader="none" w:pos="231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Grantee's duly-appointed legal guardian following an event described in Paragraph 1(h)(1) or 1(h)(2) acting on Grantee's behalf.</w:t>
      </w:r>
    </w:p>
    <w:p>
      <w:pPr>
        <w:spacing w:after="0" w:line="208" w:lineRule="exact"/>
        <w:rPr>
          <w:sz w:val="20"/>
          <w:szCs w:val="20"/>
          <w:color w:val="auto"/>
        </w:rPr>
      </w:pPr>
    </w:p>
    <w:p>
      <w:pPr>
        <w:ind w:right="1779" w:firstLine="1896"/>
        <w:spacing w:after="0" w:line="290" w:lineRule="auto"/>
        <w:rPr>
          <w:sz w:val="20"/>
          <w:szCs w:val="20"/>
          <w:color w:val="auto"/>
        </w:rPr>
      </w:pPr>
      <w:r>
        <w:rPr>
          <w:rFonts w:ascii="Courier New" w:cs="Courier New" w:eastAsia="Courier New" w:hAnsi="Courier New"/>
          <w:sz w:val="16"/>
          <w:szCs w:val="16"/>
          <w:color w:val="auto"/>
        </w:rPr>
        <w:t>i. "Employer" means the Company or the subsidiary or affiliate of the Company for which Grantee is performing services on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099" w:firstLine="1896"/>
        <w:spacing w:after="0" w:line="236" w:lineRule="auto"/>
        <w:rPr>
          <w:sz w:val="20"/>
          <w:szCs w:val="20"/>
          <w:color w:val="auto"/>
        </w:rPr>
      </w:pPr>
      <w:r>
        <w:rPr>
          <w:rFonts w:ascii="Courier New" w:cs="Courier New" w:eastAsia="Courier New" w:hAnsi="Courier New"/>
          <w:sz w:val="18"/>
          <w:szCs w:val="18"/>
          <w:color w:val="auto"/>
        </w:rPr>
        <w:t>j. "Normal Retirement" means Grantee's termination of employment that is treated by the Participating Company as a retirement under its employment policies and practices as in effect from time to time.</w:t>
      </w:r>
    </w:p>
    <w:p>
      <w:pPr>
        <w:spacing w:after="0" w:line="209" w:lineRule="exact"/>
        <w:rPr>
          <w:sz w:val="20"/>
          <w:szCs w:val="20"/>
          <w:color w:val="auto"/>
        </w:rPr>
      </w:pPr>
    </w:p>
    <w:p>
      <w:pPr>
        <w:jc w:val="both"/>
        <w:ind w:right="1879" w:firstLine="1896"/>
        <w:spacing w:after="0" w:line="235" w:lineRule="auto"/>
        <w:rPr>
          <w:sz w:val="20"/>
          <w:szCs w:val="20"/>
          <w:color w:val="auto"/>
        </w:rPr>
      </w:pPr>
      <w:r>
        <w:rPr>
          <w:rFonts w:ascii="Courier New" w:cs="Courier New" w:eastAsia="Courier New" w:hAnsi="Courier New"/>
          <w:sz w:val="18"/>
          <w:szCs w:val="18"/>
          <w:color w:val="auto"/>
        </w:rPr>
        <w:t>k. "Plan" means the Comcast Corporation 2002 Restricted Stock Plan, incorporated herein by reference.</w:t>
      </w:r>
    </w:p>
    <w:p>
      <w:pPr>
        <w:spacing w:after="0" w:line="208"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l. "Plan Year" means the 12-consecutive month period extending from January 3 to January 2.</w:t>
      </w:r>
    </w:p>
    <w:p>
      <w:pPr>
        <w:spacing w:after="0" w:line="208" w:lineRule="exact"/>
        <w:rPr>
          <w:sz w:val="20"/>
          <w:szCs w:val="20"/>
          <w:color w:val="auto"/>
        </w:rPr>
      </w:pPr>
    </w:p>
    <w:p>
      <w:pPr>
        <w:jc w:val="both"/>
        <w:ind w:right="1879" w:firstLine="1896"/>
        <w:spacing w:after="0" w:line="236" w:lineRule="auto"/>
        <w:rPr>
          <w:sz w:val="20"/>
          <w:szCs w:val="20"/>
          <w:color w:val="auto"/>
        </w:rPr>
      </w:pPr>
      <w:r>
        <w:rPr>
          <w:rFonts w:ascii="Courier New" w:cs="Courier New" w:eastAsia="Courier New" w:hAnsi="Courier New"/>
          <w:sz w:val="18"/>
          <w:szCs w:val="18"/>
          <w:color w:val="auto"/>
        </w:rPr>
        <w:t>m. "Restricted Period" means, with respect to each Restricted Stock Unit, the period beginning on the Date of Grant and ending on the Vesting Date.</w:t>
      </w:r>
    </w:p>
    <w:p>
      <w:pPr>
        <w:spacing w:after="0" w:line="209"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n. "Restricted Stock Unit" means a unit that entitles Grantee, upon the Vesting Date set forth in an Award, to receive one Share.</w:t>
      </w:r>
    </w:p>
    <w:p>
      <w:pPr>
        <w:spacing w:after="0" w:line="208" w:lineRule="exact"/>
        <w:rPr>
          <w:sz w:val="20"/>
          <w:szCs w:val="20"/>
          <w:color w:val="auto"/>
        </w:rPr>
      </w:pPr>
    </w:p>
    <w:p>
      <w:pPr>
        <w:ind w:right="2519" w:firstLine="1896"/>
        <w:spacing w:after="0" w:line="235" w:lineRule="auto"/>
        <w:rPr>
          <w:sz w:val="20"/>
          <w:szCs w:val="20"/>
          <w:color w:val="auto"/>
        </w:rPr>
      </w:pPr>
      <w:r>
        <w:rPr>
          <w:rFonts w:ascii="Courier New" w:cs="Courier New" w:eastAsia="Courier New" w:hAnsi="Courier New"/>
          <w:sz w:val="18"/>
          <w:szCs w:val="18"/>
          <w:color w:val="auto"/>
        </w:rPr>
        <w:t>o. "Retired Grantee" means Grantee, following Grantee's termination of employment pursuant to a Normal Retirement.</w:t>
      </w:r>
    </w:p>
    <w:p>
      <w:pPr>
        <w:spacing w:after="0" w:line="208"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p. "Rule 16b-3" means Rule 16b-3 promulgated under the 1934 Act, as in effect from time to time.</w:t>
      </w:r>
    </w:p>
    <w:p>
      <w:pPr>
        <w:spacing w:after="0" w:line="208" w:lineRule="exact"/>
        <w:rPr>
          <w:sz w:val="20"/>
          <w:szCs w:val="20"/>
          <w:color w:val="auto"/>
        </w:rPr>
      </w:pPr>
    </w:p>
    <w:p>
      <w:pPr>
        <w:ind w:right="2419" w:firstLine="1896"/>
        <w:spacing w:after="0" w:line="235" w:lineRule="auto"/>
        <w:rPr>
          <w:sz w:val="20"/>
          <w:szCs w:val="20"/>
          <w:color w:val="auto"/>
        </w:rPr>
      </w:pPr>
      <w:r>
        <w:rPr>
          <w:rFonts w:ascii="Courier New" w:cs="Courier New" w:eastAsia="Courier New" w:hAnsi="Courier New"/>
          <w:sz w:val="18"/>
          <w:szCs w:val="18"/>
          <w:color w:val="auto"/>
        </w:rPr>
        <w:t>q. "Shares" means shares of the Company's Class A Common Stock, par value $.01 per share.</w:t>
      </w:r>
    </w:p>
    <w:p>
      <w:pPr>
        <w:spacing w:after="0" w:line="208" w:lineRule="exact"/>
        <w:rPr>
          <w:sz w:val="20"/>
          <w:szCs w:val="20"/>
          <w:color w:val="auto"/>
        </w:rPr>
      </w:pPr>
    </w:p>
    <w:p>
      <w:pPr>
        <w:ind w:right="1879" w:firstLine="1896"/>
        <w:spacing w:after="0" w:line="290" w:lineRule="auto"/>
        <w:rPr>
          <w:sz w:val="20"/>
          <w:szCs w:val="20"/>
          <w:color w:val="auto"/>
        </w:rPr>
      </w:pPr>
      <w:r>
        <w:rPr>
          <w:rFonts w:ascii="Courier New" w:cs="Courier New" w:eastAsia="Courier New" w:hAnsi="Courier New"/>
          <w:sz w:val="16"/>
          <w:szCs w:val="16"/>
          <w:color w:val="auto"/>
        </w:rPr>
        <w:t>r. "Vesting Date" means the date(s) on which Grantee vests in all or a portion of the Restricted Stock Units, as provided in Paragraph 3.</w:t>
      </w:r>
    </w:p>
    <w:p>
      <w:pPr>
        <w:sectPr>
          <w:pgSz w:w="11900" w:h="16838" w:orient="portrait"/>
          <w:cols w:equalWidth="0" w:num="1">
            <w:col w:w="10219"/>
          </w:cols>
          <w:pgMar w:left="240" w:top="136" w:right="1440" w:bottom="0" w:gutter="0" w:footer="0" w:header="0"/>
        </w:sectPr>
      </w:pPr>
    </w:p>
    <w:bookmarkStart w:id="17" w:name="page18"/>
    <w:bookmarkEnd w:id="17"/>
    <w:p>
      <w:pPr>
        <w:jc w:val="center"/>
        <w:ind w:right="199"/>
        <w:spacing w:after="0"/>
        <w:rPr>
          <w:sz w:val="20"/>
          <w:szCs w:val="20"/>
          <w:color w:val="auto"/>
        </w:rPr>
      </w:pPr>
      <w:r>
        <w:rPr>
          <w:rFonts w:ascii="Courier New" w:cs="Courier New" w:eastAsia="Courier New" w:hAnsi="Courier New"/>
          <w:sz w:val="18"/>
          <w:szCs w:val="18"/>
          <w:color w:val="auto"/>
        </w:rPr>
        <w:t>s. "1934 Act" means the Securities Exchange Act of 1934, as</w:t>
      </w:r>
    </w:p>
    <w:p>
      <w:pPr>
        <w:spacing w:after="0" w:line="238" w:lineRule="auto"/>
        <w:rPr>
          <w:sz w:val="20"/>
          <w:szCs w:val="20"/>
          <w:color w:val="auto"/>
        </w:rPr>
      </w:pPr>
      <w:r>
        <w:rPr>
          <w:rFonts w:ascii="Courier New" w:cs="Courier New" w:eastAsia="Courier New" w:hAnsi="Courier New"/>
          <w:sz w:val="18"/>
          <w:szCs w:val="18"/>
          <w:color w:val="auto"/>
        </w:rPr>
        <w:t>amended.</w:t>
      </w:r>
    </w:p>
    <w:p>
      <w:pPr>
        <w:spacing w:after="0" w:line="207" w:lineRule="exact"/>
        <w:rPr>
          <w:sz w:val="20"/>
          <w:szCs w:val="20"/>
          <w:color w:val="auto"/>
        </w:rPr>
      </w:pPr>
    </w:p>
    <w:p>
      <w:pPr>
        <w:ind w:right="1779" w:firstLine="956"/>
        <w:spacing w:after="0" w:line="236" w:lineRule="auto"/>
        <w:tabs>
          <w:tab w:leader="none" w:pos="126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Restricted Stock Units. Subject to the terms and conditions set forth herein and in the Plan, the Company hereby grants to Grantee [# of Units] Restricted Stock Units.</w:t>
      </w:r>
    </w:p>
    <w:p>
      <w:pPr>
        <w:spacing w:after="0" w:line="203"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of Restricted Stock Units.</w:t>
      </w:r>
    </w:p>
    <w:p>
      <w:pPr>
        <w:spacing w:after="0" w:line="206" w:lineRule="exact"/>
        <w:rPr>
          <w:rFonts w:ascii="Courier New" w:cs="Courier New" w:eastAsia="Courier New" w:hAnsi="Courier New"/>
          <w:sz w:val="18"/>
          <w:szCs w:val="18"/>
          <w:color w:val="auto"/>
        </w:rPr>
      </w:pPr>
    </w:p>
    <w:p>
      <w:pPr>
        <w:ind w:right="1779" w:firstLine="1904"/>
        <w:spacing w:after="0" w:line="237" w:lineRule="auto"/>
        <w:tabs>
          <w:tab w:leader="none" w:pos="2212"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terms and conditions set forth herein and in the Plan, Grantee shall vest in the Restricted Stock Units on the Vesting Dates set forth in Paragraph 3(b), and as of each Vesting Date shall be entitled to the delivery of Shares with respect to such Restricted Stock Units; provided, however, that on the Vesting Date, Grantee is, and has from the Date of Grant continuously been, an employee of the Company or a Subsidiary Company during the Restricted Period.</w:t>
      </w:r>
    </w:p>
    <w:p>
      <w:pPr>
        <w:spacing w:after="0" w:line="211" w:lineRule="exact"/>
        <w:rPr>
          <w:rFonts w:ascii="Courier New" w:cs="Courier New" w:eastAsia="Courier New" w:hAnsi="Courier New"/>
          <w:sz w:val="18"/>
          <w:szCs w:val="18"/>
          <w:color w:val="auto"/>
        </w:rPr>
      </w:pPr>
    </w:p>
    <w:p>
      <w:pPr>
        <w:ind w:right="1999" w:firstLine="1904"/>
        <w:spacing w:after="0" w:line="236" w:lineRule="auto"/>
        <w:tabs>
          <w:tab w:leader="none" w:pos="2212"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Paragraph 3(a) and 3(c), a Vesting Date for Restricted Stock Units subject to the Award shall occur in accordance with the following schedule: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39" w:right="1440" w:bottom="1440" w:gutter="0" w:footer="0" w:header="0"/>
        </w:sectPr>
      </w:pPr>
    </w:p>
    <w:bookmarkStart w:id="18" w:name="page19"/>
    <w:bookmarkEnd w:id="18"/>
    <w:p>
      <w:pPr>
        <w:ind w:left="2320" w:hanging="416"/>
        <w:spacing w:after="0"/>
        <w:tabs>
          <w:tab w:leader="none" w:pos="23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[15%] Restricted Stock Units, the first anniversary</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Date of Grant.</w:t>
      </w:r>
    </w:p>
    <w:p>
      <w:pPr>
        <w:spacing w:after="0" w:line="207" w:lineRule="exact"/>
        <w:rPr>
          <w:rFonts w:ascii="Courier New" w:cs="Courier New" w:eastAsia="Courier New" w:hAnsi="Courier New"/>
          <w:sz w:val="16"/>
          <w:szCs w:val="16"/>
          <w:color w:val="auto"/>
        </w:rPr>
      </w:pPr>
    </w:p>
    <w:p>
      <w:pPr>
        <w:ind w:right="2319" w:firstLine="1904"/>
        <w:spacing w:after="0" w:line="235" w:lineRule="auto"/>
        <w:tabs>
          <w:tab w:leader="none" w:pos="231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to an additional [15%] Restricted Stock Units, the second anniversary of the Date of Grant.</w:t>
      </w:r>
    </w:p>
    <w:p>
      <w:pPr>
        <w:spacing w:after="0" w:line="208" w:lineRule="exact"/>
        <w:rPr>
          <w:rFonts w:ascii="Courier New" w:cs="Courier New" w:eastAsia="Courier New" w:hAnsi="Courier New"/>
          <w:sz w:val="18"/>
          <w:szCs w:val="18"/>
          <w:color w:val="auto"/>
        </w:rPr>
      </w:pPr>
    </w:p>
    <w:p>
      <w:pPr>
        <w:ind w:right="2319" w:firstLine="1904"/>
        <w:spacing w:after="0" w:line="235" w:lineRule="auto"/>
        <w:tabs>
          <w:tab w:leader="none" w:pos="231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to an additional [15%] Restricted Stock Units, the third anniversary of the Date of Grant.</w:t>
      </w:r>
    </w:p>
    <w:p>
      <w:pPr>
        <w:spacing w:after="0" w:line="208" w:lineRule="exact"/>
        <w:rPr>
          <w:rFonts w:ascii="Courier New" w:cs="Courier New" w:eastAsia="Courier New" w:hAnsi="Courier New"/>
          <w:sz w:val="18"/>
          <w:szCs w:val="18"/>
          <w:color w:val="auto"/>
        </w:rPr>
      </w:pPr>
    </w:p>
    <w:p>
      <w:pPr>
        <w:ind w:right="2319" w:firstLine="1904"/>
        <w:spacing w:after="0" w:line="235" w:lineRule="auto"/>
        <w:tabs>
          <w:tab w:leader="none" w:pos="231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to an additional [15%] Restricted Stock Units, the fourth anniversary of the Date of Grant.</w:t>
      </w:r>
    </w:p>
    <w:p>
      <w:pPr>
        <w:spacing w:after="0" w:line="208" w:lineRule="exact"/>
        <w:rPr>
          <w:rFonts w:ascii="Courier New" w:cs="Courier New" w:eastAsia="Courier New" w:hAnsi="Courier New"/>
          <w:sz w:val="18"/>
          <w:szCs w:val="18"/>
          <w:color w:val="auto"/>
        </w:rPr>
      </w:pPr>
    </w:p>
    <w:p>
      <w:pPr>
        <w:ind w:right="2319" w:firstLine="1904"/>
        <w:spacing w:after="0" w:line="235" w:lineRule="auto"/>
        <w:tabs>
          <w:tab w:leader="none" w:pos="231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to an additional [40%] Restricted Stock Units, the fifth anniversary of the Date of Grant.</w:t>
      </w:r>
    </w:p>
    <w:p>
      <w:pPr>
        <w:spacing w:after="0" w:line="208"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c. Notwithstanding Paragraphs 3(a) or (b) to the contrary, if Grantee terminates employment with the Company or a Subsidiary Company during the Restricted Period due to his death or due to Grantee becoming a Disabled Grantee within the meaning of Paragraph 1(h)(1), the Vesting Date for the Restricted Stock Units shall be accelerated so that a Vesting Date will be deemed to occur with respect to the Restricted Stock Units on the date of such termination of employment.</w:t>
      </w:r>
    </w:p>
    <w:p>
      <w:pPr>
        <w:spacing w:after="0" w:line="205" w:lineRule="exact"/>
        <w:rPr>
          <w:sz w:val="20"/>
          <w:szCs w:val="20"/>
          <w:color w:val="auto"/>
        </w:rPr>
      </w:pPr>
    </w:p>
    <w:p>
      <w:pPr>
        <w:ind w:left="1280" w:hanging="324"/>
        <w:spacing w:after="0"/>
        <w:tabs>
          <w:tab w:leader="none" w:pos="12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Forfeiture of Restricted Stock Units.</w:t>
      </w:r>
    </w:p>
    <w:p>
      <w:pPr>
        <w:spacing w:after="0" w:line="206" w:lineRule="exact"/>
        <w:rPr>
          <w:rFonts w:ascii="Courier New" w:cs="Courier New" w:eastAsia="Courier New" w:hAnsi="Courier New"/>
          <w:sz w:val="18"/>
          <w:szCs w:val="18"/>
          <w:color w:val="auto"/>
        </w:rPr>
      </w:pPr>
    </w:p>
    <w:p>
      <w:pPr>
        <w:ind w:right="1779" w:firstLine="1904"/>
        <w:spacing w:after="0" w:line="272" w:lineRule="auto"/>
        <w:tabs>
          <w:tab w:leader="none" w:pos="2212"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set forth herein and in the Plan, if Grantee terminates employment with the Company and all Subsidiaries during the Restricted Period, other than due to death or disability, Grantee shall forfeit the Restricted Stock Units as of such termination of employment. Upon a forfeiture of the Restricted Stock Units as provided in this Paragraph 4, the Restricted Stock Units shall be deemed canceled.</w:t>
      </w:r>
    </w:p>
    <w:p>
      <w:pPr>
        <w:spacing w:after="0" w:line="185" w:lineRule="exact"/>
        <w:rPr>
          <w:rFonts w:ascii="Courier New" w:cs="Courier New" w:eastAsia="Courier New" w:hAnsi="Courier New"/>
          <w:sz w:val="16"/>
          <w:szCs w:val="16"/>
          <w:color w:val="auto"/>
        </w:rPr>
      </w:pPr>
    </w:p>
    <w:p>
      <w:pPr>
        <w:ind w:right="2099" w:firstLine="1904"/>
        <w:spacing w:after="0" w:line="236" w:lineRule="auto"/>
        <w:tabs>
          <w:tab w:leader="none" w:pos="2212"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Paragraph 4 shall not apply to Shares issued in respect of Restricted Stock Units as to which a Vesting Date has occurred.</w:t>
      </w:r>
    </w:p>
    <w:p>
      <w:pPr>
        <w:spacing w:after="0" w:line="203"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Deferral Elections.</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Grantee may elect to defer the receipt of Shares issuable with respect to Restricted Stock Units, consistent, however, with the following:</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 Deferral Elections.</w:t>
      </w:r>
    </w:p>
    <w:p>
      <w:pPr>
        <w:spacing w:after="0" w:line="207" w:lineRule="exact"/>
        <w:rPr>
          <w:sz w:val="20"/>
          <w:szCs w:val="20"/>
          <w:color w:val="auto"/>
        </w:rPr>
      </w:pPr>
    </w:p>
    <w:p>
      <w:pPr>
        <w:ind w:right="1779" w:firstLine="1904"/>
        <w:spacing w:after="0" w:line="237" w:lineRule="auto"/>
        <w:tabs>
          <w:tab w:leader="none" w:pos="231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Election. Grantee shall have the right to make an Initial Election to defer the receipt of all or a portion of the Shares issuable with respect to Restricted Stock Units as to which a Vesting Date may occur in the succeeding Plan Year by filing an Initial Election to defer the receipt of such Shares on the form provided by the Committee for this purpose.</w:t>
      </w:r>
    </w:p>
    <w:p>
      <w:pPr>
        <w:spacing w:after="0" w:line="208" w:lineRule="exact"/>
        <w:rPr>
          <w:rFonts w:ascii="Courier New" w:cs="Courier New" w:eastAsia="Courier New" w:hAnsi="Courier New"/>
          <w:sz w:val="18"/>
          <w:szCs w:val="18"/>
          <w:color w:val="auto"/>
        </w:rPr>
      </w:pPr>
    </w:p>
    <w:p>
      <w:pPr>
        <w:ind w:right="1999" w:firstLine="1904"/>
        <w:spacing w:after="0" w:line="236" w:lineRule="auto"/>
        <w:tabs>
          <w:tab w:leader="none" w:pos="231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Deadline for Deferral Election. An Initial Election to defer the receipt of Shares issuable with respect to Restricted Stock Units as to which a Vesting Date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may occur on the</w:t>
            </w:r>
          </w:p>
        </w:tc>
        <w:tc>
          <w:tcPr>
            <w:tcW w:w="28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date set forth in Column A</w:t>
            </w:r>
          </w:p>
        </w:tc>
        <w:tc>
          <w:tcPr>
            <w:tcW w:w="38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below, shall not be effective unless</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it is filed with</w:t>
            </w:r>
          </w:p>
        </w:tc>
        <w:tc>
          <w:tcPr>
            <w:tcW w:w="2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the Committee on or before</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date</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set forth in Column B</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below.</w:t>
            </w: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Column A</w:t>
            </w:r>
          </w:p>
        </w:tc>
        <w:tc>
          <w:tcPr>
            <w:tcW w:w="1740" w:type="dxa"/>
            <w:vAlign w:val="bottom"/>
          </w:tcPr>
          <w:p>
            <w:pPr>
              <w:spacing w:after="0"/>
              <w:rPr>
                <w:sz w:val="24"/>
                <w:szCs w:val="24"/>
                <w:color w:val="auto"/>
              </w:rPr>
            </w:pPr>
          </w:p>
        </w:tc>
        <w:tc>
          <w:tcPr>
            <w:tcW w:w="1120" w:type="dxa"/>
            <w:vAlign w:val="bottom"/>
          </w:tcPr>
          <w:p>
            <w:pPr>
              <w:ind w:left="220"/>
              <w:spacing w:after="0"/>
              <w:rPr>
                <w:sz w:val="20"/>
                <w:szCs w:val="20"/>
                <w:color w:val="auto"/>
              </w:rPr>
            </w:pPr>
            <w:r>
              <w:rPr>
                <w:rFonts w:ascii="Courier New" w:cs="Courier New" w:eastAsia="Courier New" w:hAnsi="Courier New"/>
                <w:sz w:val="18"/>
                <w:szCs w:val="18"/>
                <w:color w:val="auto"/>
              </w:rPr>
              <w:t>Column B</w:t>
            </w:r>
          </w:p>
        </w:tc>
        <w:tc>
          <w:tcPr>
            <w:tcW w:w="94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Vesting Date</w:t>
            </w:r>
          </w:p>
        </w:tc>
        <w:tc>
          <w:tcPr>
            <w:tcW w:w="1740" w:type="dxa"/>
            <w:vAlign w:val="bottom"/>
          </w:tcPr>
          <w:p>
            <w:pPr>
              <w:spacing w:after="0"/>
              <w:rPr>
                <w:sz w:val="17"/>
                <w:szCs w:val="17"/>
                <w:color w:val="auto"/>
              </w:rPr>
            </w:pP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Election</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Deadline</w:t>
            </w:r>
          </w:p>
        </w:tc>
        <w:tc>
          <w:tcPr>
            <w:tcW w:w="290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spacing w:after="0"/>
              <w:rPr>
                <w:sz w:val="17"/>
                <w:szCs w:val="17"/>
                <w:color w:val="auto"/>
              </w:rPr>
            </w:pPr>
          </w:p>
        </w:tc>
        <w:tc>
          <w:tcPr>
            <w:tcW w:w="49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[1st anniversary</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of grant date]</w:t>
            </w:r>
          </w:p>
        </w:tc>
        <w:tc>
          <w:tcPr>
            <w:tcW w:w="1120" w:type="dxa"/>
            <w:vAlign w:val="bottom"/>
          </w:tcPr>
          <w:p>
            <w:pPr>
              <w:ind w:left="220"/>
              <w:spacing w:after="0"/>
              <w:rPr>
                <w:sz w:val="20"/>
                <w:szCs w:val="20"/>
                <w:color w:val="auto"/>
              </w:rPr>
            </w:pPr>
            <w:r>
              <w:rPr>
                <w:rFonts w:ascii="Courier New" w:cs="Courier New" w:eastAsia="Courier New" w:hAnsi="Courier New"/>
                <w:sz w:val="18"/>
                <w:szCs w:val="18"/>
                <w:color w:val="auto"/>
              </w:rPr>
              <w:t>December</w:t>
            </w:r>
          </w:p>
        </w:tc>
        <w:tc>
          <w:tcPr>
            <w:tcW w:w="3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31, [same year as year of grant]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[2nd anniversary</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grant date]</w:t>
            </w: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December</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 [1st</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 following year of</w:t>
            </w:r>
          </w:p>
        </w:tc>
      </w:tr>
      <w:tr>
        <w:trPr>
          <w:trHeight w:val="203"/>
        </w:trPr>
        <w:tc>
          <w:tcPr>
            <w:tcW w:w="17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grant]</w:t>
            </w:r>
          </w:p>
        </w:tc>
        <w:tc>
          <w:tcPr>
            <w:tcW w:w="94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[3rd anniversary</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grant date]</w:t>
            </w: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December</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 [2nd</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 following year of</w:t>
            </w:r>
          </w:p>
        </w:tc>
      </w:tr>
      <w:tr>
        <w:trPr>
          <w:trHeight w:val="203"/>
        </w:trPr>
        <w:tc>
          <w:tcPr>
            <w:tcW w:w="17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grant]</w:t>
            </w:r>
          </w:p>
        </w:tc>
        <w:tc>
          <w:tcPr>
            <w:tcW w:w="94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[4th anniversary</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grant date]</w:t>
            </w: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December</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 [3rd</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 following year of</w:t>
            </w:r>
          </w:p>
        </w:tc>
      </w:tr>
      <w:tr>
        <w:trPr>
          <w:trHeight w:val="203"/>
        </w:trPr>
        <w:tc>
          <w:tcPr>
            <w:tcW w:w="17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grant]</w:t>
            </w:r>
          </w:p>
        </w:tc>
        <w:tc>
          <w:tcPr>
            <w:tcW w:w="940" w:type="dxa"/>
            <w:vAlign w:val="bottom"/>
          </w:tcPr>
          <w:p>
            <w:pPr>
              <w:spacing w:after="0"/>
              <w:rPr>
                <w:sz w:val="17"/>
                <w:szCs w:val="17"/>
                <w:color w:val="auto"/>
              </w:rPr>
            </w:pPr>
          </w:p>
        </w:tc>
        <w:tc>
          <w:tcPr>
            <w:tcW w:w="2900" w:type="dxa"/>
            <w:vAlign w:val="bottom"/>
          </w:tcPr>
          <w:p>
            <w:pPr>
              <w:spacing w:after="0"/>
              <w:rPr>
                <w:sz w:val="17"/>
                <w:szCs w:val="17"/>
                <w:color w:val="auto"/>
              </w:rPr>
            </w:pPr>
          </w:p>
        </w:tc>
      </w:tr>
    </w:tbl>
    <w:p>
      <w:pPr>
        <w:spacing w:after="0" w:line="207" w:lineRule="exact"/>
        <w:rPr>
          <w:sz w:val="20"/>
          <w:szCs w:val="20"/>
          <w:color w:val="auto"/>
        </w:rPr>
      </w:pPr>
    </w:p>
    <w:p>
      <w:pPr>
        <w:ind w:right="1879" w:firstLine="1904"/>
        <w:spacing w:after="0" w:line="237" w:lineRule="auto"/>
        <w:tabs>
          <w:tab w:leader="none" w:pos="231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Deferral Period. Subject to Paragraph 5(b), all Shares issuable with respect to Restricted Stock Units that are subject to an Initial Election under this Paragraph 5(a) shall be delivered to Grantee without any legend or restrictions (except those that may be imposed by the Committee, in its sole judgment, under Paragraph 7), on the date designated by Grantee, which shall not be earlier than January 2 of the second calendar year beginning after the Vesting Date, nor later than January 2 of the tenth calendar year beginning after the Vesting Date.</w:t>
      </w:r>
    </w:p>
    <w:p>
      <w:pPr>
        <w:spacing w:after="0" w:line="212" w:lineRule="exact"/>
        <w:rPr>
          <w:rFonts w:ascii="Courier New" w:cs="Courier New" w:eastAsia="Courier New" w:hAnsi="Courier New"/>
          <w:sz w:val="18"/>
          <w:szCs w:val="18"/>
          <w:color w:val="auto"/>
        </w:rPr>
      </w:pPr>
    </w:p>
    <w:p>
      <w:pPr>
        <w:ind w:right="1779" w:firstLine="1904"/>
        <w:spacing w:after="0" w:line="236" w:lineRule="auto"/>
        <w:tabs>
          <w:tab w:leader="none" w:pos="231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Failure of Vesting Date to Occur. An Initial Election shall be null and void if a Vesting Date does not occur with respect to Restricted Stock Units identified in such Initial Election.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 Subsequent Elections/Acceleration Elections.</w:t>
      </w:r>
    </w:p>
    <w:p>
      <w:pPr>
        <w:spacing w:after="0" w:line="207" w:lineRule="exact"/>
        <w:rPr>
          <w:sz w:val="20"/>
          <w:szCs w:val="20"/>
          <w:color w:val="auto"/>
        </w:rPr>
      </w:pPr>
    </w:p>
    <w:p>
      <w:pPr>
        <w:ind w:right="1879" w:firstLine="1904"/>
        <w:spacing w:after="0" w:line="237" w:lineRule="auto"/>
        <w:tabs>
          <w:tab w:leader="none" w:pos="231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before June 30 of the calendar year preceding the calendar year in which Shares subject to an Initial Election under Paragraph 5(a) are to be delivered to Grantee, Grantee may make a Subsequent Election to defer the receipt of all or any portion of such Shares for a minimum of two and a maximum of ten additional years.</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Grantee dies before Shares subject to an Initial Election under Paragraph 6(a) are to be delivered, the estate or beneficiary to whom the right to delivery of such Shares shall have passed may make a Subsequent Election to defer receipt of all or any portion of such Shares for a minimum of two additional years from the date delivery of Shares would otherwise by made, provided that such Shares shall be delivered in full on or before the fifth anniversary of Grantee's death. A Subsequent Election must be filed with the Committee by (A) the June 30 following Grantee's death on or before May 1 of a calendar year, (B) the 60th day following Grantee's death after May 1 and before November 2 of a calendar year and (C) the December 31 following Grantee's death after November 1 of a calendar year.</w:t>
      </w:r>
    </w:p>
    <w:p>
      <w:pPr>
        <w:spacing w:after="0" w:line="215" w:lineRule="exact"/>
        <w:rPr>
          <w:rFonts w:ascii="Courier New" w:cs="Courier New" w:eastAsia="Courier New" w:hAnsi="Courier New"/>
          <w:sz w:val="18"/>
          <w:szCs w:val="18"/>
          <w:color w:val="auto"/>
        </w:rPr>
      </w:pPr>
    </w:p>
    <w:p>
      <w:pPr>
        <w:ind w:right="1779" w:firstLine="1904"/>
        <w:spacing w:after="0" w:line="271" w:lineRule="auto"/>
        <w:tabs>
          <w:tab w:leader="none" w:pos="231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lieu of a Subsequent Election described in Paragraph 5(b)(2), the estate or beneficiary to whom the right to delivery of Shares shall have passed may make an Acceleration Election to accelerate the delivery date of such Shares from the date delivery of such Shares would otherwise be made to January 2 of the calendar year beginning after Grantee's death. An Acceleration Election must be filed with the Committee by (A) the June 30 following Grantee's death on or before May 1 of a calendar year, (B) the 60th day following Grantee's death after May 1 and before November 2 of a calendar year and (C) the December 31 following Grantee's death after November 1 of a calendar year.</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sectPr>
      </w:pPr>
    </w:p>
    <w:bookmarkStart w:id="20" w:name="page21"/>
    <w:bookmarkEnd w:id="20"/>
    <w:p>
      <w:pPr>
        <w:ind w:right="1779" w:firstLine="1904"/>
        <w:spacing w:after="0" w:line="238" w:lineRule="auto"/>
        <w:tabs>
          <w:tab w:leader="none" w:pos="231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Grantee becomes a Disabled Grantee before the Shares subject to an Initial Election under Paragraph 5(a) are to be delivered, Grantee may make an Acceleration Election to accelerate the delivery date of such Shares from the date delivery of such Shares would otherwise be made to January 2 of the calendar year beginning after Grantee becomes a Disabled Grantee. An Acceleration Election must be filed with the Committee by (A) the June 30 following the date Grantee becomes a Disabled Grantee if Grantee becomes a Disabled Grantee on or before May 1 of a calendar year, (B) the 60th day following the date Grantee becomes a Disabled Grantee if Grantee becomes a Disabled Grantee after May 1 and before November 2 of a calendar year and (C) the December 31 following the date Grantee becomes a Disabled Grantee if Grantee becomes a Disabled Grantee after November 1 of a calendar year.</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Grantee becomes a Retired Grantee before Shares subject to an Initial Election under Paragraph 5(a) are to be delivered, Grantee may make a Subsequent Election to defer all or any portion of such Shares for a minimum of two additional years from the date delivery of Shares would otherwise be made, provided that such Shares shall be delivered in full on or before the fifth anniversary of Grantee's retirement. A Subsequent Election must be filed with the Committee by (A) the June 30 following Grantee's Normal Retirement on or before May 1 of a calendar year, (B) the 60th day following Grantee's Normal Retirement after May 1 and before November 2 of a calendar year and (C) the December 31 following Grantee's Normal Retirement after November 1 of a calendar year.</w:t>
      </w:r>
    </w:p>
    <w:p>
      <w:pPr>
        <w:spacing w:after="0" w:line="216"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c. Diversification Election. As provided in the Plan and as described in the prospectus for the Plan, a Grantee with an Account may be eligible to make a Diversification Election on an election form supplied by the Committee for this purpose.</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d. Book Accounts. An Account shall be established for each Grantee who makes an Initial Election. Deferred Stock Units shall be credited to the Account as of the Date an Initial Election becomes effective. Each Deferred Stock Unit will represent a hypothetical Share credited to the Account in lieu of delivery of the Shares to which an Initial Election, Subsequent Election or Acceleration Election applies. If an eligible Grantee makes a Diversification Election, then to the extent an Account is deemed invested in the Income Fund, the Committee shall credit earnings with respect to such Account at the Applicable Interest Rate.</w:t>
      </w:r>
    </w:p>
    <w:p>
      <w:pPr>
        <w:spacing w:after="0" w:line="214"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e. Status of Deferred Amounts. Grantee's right to delivery of Shares subject to an Initial Election, Subsequent Election or Acceleration Election, or to amounts deemed invested in the Income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Grantee in a bankruptcy matter with respect to claims for wages.</w:t>
      </w:r>
    </w:p>
    <w:p>
      <w:pPr>
        <w:spacing w:after="0" w:line="216"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f. Non-Assignability, Etc. The right of Grantee to receive Shares subject to an Election under this Paragraph 5, or to amounts deemed invested in the Income Fund pursuant to a Diversification Election, shall not be subject in any manner to attachment or other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21" w:name="page22"/>
    <w:bookmarkEnd w:id="21"/>
    <w:p>
      <w:pPr>
        <w:ind w:right="1999"/>
        <w:spacing w:after="0" w:line="236" w:lineRule="auto"/>
        <w:rPr>
          <w:sz w:val="20"/>
          <w:szCs w:val="20"/>
          <w:color w:val="auto"/>
        </w:rPr>
      </w:pPr>
      <w:r>
        <w:rPr>
          <w:rFonts w:ascii="Courier New" w:cs="Courier New" w:eastAsia="Courier New" w:hAnsi="Courier New"/>
          <w:sz w:val="18"/>
          <w:szCs w:val="18"/>
          <w:color w:val="auto"/>
        </w:rPr>
        <w:t>legal process for the debts of Grantee; and no right to receive Shares or cash hereunder shall be subject to anticipation, alienation, sale, transfer, assignment or encumbrance.</w:t>
      </w:r>
    </w:p>
    <w:p>
      <w:pPr>
        <w:spacing w:after="0" w:line="209" w:lineRule="exact"/>
        <w:rPr>
          <w:sz w:val="20"/>
          <w:szCs w:val="20"/>
          <w:color w:val="auto"/>
        </w:rPr>
      </w:pPr>
    </w:p>
    <w:p>
      <w:pPr>
        <w:ind w:right="1879" w:firstLine="1904"/>
        <w:spacing w:after="0" w:line="237" w:lineRule="auto"/>
        <w:tabs>
          <w:tab w:leader="none" w:pos="221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Any notice to the Company under this Agreement shall be made in care of the Committee at the Company's main office in Philadelphia, Pennsylvania. All notices under this Agreement shall be deemed to have been given when hand-delivered or mailed, first class postage prepaid, and shall be irrevocable once given.</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21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Laws. The Committee may from time to time impose any conditions on the Shares issuable with respect to Restricted Stock Units as it deems necessary or advisable to ensure that the Plan satisfies the conditions of Rule 16b-3, and that Shares are issued and resold in compliance with the Securities Act of 1933, as amended.</w:t>
      </w:r>
    </w:p>
    <w:p>
      <w:pPr>
        <w:spacing w:after="0" w:line="208" w:lineRule="exact"/>
        <w:rPr>
          <w:rFonts w:ascii="Courier New" w:cs="Courier New" w:eastAsia="Courier New" w:hAnsi="Courier New"/>
          <w:sz w:val="18"/>
          <w:szCs w:val="18"/>
          <w:color w:val="auto"/>
        </w:rPr>
      </w:pPr>
    </w:p>
    <w:p>
      <w:pPr>
        <w:ind w:right="1779" w:firstLine="1904"/>
        <w:spacing w:after="0" w:line="238" w:lineRule="auto"/>
        <w:tabs>
          <w:tab w:leader="none" w:pos="221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Shares. Except as otherwise provided in Paragraph 5, the Company shall notify Grantee that a Vesting Date with respect to Restricted Stock Units has occurred. Within ten (10) business days of a Vesting Date, the Company shall, without payment from Grantee, deliver to Grantee a certificate for the Shares without any legend or restrictions, except for such restrictions as may be imposed by the Committee, in its sole judgment, under Paragraph 7, provided that no certificates for Shares will be delivered to Grantee until appropriate arrangements have been made with the Employer for the withholding of any taxes which may be due with respect to such Shares. The Company may condition delivery of certificates for Shares upon the 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times the Fair Market Value of a Share on the Vesting Date, as determined by the Committee.</w:t>
      </w:r>
    </w:p>
    <w:p>
      <w:pPr>
        <w:spacing w:after="0" w:line="208" w:lineRule="exact"/>
        <w:rPr>
          <w:rFonts w:ascii="Courier New" w:cs="Courier New" w:eastAsia="Courier New" w:hAnsi="Courier New"/>
          <w:sz w:val="18"/>
          <w:szCs w:val="18"/>
          <w:color w:val="auto"/>
        </w:rPr>
      </w:pPr>
    </w:p>
    <w:p>
      <w:pPr>
        <w:ind w:right="1779" w:firstLine="1904"/>
        <w:spacing w:after="0" w:line="236" w:lineRule="auto"/>
        <w:tabs>
          <w:tab w:leader="none" w:pos="221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 Not to Affect Employment. The Award granted hereunder shall not confer upon Grantee any right to continue in the employment of the Company or any subsidiary or affiliate of the Company.</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a. The Award granted hereunder is subject to the approval of the Plan by the shareholders of the Company to the extent that such approval (i) is required pursuant to the By-Laws of the National Association of Securities Dealers, Inc., and the schedules thereto, in connection with issuers whose securities are included in the NASDAQ National Market System, or (ii) is required to satisfy the conditions of Rule 16b-3.</w:t>
      </w:r>
    </w:p>
    <w:p>
      <w:pPr>
        <w:spacing w:after="0" w:line="210"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b. The address for Grantee to which notice, demands and other communications to be given or delivered under or by reason of the provisions hereof shall be Grantee's address as reflected in the Company's personnel records.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22" w:name="page23"/>
    <w:bookmarkEnd w:id="22"/>
    <w:p>
      <w:pPr>
        <w:ind w:right="1779" w:firstLine="1896"/>
        <w:spacing w:after="0" w:line="236" w:lineRule="auto"/>
        <w:rPr>
          <w:sz w:val="20"/>
          <w:szCs w:val="20"/>
          <w:color w:val="auto"/>
        </w:rPr>
      </w:pPr>
      <w:r>
        <w:rPr>
          <w:rFonts w:ascii="Courier New" w:cs="Courier New" w:eastAsia="Courier New" w:hAnsi="Courier New"/>
          <w:sz w:val="18"/>
          <w:szCs w:val="18"/>
          <w:color w:val="auto"/>
        </w:rPr>
        <w:t>c. The validity, performance, construction and effect of this Award shall be governed by the laws of the Commonwealth of Pennsylvania, without giving effect to principles of conflicts of law.</w:t>
      </w: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Lawrence S. Smith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Lawrence S. Smith</w:t>
      </w:r>
    </w:p>
    <w:p>
      <w:pPr>
        <w:spacing w:after="0" w:line="200" w:lineRule="exact"/>
        <w:rPr>
          <w:sz w:val="20"/>
          <w:szCs w:val="20"/>
          <w:color w:val="auto"/>
        </w:rPr>
      </w:pPr>
    </w:p>
    <w:p>
      <w:pPr>
        <w:sectPr>
          <w:pgSz w:w="11900" w:h="16838" w:orient="portrait"/>
          <w:cols w:equalWidth="0" w:num="2">
            <w:col w:w="4980" w:space="720"/>
            <w:col w:w="4519"/>
          </w:cols>
          <w:pgMar w:left="240" w:top="925" w:right="1440" w:bottom="1440" w:gutter="0" w:footer="0" w:header="0"/>
          <w:type w:val="continuous"/>
        </w:sectPr>
      </w:pPr>
    </w:p>
    <w:p>
      <w:pPr>
        <w:spacing w:after="0" w:line="209"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Arthur R. Block</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R. Block</w:t>
      </w:r>
    </w:p>
    <w:p>
      <w:pPr>
        <w:spacing w:after="0" w:line="200" w:lineRule="exact"/>
        <w:rPr>
          <w:sz w:val="20"/>
          <w:szCs w:val="20"/>
          <w:color w:val="auto"/>
        </w:rPr>
      </w:pPr>
    </w:p>
    <w:p>
      <w:pPr>
        <w:sectPr>
          <w:pgSz w:w="11900" w:h="16838" w:orient="portrait"/>
          <w:cols w:equalWidth="0" w:num="2">
            <w:col w:w="5380" w:space="320"/>
            <w:col w:w="4519"/>
          </w:cols>
          <w:pgMar w:left="240" w:top="925" w:right="1440" w:bottom="1440" w:gutter="0" w:footer="0" w:header="0"/>
          <w:type w:val="continuous"/>
        </w:sect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925" w:right="1440" w:bottom="1440" w:gutter="0" w:footer="0" w:header="0"/>
          <w:type w:val="continuous"/>
        </w:sectPr>
      </w:pPr>
    </w:p>
    <w:bookmarkStart w:id="23" w:name="page24"/>
    <w:bookmarkEnd w:id="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ind w:left="328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NON-QUALIFIED OPTION</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This is a Non-Qualified Stock Option Award dated [Date] ("Award") from Comcast Corporation (the "Sponsor") to [Name] (the "Optionee").</w:t>
      </w:r>
    </w:p>
    <w:p>
      <w:pPr>
        <w:spacing w:after="0" w:line="203" w:lineRule="exact"/>
        <w:rPr>
          <w:sz w:val="20"/>
          <w:szCs w:val="20"/>
          <w:color w:val="auto"/>
        </w:rPr>
      </w:pPr>
    </w:p>
    <w:p>
      <w:pPr>
        <w:ind w:left="1280" w:hanging="324"/>
        <w:spacing w:after="0"/>
        <w:tabs>
          <w:tab w:leader="none" w:pos="128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herein:</w:t>
      </w:r>
    </w:p>
    <w:p>
      <w:pPr>
        <w:spacing w:after="0" w:line="206"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2"/>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212" w:lineRule="exact"/>
        <w:rPr>
          <w:rFonts w:ascii="Courier New" w:cs="Courier New" w:eastAsia="Courier New" w:hAnsi="Courier New"/>
          <w:sz w:val="18"/>
          <w:szCs w:val="18"/>
          <w:color w:val="auto"/>
        </w:rPr>
      </w:pPr>
    </w:p>
    <w:p>
      <w:pPr>
        <w:ind w:right="2099" w:firstLine="1904"/>
        <w:spacing w:after="0" w:line="236" w:lineRule="auto"/>
        <w:tabs>
          <w:tab w:leader="none" w:pos="2318" w:val="left"/>
        </w:tabs>
        <w:numPr>
          <w:ilvl w:val="2"/>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Transaction" means the acquisition of Comcast Cable Communications Holdings, Inc. (formerly known as AT&amp;T Broadband Corp.) by the Company.</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2"/>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Sponsor.</w:t>
      </w:r>
    </w:p>
    <w:p>
      <w:pPr>
        <w:spacing w:after="0" w:line="206" w:lineRule="exact"/>
        <w:rPr>
          <w:rFonts w:ascii="Courier New" w:cs="Courier New" w:eastAsia="Courier New" w:hAnsi="Courier New"/>
          <w:sz w:val="18"/>
          <w:szCs w:val="18"/>
          <w:color w:val="auto"/>
        </w:rPr>
      </w:pPr>
    </w:p>
    <w:p>
      <w:pPr>
        <w:ind w:right="1879" w:firstLine="1904"/>
        <w:spacing w:after="0" w:line="268" w:lineRule="auto"/>
        <w:tabs>
          <w:tab w:leader="none" w:pos="2318" w:val="left"/>
        </w:tabs>
        <w:numPr>
          <w:ilvl w:val="2"/>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 (i) fraud; (ii) misappropriation; (iii) embezzlement; (iv) gross negligence in the performance of duties; (v) self-dealing; (vi) 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provided that as to items (ix),</w:t>
      </w:r>
    </w:p>
    <w:p>
      <w:pPr>
        <w:spacing w:after="0" w:line="1" w:lineRule="exact"/>
        <w:rPr>
          <w:rFonts w:ascii="Courier New" w:cs="Courier New" w:eastAsia="Courier New" w:hAnsi="Courier New"/>
          <w:sz w:val="16"/>
          <w:szCs w:val="16"/>
          <w:color w:val="auto"/>
        </w:rPr>
      </w:pPr>
    </w:p>
    <w:p>
      <w:pPr>
        <w:ind w:right="1779" w:firstLine="8"/>
        <w:spacing w:after="0" w:line="235" w:lineRule="auto"/>
        <w:tabs>
          <w:tab w:leader="none" w:pos="42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(xi), if capable of being cured, such event or condition remains uncured following 30 days written notice thereof.</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2"/>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of Control" means any transaction or series of transactions as a result of which any Person who was a Third Party immediately before such 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212" w:lineRule="exact"/>
        <w:rPr>
          <w:rFonts w:ascii="Courier New" w:cs="Courier New" w:eastAsia="Courier New" w:hAnsi="Courier New"/>
          <w:sz w:val="18"/>
          <w:szCs w:val="18"/>
          <w:color w:val="auto"/>
        </w:rPr>
      </w:pPr>
    </w:p>
    <w:p>
      <w:pPr>
        <w:ind w:right="1779" w:firstLine="1904"/>
        <w:spacing w:after="0" w:line="236" w:lineRule="auto"/>
        <w:tabs>
          <w:tab w:leader="none" w:pos="2318" w:val="left"/>
        </w:tabs>
        <w:numPr>
          <w:ilvl w:val="2"/>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means the closing of the acquisition and sale of the Shares as described in, and subject to the provisions of, Paragraph 9 hereof.</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2"/>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Date" means the date of the Closing.</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87" w:lineRule="exact"/>
        <w:rPr>
          <w:rFonts w:ascii="Courier New" w:cs="Courier New" w:eastAsia="Courier New" w:hAnsi="Courier New"/>
          <w:sz w:val="18"/>
          <w:szCs w:val="18"/>
          <w:color w:val="auto"/>
        </w:rPr>
      </w:pPr>
    </w:p>
    <w:p>
      <w:pPr>
        <w:ind w:left="2320" w:hanging="416"/>
        <w:spacing w:after="0"/>
        <w:tabs>
          <w:tab w:leader="none" w:pos="2320" w:val="left"/>
        </w:tabs>
        <w:numPr>
          <w:ilvl w:val="2"/>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2"/>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Plan" means any restricted stock, stock bonus, stock option or other compensation plan, program or arrangement established or maintained by the Sponsor or an Affiliate of the Sponsor, including but not limited to this Plan, the Comcast Corporation 2002 Restricted Stock Plan and the Comcast Corporation 1987 Stock Option Plan and the AT&amp;T Broadband Corp. Adjustment Plan..</w:t>
      </w:r>
    </w:p>
    <w:p>
      <w:pPr>
        <w:spacing w:after="0" w:line="209" w:lineRule="exact"/>
        <w:rPr>
          <w:rFonts w:ascii="Courier New" w:cs="Courier New" w:eastAsia="Courier New" w:hAnsi="Courier New"/>
          <w:sz w:val="18"/>
          <w:szCs w:val="18"/>
          <w:color w:val="auto"/>
        </w:rPr>
      </w:pPr>
    </w:p>
    <w:p>
      <w:pPr>
        <w:ind w:right="1779" w:firstLine="1904"/>
        <w:spacing w:after="0" w:line="235" w:lineRule="auto"/>
        <w:tabs>
          <w:tab w:leader="none" w:pos="2318" w:val="left"/>
        </w:tabs>
        <w:numPr>
          <w:ilvl w:val="2"/>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those members of the Board who have been designated pursuant to the Plan to act in that capacity..</w:t>
      </w:r>
    </w:p>
    <w:p>
      <w:pPr>
        <w:spacing w:after="0" w:line="208" w:lineRule="exact"/>
        <w:rPr>
          <w:rFonts w:ascii="Courier New" w:cs="Courier New" w:eastAsia="Courier New" w:hAnsi="Courier New"/>
          <w:sz w:val="18"/>
          <w:szCs w:val="18"/>
          <w:color w:val="auto"/>
        </w:rPr>
      </w:pPr>
    </w:p>
    <w:p>
      <w:pPr>
        <w:jc w:val="both"/>
        <w:ind w:right="1999" w:firstLine="1904"/>
        <w:spacing w:after="0" w:line="237" w:lineRule="auto"/>
        <w:tabs>
          <w:tab w:leader="none" w:pos="2318" w:val="left"/>
        </w:tabs>
        <w:numPr>
          <w:ilvl w:val="2"/>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Sponsor's Class A Common Stock, par value, $.01 per share. For purposes of Paragraph 1(t) and Paragraph 5, the term "Common Stock" also means the Sponsor's Class A Special Common Stock, par value, $.01 per share.</w:t>
      </w:r>
    </w:p>
    <w:p>
      <w:pPr>
        <w:spacing w:after="0" w:line="207" w:lineRule="exact"/>
        <w:rPr>
          <w:rFonts w:ascii="Courier New" w:cs="Courier New" w:eastAsia="Courier New" w:hAnsi="Courier New"/>
          <w:sz w:val="18"/>
          <w:szCs w:val="18"/>
          <w:color w:val="auto"/>
        </w:rPr>
      </w:pPr>
    </w:p>
    <w:p>
      <w:pPr>
        <w:ind w:left="2320" w:hanging="416"/>
        <w:spacing w:after="0"/>
        <w:tabs>
          <w:tab w:leader="none" w:pos="2320" w:val="left"/>
        </w:tabs>
        <w:numPr>
          <w:ilvl w:val="2"/>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the Sponsor and each of its Subsidiaries.</w:t>
      </w:r>
    </w:p>
    <w:p>
      <w:pPr>
        <w:spacing w:after="0" w:line="223" w:lineRule="exact"/>
        <w:rPr>
          <w:rFonts w:ascii="Courier New" w:cs="Courier New" w:eastAsia="Courier New" w:hAnsi="Courier New"/>
          <w:sz w:val="16"/>
          <w:szCs w:val="16"/>
          <w:color w:val="auto"/>
        </w:rPr>
      </w:pPr>
    </w:p>
    <w:p>
      <w:pPr>
        <w:ind w:right="2099" w:firstLine="1904"/>
        <w:spacing w:after="0" w:line="236" w:lineRule="auto"/>
        <w:tabs>
          <w:tab w:leader="none" w:pos="2318" w:val="left"/>
        </w:tabs>
        <w:numPr>
          <w:ilvl w:val="2"/>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Exercise" means the date on which the notice required by Paragraph 6 hereof is hand-delivered, placed in the United States mail postage prepaid, or delivered to a telegraph or telex facility.</w:t>
      </w:r>
    </w:p>
    <w:p>
      <w:pPr>
        <w:spacing w:after="0" w:line="208" w:lineRule="exact"/>
        <w:rPr>
          <w:rFonts w:ascii="Courier New" w:cs="Courier New" w:eastAsia="Courier New" w:hAnsi="Courier New"/>
          <w:sz w:val="18"/>
          <w:szCs w:val="18"/>
          <w:color w:val="auto"/>
        </w:rPr>
      </w:pPr>
    </w:p>
    <w:p>
      <w:pPr>
        <w:ind w:right="1999" w:firstLine="1904"/>
        <w:spacing w:after="0" w:line="235" w:lineRule="auto"/>
        <w:tabs>
          <w:tab w:leader="none" w:pos="2318" w:val="left"/>
        </w:tabs>
        <w:numPr>
          <w:ilvl w:val="2"/>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means the date hereof, the date on which the Sponsor awarded the Option.</w:t>
      </w:r>
    </w:p>
    <w:p>
      <w:pPr>
        <w:sectPr>
          <w:pgSz w:w="11900" w:h="16838" w:orient="portrait"/>
          <w:cols w:equalWidth="0" w:num="1">
            <w:col w:w="10219"/>
          </w:cols>
          <w:pgMar w:left="240" w:top="136" w:right="1440" w:bottom="0" w:gutter="0" w:footer="0" w:header="0"/>
        </w:sectPr>
      </w:pPr>
    </w:p>
    <w:bookmarkStart w:id="25" w:name="page26"/>
    <w:bookmarkEnd w:id="25"/>
    <w:p>
      <w:pPr>
        <w:ind w:right="2319" w:firstLine="1904"/>
        <w:spacing w:after="0" w:line="235" w:lineRule="auto"/>
        <w:tabs>
          <w:tab w:leader="none" w:pos="231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a disability within the meaning of section 22(e)(3) of the Code.</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Date" means the earliest of the following:</w:t>
      </w:r>
    </w:p>
    <w:p>
      <w:pPr>
        <w:spacing w:after="0" w:line="206" w:lineRule="exact"/>
        <w:rPr>
          <w:rFonts w:ascii="Courier New" w:cs="Courier New" w:eastAsia="Courier New" w:hAnsi="Courier New"/>
          <w:sz w:val="18"/>
          <w:szCs w:val="18"/>
          <w:color w:val="auto"/>
        </w:rPr>
      </w:pPr>
    </w:p>
    <w:p>
      <w:pPr>
        <w:jc w:val="both"/>
        <w:ind w:right="2199" w:firstLine="2115"/>
        <w:spacing w:after="0" w:line="236" w:lineRule="auto"/>
        <w:tabs>
          <w:tab w:leader="none" w:pos="2528"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Optionee's Termination of Employment with the Company is due to any reason other than death, Disability or Cause, the date three months following such Termination of Employment;</w:t>
      </w:r>
    </w:p>
    <w:p>
      <w:pPr>
        <w:spacing w:after="0" w:line="208" w:lineRule="exact"/>
        <w:rPr>
          <w:rFonts w:ascii="Courier New" w:cs="Courier New" w:eastAsia="Courier New" w:hAnsi="Courier New"/>
          <w:sz w:val="18"/>
          <w:szCs w:val="18"/>
          <w:color w:val="auto"/>
        </w:rPr>
      </w:pPr>
    </w:p>
    <w:p>
      <w:pPr>
        <w:ind w:left="2540" w:hanging="425"/>
        <w:spacing w:after="0"/>
        <w:tabs>
          <w:tab w:leader="none" w:pos="2540"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Optionee's Termination of Employment with the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Company is for Cause, the date of such Termination of Employment; or</w:t>
      </w:r>
    </w:p>
    <w:p>
      <w:pPr>
        <w:spacing w:after="0" w:line="201" w:lineRule="exact"/>
        <w:rPr>
          <w:rFonts w:ascii="Courier New" w:cs="Courier New" w:eastAsia="Courier New" w:hAnsi="Courier New"/>
          <w:sz w:val="16"/>
          <w:szCs w:val="16"/>
          <w:color w:val="auto"/>
        </w:rPr>
      </w:pPr>
    </w:p>
    <w:p>
      <w:pPr>
        <w:ind w:left="2540" w:hanging="425"/>
        <w:spacing w:after="0"/>
        <w:tabs>
          <w:tab w:leader="none" w:pos="254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day before the tenth anniversary of the Date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Grant</w:t>
      </w:r>
    </w:p>
    <w:p>
      <w:pPr>
        <w:spacing w:after="0" w:line="207" w:lineRule="exact"/>
        <w:rPr>
          <w:rFonts w:ascii="Courier New" w:cs="Courier New" w:eastAsia="Courier New" w:hAnsi="Courier New"/>
          <w:sz w:val="18"/>
          <w:szCs w:val="18"/>
          <w:color w:val="auto"/>
        </w:rPr>
      </w:pPr>
    </w:p>
    <w:p>
      <w:pPr>
        <w:ind w:right="2419" w:firstLine="1904"/>
        <w:spacing w:after="0" w:line="235" w:lineRule="auto"/>
        <w:tabs>
          <w:tab w:leader="none" w:pos="231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the Fair Market Value of a Share, as determined pursuant to the Plan.</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means the option hereby granted.</w:t>
      </w:r>
    </w:p>
    <w:p>
      <w:pPr>
        <w:spacing w:after="0" w:line="206"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means [$xx.xx] per Share, as calculated</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pursuant to the Plan.</w:t>
      </w:r>
    </w:p>
    <w:p>
      <w:pPr>
        <w:spacing w:after="0" w:line="207" w:lineRule="exact"/>
        <w:rPr>
          <w:rFonts w:ascii="Courier New" w:cs="Courier New" w:eastAsia="Courier New" w:hAnsi="Courier New"/>
          <w:sz w:val="16"/>
          <w:szCs w:val="16"/>
          <w:color w:val="auto"/>
        </w:rPr>
      </w:pPr>
    </w:p>
    <w:p>
      <w:pPr>
        <w:ind w:left="2320" w:hanging="416"/>
        <w:spacing w:after="0"/>
        <w:tabs>
          <w:tab w:leader="none" w:pos="23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Available Shares" means, as of any date, the sum</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44" w:right="1440" w:bottom="1440" w:gutter="0" w:footer="0" w:header="0"/>
        </w:sectPr>
      </w:pPr>
    </w:p>
    <w:bookmarkStart w:id="26" w:name="page27"/>
    <w:bookmarkEnd w:id="26"/>
    <w:p>
      <w:pPr>
        <w:ind w:right="1779" w:firstLine="1904"/>
        <w:spacing w:after="0" w:line="279" w:lineRule="auto"/>
        <w:tabs>
          <w:tab w:leader="none" w:pos="2318"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owned by an Optionee that were not acquired by such Optionee pursuant to a Comcast Plan or otherwise in connection with the performance of services to the Sponsor or an Affiliate; plus</w:t>
      </w:r>
    </w:p>
    <w:p>
      <w:pPr>
        <w:spacing w:after="0" w:line="172" w:lineRule="exact"/>
        <w:rPr>
          <w:rFonts w:ascii="Courier New" w:cs="Courier New" w:eastAsia="Courier New" w:hAnsi="Courier New"/>
          <w:sz w:val="16"/>
          <w:szCs w:val="16"/>
          <w:color w:val="auto"/>
        </w:rPr>
      </w:pPr>
    </w:p>
    <w:p>
      <w:pPr>
        <w:ind w:left="2320" w:hanging="416"/>
        <w:spacing w:after="0"/>
        <w:tabs>
          <w:tab w:leader="none" w:pos="23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excess, if any of:</w:t>
      </w:r>
    </w:p>
    <w:p>
      <w:pPr>
        <w:spacing w:after="0" w:line="206" w:lineRule="exact"/>
        <w:rPr>
          <w:rFonts w:ascii="Courier New" w:cs="Courier New" w:eastAsia="Courier New" w:hAnsi="Courier New"/>
          <w:sz w:val="18"/>
          <w:szCs w:val="18"/>
          <w:color w:val="auto"/>
        </w:rPr>
      </w:pPr>
    </w:p>
    <w:p>
      <w:pPr>
        <w:ind w:right="2199" w:firstLine="2010"/>
        <w:spacing w:after="0" w:line="235" w:lineRule="auto"/>
        <w:tabs>
          <w:tab w:leader="none" w:pos="2423"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number of Shares owned by an Optionee other than the Shares described in Paragraph 1(t)(1); over</w:t>
      </w:r>
    </w:p>
    <w:p>
      <w:pPr>
        <w:spacing w:after="0" w:line="202" w:lineRule="exact"/>
        <w:rPr>
          <w:rFonts w:ascii="Courier New" w:cs="Courier New" w:eastAsia="Courier New" w:hAnsi="Courier New"/>
          <w:sz w:val="18"/>
          <w:szCs w:val="18"/>
          <w:color w:val="auto"/>
        </w:rPr>
      </w:pPr>
    </w:p>
    <w:p>
      <w:pPr>
        <w:ind w:left="2440" w:hanging="430"/>
        <w:spacing w:after="0"/>
        <w:tabs>
          <w:tab w:leader="none" w:pos="244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w:t>
      </w:r>
    </w:p>
    <w:p>
      <w:pPr>
        <w:spacing w:after="0" w:line="206" w:lineRule="exact"/>
        <w:rPr>
          <w:rFonts w:ascii="Courier New" w:cs="Courier New" w:eastAsia="Courier New" w:hAnsi="Courier New"/>
          <w:sz w:val="18"/>
          <w:szCs w:val="18"/>
          <w:color w:val="auto"/>
        </w:rPr>
      </w:pPr>
    </w:p>
    <w:p>
      <w:pPr>
        <w:ind w:left="2860" w:hanging="429"/>
        <w:spacing w:after="0"/>
        <w:tabs>
          <w:tab w:leader="none" w:pos="2860" w:val="left"/>
        </w:tabs>
        <w:numPr>
          <w:ilvl w:val="2"/>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Shares owned by such Optionee for</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less than six months; plus</w:t>
      </w:r>
    </w:p>
    <w:p>
      <w:pPr>
        <w:spacing w:after="0" w:line="207" w:lineRule="exact"/>
        <w:rPr>
          <w:rFonts w:ascii="Courier New" w:cs="Courier New" w:eastAsia="Courier New" w:hAnsi="Courier New"/>
          <w:sz w:val="16"/>
          <w:szCs w:val="16"/>
          <w:color w:val="auto"/>
        </w:rPr>
      </w:pPr>
    </w:p>
    <w:p>
      <w:pPr>
        <w:jc w:val="both"/>
        <w:ind w:right="1779" w:firstLine="2431"/>
        <w:spacing w:after="0" w:line="237" w:lineRule="auto"/>
        <w:tabs>
          <w:tab w:leader="none" w:pos="2950" w:val="left"/>
        </w:tabs>
        <w:numPr>
          <w:ilvl w:val="2"/>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such Shares owned by such Optionee that has, within the preceding six months, been the subject of a withholding certification pursuant to Paragraph 15(b) of the Plan or any similar withholding certification under any other Comcast Plan; plus</w:t>
      </w:r>
    </w:p>
    <w:p>
      <w:pPr>
        <w:spacing w:after="0" w:line="201" w:lineRule="exact"/>
        <w:rPr>
          <w:rFonts w:ascii="Courier New" w:cs="Courier New" w:eastAsia="Courier New" w:hAnsi="Courier New"/>
          <w:sz w:val="18"/>
          <w:szCs w:val="18"/>
          <w:color w:val="auto"/>
        </w:rPr>
      </w:pPr>
    </w:p>
    <w:p>
      <w:pPr>
        <w:ind w:left="3060" w:hanging="629"/>
        <w:spacing w:after="0"/>
        <w:tabs>
          <w:tab w:leader="none" w:pos="3060" w:val="left"/>
        </w:tabs>
        <w:numPr>
          <w:ilvl w:val="2"/>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such Shares owned by such Optionee</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209" w:lineRule="exact"/>
        <w:rPr>
          <w:rFonts w:ascii="Courier New" w:cs="Courier New" w:eastAsia="Courier New" w:hAnsi="Courier New"/>
          <w:sz w:val="18"/>
          <w:szCs w:val="18"/>
          <w:color w:val="auto"/>
        </w:rPr>
      </w:pPr>
    </w:p>
    <w:p>
      <w:pPr>
        <w:ind w:left="2960" w:hanging="529"/>
        <w:spacing w:after="0"/>
        <w:tabs>
          <w:tab w:leader="none" w:pos="2960" w:val="left"/>
        </w:tabs>
        <w:numPr>
          <w:ilvl w:val="2"/>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Shares owned by such Optionee as</w:t>
      </w:r>
    </w:p>
    <w:p>
      <w:pPr>
        <w:spacing w:after="0" w:line="21" w:lineRule="exact"/>
        <w:rPr>
          <w:rFonts w:ascii="Courier New" w:cs="Courier New" w:eastAsia="Courier New" w:hAnsi="Courier New"/>
          <w:sz w:val="16"/>
          <w:szCs w:val="16"/>
          <w:color w:val="auto"/>
        </w:rPr>
      </w:pPr>
    </w:p>
    <w:p>
      <w:pPr>
        <w:ind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which evidence of ownership has, within the preceding six months, been provided to the Company in connection with the crediting of "Deferred Stock Units" to such Optionee's Account under the Comcast Corporation 2002 Deferred Stock Option Plan (as in effect from time to time).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purposes of this Paragraph 1(t), a Share that is subject to a deferral election pursuant to another Comcast Plan shall not be treated as owned by an Optionee until all conditions to the delivery of such Share have lapsed. For purposes of determining the number of Other Available Shares, the term "Shares" shall also include the securities held by a Participant immediately before the consummation of the AT&amp;T Broadband Transaction that became Common Stock as a result of the AT&amp;T Broadband Transaction.</w:t>
      </w:r>
    </w:p>
    <w:p>
      <w:pPr>
        <w:spacing w:after="0" w:line="211" w:lineRule="exact"/>
        <w:rPr>
          <w:sz w:val="20"/>
          <w:szCs w:val="20"/>
          <w:color w:val="auto"/>
        </w:rPr>
      </w:pPr>
    </w:p>
    <w:p>
      <w:pPr>
        <w:ind w:right="2519" w:firstLine="2010"/>
        <w:spacing w:after="0" w:line="290" w:lineRule="auto"/>
        <w:tabs>
          <w:tab w:leader="none" w:pos="2423"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 partnership, an association, a trust or any other entity or organization.</w:t>
      </w:r>
    </w:p>
    <w:p>
      <w:pPr>
        <w:spacing w:after="0" w:line="169" w:lineRule="exact"/>
        <w:rPr>
          <w:rFonts w:ascii="Courier New" w:cs="Courier New" w:eastAsia="Courier New" w:hAnsi="Courier New"/>
          <w:sz w:val="16"/>
          <w:szCs w:val="16"/>
          <w:color w:val="auto"/>
        </w:rPr>
      </w:pPr>
    </w:p>
    <w:p>
      <w:pPr>
        <w:ind w:right="2099" w:firstLine="2010"/>
        <w:spacing w:after="0" w:line="235" w:lineRule="auto"/>
        <w:tabs>
          <w:tab w:leader="none" w:pos="242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the Comcast Corporation 2002 Stock Option Plan, incorporated herein by reference.</w:t>
      </w:r>
    </w:p>
    <w:p>
      <w:pPr>
        <w:spacing w:after="0" w:line="208" w:lineRule="exact"/>
        <w:rPr>
          <w:rFonts w:ascii="Courier New" w:cs="Courier New" w:eastAsia="Courier New" w:hAnsi="Courier New"/>
          <w:sz w:val="18"/>
          <w:szCs w:val="18"/>
          <w:color w:val="auto"/>
        </w:rPr>
      </w:pPr>
    </w:p>
    <w:p>
      <w:pPr>
        <w:ind w:right="1879" w:firstLine="2010"/>
        <w:spacing w:after="0" w:line="235" w:lineRule="auto"/>
        <w:tabs>
          <w:tab w:leader="none" w:pos="242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means the [# of shares] shares of Common Stock, which are the subject of the Option hereby granted.</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27" w:name="page28"/>
    <w:bookmarkEnd w:id="27"/>
    <w:p>
      <w:pPr>
        <w:ind w:right="1879" w:firstLine="2010"/>
        <w:spacing w:after="0" w:line="275" w:lineRule="auto"/>
        <w:tabs>
          <w:tab w:leader="none" w:pos="242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"Sponsor"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182" w:lineRule="exact"/>
        <w:rPr>
          <w:rFonts w:ascii="Courier New" w:cs="Courier New" w:eastAsia="Courier New" w:hAnsi="Courier New"/>
          <w:sz w:val="16"/>
          <w:szCs w:val="16"/>
          <w:color w:val="auto"/>
        </w:rPr>
      </w:pPr>
    </w:p>
    <w:p>
      <w:pPr>
        <w:ind w:right="1779" w:firstLine="2010"/>
        <w:spacing w:after="0" w:line="236" w:lineRule="auto"/>
        <w:tabs>
          <w:tab w:leader="none" w:pos="242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means any business entity that, at the time in question, is a subsidiary of the Sponsor within the meaning of section 424(f) of the Code.</w:t>
      </w:r>
    </w:p>
    <w:p>
      <w:pPr>
        <w:spacing w:after="0" w:line="208" w:lineRule="exact"/>
        <w:rPr>
          <w:rFonts w:ascii="Courier New" w:cs="Courier New" w:eastAsia="Courier New" w:hAnsi="Courier New"/>
          <w:sz w:val="18"/>
          <w:szCs w:val="18"/>
          <w:color w:val="auto"/>
        </w:rPr>
      </w:pPr>
    </w:p>
    <w:p>
      <w:pPr>
        <w:ind w:right="1779" w:firstLine="2010"/>
        <w:spacing w:after="0" w:line="237" w:lineRule="auto"/>
        <w:tabs>
          <w:tab w:leader="none" w:pos="242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 Percent Shareholder"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the Sponsor or a Subsidiary.</w:t>
      </w:r>
    </w:p>
    <w:p>
      <w:pPr>
        <w:spacing w:after="0" w:line="205" w:lineRule="exact"/>
        <w:rPr>
          <w:sz w:val="20"/>
          <w:szCs w:val="20"/>
          <w:color w:val="auto"/>
        </w:rPr>
      </w:pPr>
    </w:p>
    <w:p>
      <w:pPr>
        <w:ind w:left="2540" w:hanging="530"/>
        <w:spacing w:after="0"/>
        <w:tabs>
          <w:tab w:leader="none" w:pos="254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"Terminating Event" means any of the following events:</w:t>
      </w:r>
    </w:p>
    <w:p>
      <w:pPr>
        <w:spacing w:after="0" w:line="201" w:lineRule="exact"/>
        <w:rPr>
          <w:rFonts w:ascii="Courier New" w:cs="Courier New" w:eastAsia="Courier New" w:hAnsi="Courier New"/>
          <w:sz w:val="18"/>
          <w:szCs w:val="18"/>
          <w:color w:val="auto"/>
        </w:rPr>
      </w:pPr>
    </w:p>
    <w:p>
      <w:pPr>
        <w:ind w:left="2640" w:hanging="420"/>
        <w:spacing w:after="0"/>
        <w:tabs>
          <w:tab w:leader="none" w:pos="2640" w:val="left"/>
        </w:tabs>
        <w:numPr>
          <w:ilvl w:val="2"/>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liquidation of the Sponsor; or</w:t>
      </w:r>
    </w:p>
    <w:p>
      <w:pPr>
        <w:spacing w:after="0" w:line="201" w:lineRule="exact"/>
        <w:rPr>
          <w:rFonts w:ascii="Courier New" w:cs="Courier New" w:eastAsia="Courier New" w:hAnsi="Courier New"/>
          <w:sz w:val="18"/>
          <w:szCs w:val="18"/>
          <w:color w:val="auto"/>
        </w:rPr>
      </w:pPr>
    </w:p>
    <w:p>
      <w:pPr>
        <w:ind w:left="2640" w:hanging="420"/>
        <w:spacing w:after="0"/>
        <w:tabs>
          <w:tab w:leader="none" w:pos="2640" w:val="left"/>
        </w:tabs>
        <w:numPr>
          <w:ilvl w:val="2"/>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of Control.</w:t>
      </w:r>
    </w:p>
    <w:p>
      <w:pPr>
        <w:spacing w:after="0" w:line="206" w:lineRule="exact"/>
        <w:rPr>
          <w:rFonts w:ascii="Courier New" w:cs="Courier New" w:eastAsia="Courier New" w:hAnsi="Courier New"/>
          <w:sz w:val="18"/>
          <w:szCs w:val="18"/>
          <w:color w:val="auto"/>
        </w:rPr>
      </w:pPr>
    </w:p>
    <w:p>
      <w:pPr>
        <w:ind w:right="1779" w:firstLine="2010"/>
        <w:spacing w:after="0" w:line="238" w:lineRule="auto"/>
        <w:tabs>
          <w:tab w:leader="none" w:pos="2528"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means the Optionee's termination of employment. For purposes of the Plan and this Award, the Optionee's Termination of Employment occurs on the date the Optionee ceases to have a regular obligation to perform services for the Company, without regard to whether (i) the Optionee continues on the Company's payroll for regular, severance or other pay or (ii) the Optionee continues to participate in one or more health and welfare plans maintained by the Company on the same basis as active employees. Whether the Optionee ceases to have a regular obligation to perform services for the Company shall be determined by the Committee in its sole discretion. Notwithstanding the foregoing, if the Optionee is a party to an employment agreement or severance agreement with the Company which establishes the effective date of the Optionee's termination of employment for purposes of this Award, that date shall apply.</w:t>
      </w:r>
    </w:p>
    <w:p>
      <w:pPr>
        <w:spacing w:after="0" w:line="207" w:lineRule="exact"/>
        <w:rPr>
          <w:rFonts w:ascii="Courier New" w:cs="Courier New" w:eastAsia="Courier New" w:hAnsi="Courier New"/>
          <w:sz w:val="18"/>
          <w:szCs w:val="18"/>
          <w:color w:val="auto"/>
        </w:rPr>
      </w:pPr>
    </w:p>
    <w:p>
      <w:pPr>
        <w:jc w:val="both"/>
        <w:ind w:right="2199" w:firstLine="2010"/>
        <w:spacing w:after="0" w:line="279" w:lineRule="auto"/>
        <w:tabs>
          <w:tab w:leader="none" w:pos="2528"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other than a Company, together with such Person's Affiliates, provided that the term "Third Party" shall not include the Sponsor or an Affiliate of the Sponsor.</w:t>
      </w:r>
    </w:p>
    <w:p>
      <w:pPr>
        <w:spacing w:after="0" w:line="178" w:lineRule="exact"/>
        <w:rPr>
          <w:rFonts w:ascii="Courier New" w:cs="Courier New" w:eastAsia="Courier New" w:hAnsi="Courier New"/>
          <w:sz w:val="16"/>
          <w:szCs w:val="16"/>
          <w:color w:val="auto"/>
        </w:rPr>
      </w:pPr>
    </w:p>
    <w:p>
      <w:pPr>
        <w:ind w:left="2540" w:hanging="530"/>
        <w:spacing w:after="0"/>
        <w:tabs>
          <w:tab w:leader="none" w:pos="254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"1933 Act" means the Securities Act of 1933, as amended.</w:t>
      </w:r>
    </w:p>
    <w:p>
      <w:pPr>
        <w:spacing w:after="0" w:line="223" w:lineRule="exact"/>
        <w:rPr>
          <w:rFonts w:ascii="Courier New" w:cs="Courier New" w:eastAsia="Courier New" w:hAnsi="Courier New"/>
          <w:sz w:val="16"/>
          <w:szCs w:val="16"/>
          <w:color w:val="auto"/>
        </w:rPr>
      </w:pPr>
    </w:p>
    <w:p>
      <w:pPr>
        <w:ind w:left="2540" w:hanging="530"/>
        <w:spacing w:after="0"/>
        <w:tabs>
          <w:tab w:leader="none" w:pos="254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"1934 Act" means the Securities Exchange Act of 1934, as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amended.</w:t>
      </w:r>
    </w:p>
    <w:p>
      <w:pPr>
        <w:spacing w:after="0" w:line="207" w:lineRule="exact"/>
        <w:rPr>
          <w:rFonts w:ascii="Courier New" w:cs="Courier New" w:eastAsia="Courier New" w:hAnsi="Courier New"/>
          <w:sz w:val="16"/>
          <w:szCs w:val="16"/>
          <w:color w:val="auto"/>
        </w:rPr>
      </w:pPr>
    </w:p>
    <w:p>
      <w:pPr>
        <w:ind w:right="1879" w:firstLine="956"/>
        <w:spacing w:after="0" w:line="236" w:lineRule="auto"/>
        <w:tabs>
          <w:tab w:leader="none" w:pos="1264"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 Subject to the terms and conditions set forth herein and in the Plan, the Sponsor hereby grants to the Optionee the Option to purchase any or all of the Shares.</w:t>
      </w:r>
    </w:p>
    <w:p>
      <w:pPr>
        <w:spacing w:after="0" w:line="203"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of Exercise of Options.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28" w:name="page29"/>
    <w:bookmarkEnd w:id="28"/>
    <w:p>
      <w:pPr>
        <w:jc w:val="both"/>
        <w:ind w:right="2099" w:firstLine="948"/>
        <w:spacing w:after="0" w:line="279" w:lineRule="auto"/>
        <w:rPr>
          <w:sz w:val="20"/>
          <w:szCs w:val="20"/>
          <w:color w:val="auto"/>
        </w:rPr>
      </w:pPr>
      <w:r>
        <w:rPr>
          <w:rFonts w:ascii="Courier New" w:cs="Courier New" w:eastAsia="Courier New" w:hAnsi="Courier New"/>
          <w:sz w:val="16"/>
          <w:szCs w:val="16"/>
          <w:color w:val="auto"/>
        </w:rPr>
        <w:t>Except as provided in Paragraph 4, the Option may be exercised after such time or times as set forth below, and shall remain exercisable until the Expiration Date, when the right to exercise shall terminate absolutely:</w:t>
      </w:r>
    </w:p>
    <w:p>
      <w:pPr>
        <w:spacing w:after="0" w:line="178" w:lineRule="exact"/>
        <w:rPr>
          <w:sz w:val="20"/>
          <w:szCs w:val="20"/>
          <w:color w:val="auto"/>
        </w:rPr>
      </w:pPr>
    </w:p>
    <w:p>
      <w:pPr>
        <w:ind w:left="2860" w:right="1879" w:hanging="631"/>
        <w:spacing w:after="0" w:line="236" w:lineRule="auto"/>
        <w:rPr>
          <w:sz w:val="20"/>
          <w:szCs w:val="20"/>
          <w:color w:val="auto"/>
        </w:rPr>
      </w:pPr>
      <w:r>
        <w:rPr>
          <w:rFonts w:ascii="Courier New" w:cs="Courier New" w:eastAsia="Courier New" w:hAnsi="Courier New"/>
          <w:sz w:val="18"/>
          <w:szCs w:val="18"/>
          <w:color w:val="auto"/>
        </w:rPr>
        <w:t>[20%] of the Shares subject to the Option may be exercised following the second anniversary of the Date of Grant.</w:t>
      </w:r>
    </w:p>
    <w:p>
      <w:pPr>
        <w:spacing w:after="0" w:line="209" w:lineRule="exact"/>
        <w:rPr>
          <w:sz w:val="20"/>
          <w:szCs w:val="20"/>
          <w:color w:val="auto"/>
        </w:rPr>
      </w:pPr>
    </w:p>
    <w:p>
      <w:pPr>
        <w:ind w:left="2860" w:right="1779" w:hanging="631"/>
        <w:spacing w:after="0" w:line="290" w:lineRule="auto"/>
        <w:rPr>
          <w:sz w:val="20"/>
          <w:szCs w:val="20"/>
          <w:color w:val="auto"/>
        </w:rPr>
      </w:pPr>
      <w:r>
        <w:rPr>
          <w:rFonts w:ascii="Courier New" w:cs="Courier New" w:eastAsia="Courier New" w:hAnsi="Courier New"/>
          <w:sz w:val="16"/>
          <w:szCs w:val="16"/>
          <w:color w:val="auto"/>
        </w:rPr>
        <w:t>[10%] of the Shares subject to the Option may be exercised following the third anniversary of the Date of Grant.</w:t>
      </w:r>
    </w:p>
    <w:p>
      <w:pPr>
        <w:spacing w:after="0" w:line="170" w:lineRule="exact"/>
        <w:rPr>
          <w:sz w:val="20"/>
          <w:szCs w:val="20"/>
          <w:color w:val="auto"/>
        </w:rPr>
      </w:pPr>
    </w:p>
    <w:p>
      <w:pPr>
        <w:ind w:left="2860" w:right="1879" w:hanging="631"/>
        <w:spacing w:after="0" w:line="236" w:lineRule="auto"/>
        <w:rPr>
          <w:sz w:val="20"/>
          <w:szCs w:val="20"/>
          <w:color w:val="auto"/>
        </w:rPr>
      </w:pPr>
      <w:r>
        <w:rPr>
          <w:rFonts w:ascii="Courier New" w:cs="Courier New" w:eastAsia="Courier New" w:hAnsi="Courier New"/>
          <w:sz w:val="18"/>
          <w:szCs w:val="18"/>
          <w:color w:val="auto"/>
        </w:rPr>
        <w:t>[10%] of the Shares subject to the Option may be exercised following the fourth anniversary of the Date of Grant.</w:t>
      </w:r>
    </w:p>
    <w:p>
      <w:pPr>
        <w:spacing w:after="0" w:line="209" w:lineRule="exact"/>
        <w:rPr>
          <w:sz w:val="20"/>
          <w:szCs w:val="20"/>
          <w:color w:val="auto"/>
        </w:rPr>
      </w:pPr>
    </w:p>
    <w:p>
      <w:pPr>
        <w:ind w:left="2860" w:right="1779" w:hanging="631"/>
        <w:spacing w:after="0" w:line="290" w:lineRule="auto"/>
        <w:rPr>
          <w:sz w:val="20"/>
          <w:szCs w:val="20"/>
          <w:color w:val="auto"/>
        </w:rPr>
      </w:pPr>
      <w:r>
        <w:rPr>
          <w:rFonts w:ascii="Courier New" w:cs="Courier New" w:eastAsia="Courier New" w:hAnsi="Courier New"/>
          <w:sz w:val="16"/>
          <w:szCs w:val="16"/>
          <w:color w:val="auto"/>
        </w:rPr>
        <w:t>[10%] of the Shares subject to the Option may be exercised following the fifth anniversary of the Date of Grant.</w:t>
      </w:r>
    </w:p>
    <w:p>
      <w:pPr>
        <w:spacing w:after="0" w:line="170" w:lineRule="exact"/>
        <w:rPr>
          <w:sz w:val="20"/>
          <w:szCs w:val="20"/>
          <w:color w:val="auto"/>
        </w:rPr>
      </w:pPr>
    </w:p>
    <w:p>
      <w:pPr>
        <w:ind w:left="2860" w:right="1779" w:hanging="631"/>
        <w:spacing w:after="0" w:line="290" w:lineRule="auto"/>
        <w:rPr>
          <w:sz w:val="20"/>
          <w:szCs w:val="20"/>
          <w:color w:val="auto"/>
        </w:rPr>
      </w:pPr>
      <w:r>
        <w:rPr>
          <w:rFonts w:ascii="Courier New" w:cs="Courier New" w:eastAsia="Courier New" w:hAnsi="Courier New"/>
          <w:sz w:val="16"/>
          <w:szCs w:val="16"/>
          <w:color w:val="auto"/>
        </w:rPr>
        <w:t>[10%] of the Shares subject to the Option may be exercised following the sixth anniversary of the Date of Grant.</w:t>
      </w:r>
    </w:p>
    <w:p>
      <w:pPr>
        <w:spacing w:after="0" w:line="170" w:lineRule="exact"/>
        <w:rPr>
          <w:sz w:val="20"/>
          <w:szCs w:val="20"/>
          <w:color w:val="auto"/>
        </w:rPr>
      </w:pPr>
    </w:p>
    <w:p>
      <w:pPr>
        <w:ind w:left="2860" w:right="1879" w:hanging="631"/>
        <w:spacing w:after="0" w:line="236" w:lineRule="auto"/>
        <w:rPr>
          <w:sz w:val="20"/>
          <w:szCs w:val="20"/>
          <w:color w:val="auto"/>
        </w:rPr>
      </w:pPr>
      <w:r>
        <w:rPr>
          <w:rFonts w:ascii="Courier New" w:cs="Courier New" w:eastAsia="Courier New" w:hAnsi="Courier New"/>
          <w:sz w:val="18"/>
          <w:szCs w:val="18"/>
          <w:color w:val="auto"/>
        </w:rPr>
        <w:t>[10%] of the Shares subject to the Option may be exercised following the seventh anniversary of the Date of Grant.</w:t>
      </w:r>
    </w:p>
    <w:p>
      <w:pPr>
        <w:spacing w:after="0" w:line="209" w:lineRule="exact"/>
        <w:rPr>
          <w:sz w:val="20"/>
          <w:szCs w:val="20"/>
          <w:color w:val="auto"/>
        </w:rPr>
      </w:pPr>
    </w:p>
    <w:p>
      <w:pPr>
        <w:ind w:left="2860" w:right="1879" w:hanging="631"/>
        <w:spacing w:after="0" w:line="236" w:lineRule="auto"/>
        <w:rPr>
          <w:sz w:val="20"/>
          <w:szCs w:val="20"/>
          <w:color w:val="auto"/>
        </w:rPr>
      </w:pPr>
      <w:r>
        <w:rPr>
          <w:rFonts w:ascii="Courier New" w:cs="Courier New" w:eastAsia="Courier New" w:hAnsi="Courier New"/>
          <w:sz w:val="18"/>
          <w:szCs w:val="18"/>
          <w:color w:val="auto"/>
        </w:rPr>
        <w:t>[10%] of the Shares subject to the Option may be exercised following the eighth anniversary of the Date of Grant.</w:t>
      </w:r>
    </w:p>
    <w:p>
      <w:pPr>
        <w:spacing w:after="0" w:line="209" w:lineRule="exact"/>
        <w:rPr>
          <w:sz w:val="20"/>
          <w:szCs w:val="20"/>
          <w:color w:val="auto"/>
        </w:rPr>
      </w:pPr>
    </w:p>
    <w:p>
      <w:pPr>
        <w:ind w:left="2860" w:right="1779" w:hanging="631"/>
        <w:spacing w:after="0" w:line="290" w:lineRule="auto"/>
        <w:rPr>
          <w:sz w:val="20"/>
          <w:szCs w:val="20"/>
          <w:color w:val="auto"/>
        </w:rPr>
      </w:pPr>
      <w:r>
        <w:rPr>
          <w:rFonts w:ascii="Courier New" w:cs="Courier New" w:eastAsia="Courier New" w:hAnsi="Courier New"/>
          <w:sz w:val="16"/>
          <w:szCs w:val="16"/>
          <w:color w:val="auto"/>
        </w:rPr>
        <w:t>[10%] of the Shares subject to the Option may be exercised following the ninth anniversary of the Date of Grant.</w:t>
      </w:r>
    </w:p>
    <w:p>
      <w:pPr>
        <w:spacing w:after="0" w:line="170" w:lineRule="exact"/>
        <w:rPr>
          <w:sz w:val="20"/>
          <w:szCs w:val="20"/>
          <w:color w:val="auto"/>
        </w:rPr>
      </w:pPr>
    </w:p>
    <w:p>
      <w:pPr>
        <w:ind w:left="2860" w:right="1879" w:hanging="631"/>
        <w:spacing w:after="0" w:line="236" w:lineRule="auto"/>
        <w:rPr>
          <w:sz w:val="20"/>
          <w:szCs w:val="20"/>
          <w:color w:val="auto"/>
        </w:rPr>
      </w:pPr>
      <w:r>
        <w:rPr>
          <w:rFonts w:ascii="Courier New" w:cs="Courier New" w:eastAsia="Courier New" w:hAnsi="Courier New"/>
          <w:sz w:val="18"/>
          <w:szCs w:val="18"/>
          <w:color w:val="auto"/>
        </w:rPr>
        <w:t>[10%] of the Shares subject to the Option may be exercised following the nine and one-half year anniversary of the Date of Grant.</w:t>
      </w:r>
    </w:p>
    <w:p>
      <w:pPr>
        <w:spacing w:after="0" w:line="209"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No Shares subject to the Option shall first become exercisable following the Optionee's Termination of Employment for any reason other than death or Disability. All Shares subject to the Option shall vest and become exercisable upon the Optionee's Termination of Employment because of death or Disability.</w:t>
      </w:r>
    </w:p>
    <w:p>
      <w:pPr>
        <w:spacing w:after="0" w:line="177" w:lineRule="exact"/>
        <w:rPr>
          <w:sz w:val="20"/>
          <w:szCs w:val="20"/>
          <w:color w:val="auto"/>
        </w:rPr>
      </w:pPr>
    </w:p>
    <w:p>
      <w:pPr>
        <w:ind w:left="1280" w:hanging="324"/>
        <w:spacing w:after="0"/>
        <w:tabs>
          <w:tab w:leader="none" w:pos="12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Terminating Event.</w:t>
      </w:r>
    </w:p>
    <w:p>
      <w:pPr>
        <w:spacing w:after="0" w:line="206" w:lineRule="exact"/>
        <w:rPr>
          <w:rFonts w:ascii="Courier New" w:cs="Courier New" w:eastAsia="Courier New" w:hAnsi="Courier New"/>
          <w:sz w:val="18"/>
          <w:szCs w:val="18"/>
          <w:color w:val="auto"/>
        </w:rPr>
      </w:pPr>
    </w:p>
    <w:p>
      <w:pPr>
        <w:ind w:right="1779" w:firstLine="2010"/>
        <w:spacing w:after="0" w:line="270" w:lineRule="auto"/>
        <w:tabs>
          <w:tab w:leader="none" w:pos="2423"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Sponsor shall give the Optionee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 the Optionee shall be permitted to exercise the Option to the extent the Option is then exercisable; provided that,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4(a), the entire number of Shares covered by Options shall become immediately</w:t>
      </w: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29" w:name="page30"/>
    <w:bookmarkEnd w:id="29"/>
    <w:p>
      <w:pPr>
        <w:ind w:right="1879"/>
        <w:spacing w:after="0" w:line="275" w:lineRule="auto"/>
        <w:rPr>
          <w:sz w:val="20"/>
          <w:szCs w:val="20"/>
          <w:color w:val="auto"/>
        </w:rPr>
      </w:pPr>
      <w:r>
        <w:rPr>
          <w:rFonts w:ascii="Courier New" w:cs="Courier New" w:eastAsia="Courier New" w:hAnsi="Courier New"/>
          <w:sz w:val="16"/>
          <w:szCs w:val="16"/>
          <w:color w:val="auto"/>
        </w:rPr>
        <w:t>exercisable. Upon the close of the period described in this Paragraph 4(a) during which an Option may be exercised in connection with a Terminating Event, such Option (including such portion thereof that is not exercisable) shall terminate to the extent that such Option has not theretofore been exercised.</w:t>
      </w:r>
    </w:p>
    <w:p>
      <w:pPr>
        <w:spacing w:after="0" w:line="182" w:lineRule="exact"/>
        <w:rPr>
          <w:sz w:val="20"/>
          <w:szCs w:val="20"/>
          <w:color w:val="auto"/>
        </w:rPr>
      </w:pPr>
    </w:p>
    <w:p>
      <w:pPr>
        <w:ind w:right="1999" w:firstLine="2010"/>
        <w:spacing w:after="0" w:line="237" w:lineRule="auto"/>
        <w:tabs>
          <w:tab w:leader="none" w:pos="2423"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Paragraph 4(a), in the event the Terminating Event is not consummated, the Option shall be deemed not to have been exercised and shall be exercisable thereafter to the extent it would have been exercisable if no such notice had been given.</w:t>
      </w:r>
    </w:p>
    <w:p>
      <w:pPr>
        <w:spacing w:after="0" w:line="207" w:lineRule="exact"/>
        <w:rPr>
          <w:rFonts w:ascii="Courier New" w:cs="Courier New" w:eastAsia="Courier New" w:hAnsi="Courier New"/>
          <w:sz w:val="18"/>
          <w:szCs w:val="18"/>
          <w:color w:val="auto"/>
        </w:rPr>
      </w:pPr>
    </w:p>
    <w:p>
      <w:pPr>
        <w:ind w:right="1779" w:firstLine="956"/>
        <w:spacing w:after="0" w:line="269" w:lineRule="auto"/>
        <w:tabs>
          <w:tab w:leader="none" w:pos="126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for Shares. Full payment for Shares purchased upon the exercise of an Option shall be made in cash or, at the election of the Optionee and as the Committee may, in its sole discretion, approve, by surrendering or attesting ownership of shares of Common Stock with an aggregate Fair Market Value equal to the aggregate option price, or by attesting to ownership and delivering such combination of shares and cash as the Committee may, in its sole discretion, approve; provided that ownership of shares may be attested to and shares may be surrendered in satisfaction of the option price only if the Optionee certifies in writing to the Sponsor that the Optionee owns a number of Other Available Shares as of the Date of Exercise that is at least equal to the number of shares as to which ownership has been attested or the number of shares to be surrendered in satisfaction of the Option Price, as applicable. If payment is made in whole or part by attestation of ownership, the Optionee shall attest to ownership of shares representing shares legally and beneficially owned by such Optionee, free of all liens, claims and encumbrances of every kind and having a Fair Market Value on the date of attestation that is not greater than the aggregate option price.</w:t>
      </w:r>
    </w:p>
    <w:p>
      <w:pPr>
        <w:spacing w:after="0" w:line="395" w:lineRule="exact"/>
        <w:rPr>
          <w:rFonts w:ascii="Courier New" w:cs="Courier New" w:eastAsia="Courier New" w:hAnsi="Courier New"/>
          <w:sz w:val="16"/>
          <w:szCs w:val="16"/>
          <w:color w:val="auto"/>
        </w:rPr>
      </w:pPr>
    </w:p>
    <w:p>
      <w:pPr>
        <w:ind w:right="1879" w:firstLine="956"/>
        <w:spacing w:after="0" w:line="275" w:lineRule="auto"/>
        <w:tabs>
          <w:tab w:leader="none" w:pos="126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Manner of Exercise. The Option shall be exercised by giving written notice of exercise in accordance with the manner proscribed by the Committee. Such notice shall be deemed to have been given when hand-delivered, telecopied or mailed, first class postage prepaid, and shall be irrevocable once given.</w:t>
      </w:r>
    </w:p>
    <w:p>
      <w:pPr>
        <w:spacing w:after="0" w:line="182" w:lineRule="exact"/>
        <w:rPr>
          <w:rFonts w:ascii="Courier New" w:cs="Courier New" w:eastAsia="Courier New" w:hAnsi="Courier New"/>
          <w:sz w:val="16"/>
          <w:szCs w:val="16"/>
          <w:color w:val="auto"/>
        </w:rPr>
      </w:pPr>
    </w:p>
    <w:p>
      <w:pPr>
        <w:ind w:right="1779" w:firstLine="956"/>
        <w:spacing w:after="0" w:line="237" w:lineRule="auto"/>
        <w:tabs>
          <w:tab w:leader="none" w:pos="1264"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 The Option may not be transferred or assigned by the Optionee otherwise than by will or the laws of descent and distribution or be exercised during his life other than by the Optionee or for his benefit by his attorney-in-fact or guardian. Any attempt at assignment, transfer, pledge or disposition of the Option contrary to the provisions hereof or the levy of any execution, attachment or similar process upon the Option shall be null and void and without effect. Any exercise of the Option by a person other than the Optionee shall be accompanied by appropriate proofs of the right of such person to exercise the Option.</w:t>
      </w:r>
    </w:p>
    <w:p>
      <w:pPr>
        <w:spacing w:after="0" w:line="213" w:lineRule="exact"/>
        <w:rPr>
          <w:rFonts w:ascii="Courier New" w:cs="Courier New" w:eastAsia="Courier New" w:hAnsi="Courier New"/>
          <w:sz w:val="18"/>
          <w:szCs w:val="18"/>
          <w:color w:val="auto"/>
        </w:rPr>
      </w:pPr>
    </w:p>
    <w:p>
      <w:pPr>
        <w:ind w:right="1779" w:firstLine="956"/>
        <w:spacing w:after="0" w:line="237" w:lineRule="auto"/>
        <w:tabs>
          <w:tab w:leader="none" w:pos="1264"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Laws. The Committee may from time to time impose any conditions on the exercise of the Option as it deems necessary or appropriate to comply with the then-existing requirements of the 1933 Act or the 1934 Act, including Rule 16b-3 (or any similar rule) of the Securities and Exchange Commission. If the listing, registration or qualification of Shares issuable on the exercise of the Option upon any securities exchange or under any federal or state law, or the consent or approval of any governmental regulatory body is necessary as a condition of or in connection with the purchase of such Shares, the Sponsor shall not be obligated to issue or deliver the certificates representing the Shares otherwise issuable on the</w:t>
      </w: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exercise of the Option unless and until such listing, registration, qualification, consent or approval shall have been effected or obtained. If registration is considered unnecessary by the Sponsor or its counsel, the Sponsor may cause a legend to be placed on such Shares calling attention to the fact that they have been acquired for investment and have not been registered.</w:t>
      </w:r>
    </w:p>
    <w:p>
      <w:pPr>
        <w:spacing w:after="0" w:line="185" w:lineRule="exact"/>
        <w:rPr>
          <w:sz w:val="20"/>
          <w:szCs w:val="20"/>
          <w:color w:val="auto"/>
        </w:rPr>
      </w:pPr>
    </w:p>
    <w:p>
      <w:pPr>
        <w:ind w:right="1879" w:firstLine="2010"/>
        <w:spacing w:after="0" w:line="271" w:lineRule="auto"/>
        <w:tabs>
          <w:tab w:leader="none" w:pos="231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Certificate at Closing; Payment of Cash. Subject to the provisions of this Paragraph 9, the Closing Date shall occur as promptly as is feasible after the exercise of the Option. Subject to the provisions of Paragraphs 8 and 10 hereof, a certificate for the Shares issuable on the exercise of the Option shall be delivered to the Optionee or to his personal representative, heir or legatee at the Closing, provided that no certificates for Shares will be delivered to the Optionee or to his personal representative, heir or legatee unless the Option Price has been paid in full.</w:t>
      </w:r>
    </w:p>
    <w:p>
      <w:pPr>
        <w:spacing w:after="0" w:line="185" w:lineRule="exact"/>
        <w:rPr>
          <w:rFonts w:ascii="Courier New" w:cs="Courier New" w:eastAsia="Courier New" w:hAnsi="Courier New"/>
          <w:sz w:val="16"/>
          <w:szCs w:val="16"/>
          <w:color w:val="auto"/>
        </w:rPr>
      </w:pPr>
    </w:p>
    <w:p>
      <w:pPr>
        <w:ind w:right="1779" w:firstLine="2010"/>
        <w:spacing w:after="0" w:line="275" w:lineRule="auto"/>
        <w:tabs>
          <w:tab w:leader="none" w:pos="2423"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Prior to Exercise. The Optionee shall not have any right as a stockholder with respect to any Shares subject to his Options until the Option shall have been exercised in accordance with the terms of the Plan and this Award and the Optionee shall have paid the full purchase price for the</w:t>
      </w:r>
    </w:p>
    <w:p>
      <w:pPr>
        <w:sectPr>
          <w:pgSz w:w="11900" w:h="16838" w:orient="portrait"/>
          <w:cols w:equalWidth="0" w:num="1">
            <w:col w:w="10219"/>
          </w:cols>
          <w:pgMar w:left="240" w:top="925" w:right="1440" w:bottom="0" w:gutter="0" w:footer="0" w:header="0"/>
        </w:sectPr>
      </w:pPr>
    </w:p>
    <w:bookmarkStart w:id="30" w:name="page31"/>
    <w:bookmarkEnd w:id="30"/>
    <w:p>
      <w:pPr>
        <w:ind w:right="1879"/>
        <w:spacing w:after="0" w:line="237" w:lineRule="auto"/>
        <w:rPr>
          <w:sz w:val="20"/>
          <w:szCs w:val="20"/>
          <w:color w:val="auto"/>
        </w:rPr>
      </w:pPr>
      <w:r>
        <w:rPr>
          <w:rFonts w:ascii="Courier New" w:cs="Courier New" w:eastAsia="Courier New" w:hAnsi="Courier New"/>
          <w:sz w:val="18"/>
          <w:szCs w:val="18"/>
          <w:color w:val="auto"/>
        </w:rPr>
        <w:t>number of Shares in respect of which the Option was exercised, provided that in the event that the Optionee's Termination of Employment with the Company is for Cause, upon a determination by the Committee, the Optionee shall automatically forfeit all Shares otherwise subject to delivery upon exercise of an Option but for which the Sponsor has not yet delivered the Share certificates, upon refund by the Sponsor of the Option Price.</w:t>
      </w:r>
    </w:p>
    <w:p>
      <w:pPr>
        <w:spacing w:after="0" w:line="210" w:lineRule="exact"/>
        <w:rPr>
          <w:sz w:val="20"/>
          <w:szCs w:val="20"/>
          <w:color w:val="auto"/>
        </w:rPr>
      </w:pPr>
    </w:p>
    <w:p>
      <w:pPr>
        <w:ind w:right="1879" w:firstLine="2010"/>
        <w:spacing w:after="0" w:line="237" w:lineRule="auto"/>
        <w:tabs>
          <w:tab w:leader="none" w:pos="2423"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Status of Option; Interpretation. The Option is intended to be a non-qualified stock option. Accordingly, it is intended that the transfer of property pursuant to the exercise of the Option be subject to federal income tax in accordance with section 83 of the Code. The Option is not intended to qualify as an incentive stock option within the meaning of section 422 of the Code. The interpretation and construction of any provision of this Option or the Plan made by the Committee shall be final and conclusive and, insofar as possible, shall be consistent with the intention expressed in this Paragraph 11.</w:t>
      </w:r>
    </w:p>
    <w:p>
      <w:pPr>
        <w:spacing w:after="0" w:line="213" w:lineRule="exact"/>
        <w:rPr>
          <w:rFonts w:ascii="Courier New" w:cs="Courier New" w:eastAsia="Courier New" w:hAnsi="Courier New"/>
          <w:sz w:val="18"/>
          <w:szCs w:val="18"/>
          <w:color w:val="auto"/>
        </w:rPr>
      </w:pPr>
    </w:p>
    <w:p>
      <w:pPr>
        <w:ind w:right="1779" w:firstLine="2010"/>
        <w:spacing w:after="0" w:line="237" w:lineRule="auto"/>
        <w:tabs>
          <w:tab w:leader="none" w:pos="2423"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Not to Affect Employment. The Option granted hereunder shall not confer upon the Optionee any right to continue in service as an employee, officer or director of the Sponsor or any subsidiary of the Sponsor.</w:t>
      </w:r>
    </w:p>
    <w:p>
      <w:pPr>
        <w:spacing w:after="0" w:line="201" w:lineRule="exact"/>
        <w:rPr>
          <w:rFonts w:ascii="Courier New" w:cs="Courier New" w:eastAsia="Courier New" w:hAnsi="Courier New"/>
          <w:sz w:val="18"/>
          <w:szCs w:val="18"/>
          <w:color w:val="auto"/>
        </w:rPr>
      </w:pPr>
    </w:p>
    <w:p>
      <w:pPr>
        <w:ind w:left="2440" w:hanging="430"/>
        <w:spacing w:after="0"/>
        <w:tabs>
          <w:tab w:leader="none" w:pos="24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2010"/>
        <w:spacing w:after="0" w:line="237" w:lineRule="auto"/>
        <w:tabs>
          <w:tab w:leader="none" w:pos="242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for the Optionee to which notice, demands and other communications to be given or delivered under or by reason of the provisions hereof shall be the address contained in the Company's personnel records, or such other address as the Optionee may provide to the Company by written notice.</w:t>
      </w:r>
    </w:p>
    <w:p>
      <w:pPr>
        <w:spacing w:after="0" w:line="208" w:lineRule="exact"/>
        <w:rPr>
          <w:rFonts w:ascii="Courier New" w:cs="Courier New" w:eastAsia="Courier New" w:hAnsi="Courier New"/>
          <w:sz w:val="18"/>
          <w:szCs w:val="18"/>
          <w:color w:val="auto"/>
        </w:rPr>
      </w:pPr>
    </w:p>
    <w:p>
      <w:pPr>
        <w:ind w:right="2099" w:firstLine="2010"/>
        <w:spacing w:after="0" w:line="290" w:lineRule="auto"/>
        <w:tabs>
          <w:tab w:leader="none" w:pos="242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Award may be executed in one or more counterparts all of which taken together will constitute one and the same instrument.</w:t>
      </w:r>
    </w:p>
    <w:p>
      <w:pPr>
        <w:spacing w:after="0" w:line="169" w:lineRule="exact"/>
        <w:rPr>
          <w:rFonts w:ascii="Courier New" w:cs="Courier New" w:eastAsia="Courier New" w:hAnsi="Courier New"/>
          <w:sz w:val="16"/>
          <w:szCs w:val="16"/>
          <w:color w:val="auto"/>
        </w:rPr>
      </w:pPr>
    </w:p>
    <w:p>
      <w:pPr>
        <w:ind w:right="2099" w:firstLine="2010"/>
        <w:spacing w:after="0" w:line="236" w:lineRule="auto"/>
        <w:tabs>
          <w:tab w:leader="none" w:pos="242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validity, performance, construction and effect of this Award shall be governed by the laws of the Commonwealth of Pennsylvania, without giving effect to principles of conflicts of law.</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42" w:right="1440" w:bottom="1440" w:gutter="0" w:footer="0" w:header="0"/>
        </w:sectPr>
      </w:pPr>
    </w:p>
    <w:bookmarkStart w:id="31" w:name="page32"/>
    <w:bookmarkEnd w:id="31"/>
    <w:p>
      <w:pPr>
        <w:ind w:right="1999" w:firstLine="2010"/>
        <w:spacing w:after="0" w:line="270" w:lineRule="auto"/>
        <w:tabs>
          <w:tab w:leader="none" w:pos="242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Optionee hereby irrevocably and unconditionally consents to submit to the exclusive jurisdiction of the courts of the Commonwealth of Pennsylvania and of the United States of America, in each case located in Philadelphia, Pennsylvania, for any actions, suits or proceedings arising out of or relating to this Award and the transactions contemplated hereby ("Litigation") and agrees not to commence any Litigation except in any such court, and further agrees that service of process, summons, notice or document by U.S. registered mail to his respective address shall be effective service of process for any Litigation brought against him in any such court. Each party hereby irrevocably and unconditionally waives any objection to the laying of venue of any Litigation in the courts of the Commonwealth of Pennsylvania or of the United States of America, in each case located in Philadelphia, Pennsylvania, and hereby further irrevocably and unconditionally waives and agrees not to plead or claim in any such court that any Litigation brought in any such court has been brought in an inconvenient forum.</w:t>
      </w:r>
    </w:p>
    <w:p>
      <w:pPr>
        <w:spacing w:after="0" w:line="387" w:lineRule="exact"/>
        <w:rPr>
          <w:sz w:val="20"/>
          <w:szCs w:val="20"/>
          <w:color w:val="auto"/>
        </w:rPr>
      </w:pPr>
    </w:p>
    <w:p>
      <w:pPr>
        <w:ind w:right="1779" w:firstLine="2010"/>
        <w:spacing w:after="0" w:line="237" w:lineRule="auto"/>
        <w:tabs>
          <w:tab w:leader="none" w:pos="242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of Taxes. Whenever the Sponsor proposes or is required to deliver or transfer Shares in connection with the exercise of the Option, the Sponsor shall have the right to (a) require the Optionee to remit to the Sponsor an amount sufficient to satisfy any federal, state and/or local withholding tax requirements prior to the delivery or transfer of any certificate or certificates for such Shares or (b) take whatever action it deems necessary to protect its interests with respect to tax liabilities.</w:t>
      </w:r>
    </w:p>
    <w:p>
      <w:pPr>
        <w:spacing w:after="0" w:line="211"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IN WITNESS WHEREOF, the Sponsor has granted this Award on the day and year first above written.</w:t>
      </w:r>
    </w:p>
    <w:p>
      <w:pPr>
        <w:spacing w:after="0" w:line="203"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Lawrence S. Smith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Lawrence S. Smith</w:t>
      </w:r>
    </w:p>
    <w:p>
      <w:pPr>
        <w:spacing w:after="0" w:line="200" w:lineRule="exact"/>
        <w:rPr>
          <w:sz w:val="20"/>
          <w:szCs w:val="20"/>
          <w:color w:val="auto"/>
        </w:rPr>
      </w:pPr>
    </w:p>
    <w:p>
      <w:pPr>
        <w:sectPr>
          <w:pgSz w:w="11900" w:h="16838" w:orient="portrait"/>
          <w:cols w:equalWidth="0" w:num="2">
            <w:col w:w="4340" w:space="720"/>
            <w:col w:w="5159"/>
          </w:cols>
          <w:pgMar w:left="240" w:top="925" w:right="1440" w:bottom="1440" w:gutter="0" w:footer="0" w:header="0"/>
          <w:type w:val="continuous"/>
        </w:sect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Arthur R. Block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R. Block</w:t>
      </w:r>
    </w:p>
    <w:p>
      <w:pPr>
        <w:spacing w:after="0" w:line="200" w:lineRule="exact"/>
        <w:rPr>
          <w:sz w:val="20"/>
          <w:szCs w:val="20"/>
          <w:color w:val="auto"/>
        </w:rPr>
      </w:pPr>
    </w:p>
    <w:p>
      <w:pPr>
        <w:sectPr>
          <w:pgSz w:w="11900" w:h="16838" w:orient="portrait"/>
          <w:cols w:equalWidth="0" w:num="2">
            <w:col w:w="4740" w:space="320"/>
            <w:col w:w="5159"/>
          </w:cols>
          <w:pgMar w:left="240" w:top="925" w:right="1440" w:bottom="1440" w:gutter="0" w:footer="0" w:header="0"/>
          <w:type w:val="continuous"/>
        </w:sect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925" w:right="1440" w:bottom="1440" w:gutter="0" w:footer="0" w:header="0"/>
          <w:type w:val="continuous"/>
        </w:sectPr>
      </w:pPr>
    </w:p>
    <w:bookmarkStart w:id="32" w:name="page33"/>
    <w:bookmarkEnd w:id="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ind w:left="328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NON-QUALIFIED OPTION</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This is a Non-Qualified Stock Option Award dated [Date] ("Award") from Comcast Corporation (the "Sponsor") to [Name] (the "Optionee").</w:t>
      </w:r>
    </w:p>
    <w:p>
      <w:pPr>
        <w:spacing w:after="0" w:line="203" w:lineRule="exact"/>
        <w:rPr>
          <w:sz w:val="20"/>
          <w:szCs w:val="20"/>
          <w:color w:val="auto"/>
        </w:rPr>
      </w:pPr>
    </w:p>
    <w:p>
      <w:pPr>
        <w:ind w:left="1280" w:hanging="324"/>
        <w:spacing w:after="0"/>
        <w:tabs>
          <w:tab w:leader="none" w:pos="128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herein:</w:t>
      </w:r>
    </w:p>
    <w:p>
      <w:pPr>
        <w:spacing w:after="0" w:line="206" w:lineRule="exact"/>
        <w:rPr>
          <w:rFonts w:ascii="Courier New" w:cs="Courier New" w:eastAsia="Courier New" w:hAnsi="Courier New"/>
          <w:sz w:val="18"/>
          <w:szCs w:val="18"/>
          <w:color w:val="auto"/>
        </w:rPr>
      </w:pPr>
    </w:p>
    <w:p>
      <w:pPr>
        <w:ind w:right="1779" w:firstLine="2010"/>
        <w:spacing w:after="0" w:line="237" w:lineRule="auto"/>
        <w:tabs>
          <w:tab w:leader="none" w:pos="2423" w:val="left"/>
        </w:tabs>
        <w:numPr>
          <w:ilvl w:val="2"/>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212" w:lineRule="exact"/>
        <w:rPr>
          <w:rFonts w:ascii="Courier New" w:cs="Courier New" w:eastAsia="Courier New" w:hAnsi="Courier New"/>
          <w:sz w:val="18"/>
          <w:szCs w:val="18"/>
          <w:color w:val="auto"/>
        </w:rPr>
      </w:pPr>
    </w:p>
    <w:p>
      <w:pPr>
        <w:ind w:right="2099" w:firstLine="2010"/>
        <w:spacing w:after="0" w:line="236" w:lineRule="auto"/>
        <w:tabs>
          <w:tab w:leader="none" w:pos="2423" w:val="left"/>
        </w:tabs>
        <w:numPr>
          <w:ilvl w:val="2"/>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Transaction" means the acquisition of Comcast Cable Communications Holdings, Inc. (formerly known as AT&amp;T Broadband Corp.) by the Company.</w:t>
      </w:r>
    </w:p>
    <w:p>
      <w:pPr>
        <w:spacing w:after="0" w:line="203" w:lineRule="exact"/>
        <w:rPr>
          <w:rFonts w:ascii="Courier New" w:cs="Courier New" w:eastAsia="Courier New" w:hAnsi="Courier New"/>
          <w:sz w:val="18"/>
          <w:szCs w:val="18"/>
          <w:color w:val="auto"/>
        </w:rPr>
      </w:pPr>
    </w:p>
    <w:p>
      <w:pPr>
        <w:ind w:left="2440" w:hanging="430"/>
        <w:spacing w:after="0"/>
        <w:tabs>
          <w:tab w:leader="none" w:pos="2440" w:val="left"/>
        </w:tabs>
        <w:numPr>
          <w:ilvl w:val="2"/>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Sponsor.</w:t>
      </w:r>
    </w:p>
    <w:p>
      <w:pPr>
        <w:spacing w:after="0" w:line="206" w:lineRule="exact"/>
        <w:rPr>
          <w:rFonts w:ascii="Courier New" w:cs="Courier New" w:eastAsia="Courier New" w:hAnsi="Courier New"/>
          <w:sz w:val="18"/>
          <w:szCs w:val="18"/>
          <w:color w:val="auto"/>
        </w:rPr>
      </w:pPr>
    </w:p>
    <w:p>
      <w:pPr>
        <w:ind w:right="1879" w:firstLine="2010"/>
        <w:spacing w:after="0" w:line="268" w:lineRule="auto"/>
        <w:tabs>
          <w:tab w:leader="none" w:pos="2423" w:val="left"/>
        </w:tabs>
        <w:numPr>
          <w:ilvl w:val="2"/>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 (i) fraud; (ii) misappropriation; (iii) embezzlement; (iv) gross negligence in the performance of duties; (v) self-dealing; (vi) 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provided that as to items (ix),</w:t>
      </w:r>
    </w:p>
    <w:p>
      <w:pPr>
        <w:spacing w:after="0" w:line="1" w:lineRule="exact"/>
        <w:rPr>
          <w:rFonts w:ascii="Courier New" w:cs="Courier New" w:eastAsia="Courier New" w:hAnsi="Courier New"/>
          <w:sz w:val="16"/>
          <w:szCs w:val="16"/>
          <w:color w:val="auto"/>
        </w:rPr>
      </w:pPr>
    </w:p>
    <w:p>
      <w:pPr>
        <w:ind w:right="1779" w:firstLine="8"/>
        <w:spacing w:after="0" w:line="235" w:lineRule="auto"/>
        <w:tabs>
          <w:tab w:leader="none" w:pos="421"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(xi), if capable of being cured, such event or condition remains uncured following 30 days written notice thereof.</w:t>
      </w:r>
    </w:p>
    <w:p>
      <w:pPr>
        <w:spacing w:after="0" w:line="208" w:lineRule="exact"/>
        <w:rPr>
          <w:rFonts w:ascii="Courier New" w:cs="Courier New" w:eastAsia="Courier New" w:hAnsi="Courier New"/>
          <w:sz w:val="18"/>
          <w:szCs w:val="18"/>
          <w:color w:val="auto"/>
        </w:rPr>
      </w:pPr>
    </w:p>
    <w:p>
      <w:pPr>
        <w:ind w:right="1779" w:firstLine="2010"/>
        <w:spacing w:after="0" w:line="237" w:lineRule="auto"/>
        <w:tabs>
          <w:tab w:leader="none" w:pos="2423" w:val="left"/>
        </w:tabs>
        <w:numPr>
          <w:ilvl w:val="2"/>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of Control" means any transaction or series of transactions as a result of which any Person who was a Third Party immediately before such 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212" w:lineRule="exact"/>
        <w:rPr>
          <w:rFonts w:ascii="Courier New" w:cs="Courier New" w:eastAsia="Courier New" w:hAnsi="Courier New"/>
          <w:sz w:val="18"/>
          <w:szCs w:val="18"/>
          <w:color w:val="auto"/>
        </w:rPr>
      </w:pPr>
    </w:p>
    <w:p>
      <w:pPr>
        <w:ind w:right="1999" w:firstLine="2010"/>
        <w:spacing w:after="0" w:line="236" w:lineRule="auto"/>
        <w:tabs>
          <w:tab w:leader="none" w:pos="2423" w:val="left"/>
        </w:tabs>
        <w:numPr>
          <w:ilvl w:val="2"/>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means the closing of the acquisition and sale of the Shares as described in, and subject to the provisions of, Paragraph 9 hereof.</w:t>
      </w:r>
    </w:p>
    <w:p>
      <w:pPr>
        <w:spacing w:after="0" w:line="203" w:lineRule="exact"/>
        <w:rPr>
          <w:rFonts w:ascii="Courier New" w:cs="Courier New" w:eastAsia="Courier New" w:hAnsi="Courier New"/>
          <w:sz w:val="18"/>
          <w:szCs w:val="18"/>
          <w:color w:val="auto"/>
        </w:rPr>
      </w:pPr>
    </w:p>
    <w:p>
      <w:pPr>
        <w:ind w:left="2440" w:hanging="430"/>
        <w:spacing w:after="0"/>
        <w:tabs>
          <w:tab w:leader="none" w:pos="2440" w:val="left"/>
        </w:tabs>
        <w:numPr>
          <w:ilvl w:val="2"/>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Date" means the date of the Closing.</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87" w:lineRule="exact"/>
        <w:rPr>
          <w:rFonts w:ascii="Courier New" w:cs="Courier New" w:eastAsia="Courier New" w:hAnsi="Courier New"/>
          <w:sz w:val="18"/>
          <w:szCs w:val="18"/>
          <w:color w:val="auto"/>
        </w:rPr>
      </w:pPr>
    </w:p>
    <w:p>
      <w:pPr>
        <w:ind w:left="2440" w:hanging="430"/>
        <w:spacing w:after="0"/>
        <w:tabs>
          <w:tab w:leader="none" w:pos="2440" w:val="left"/>
        </w:tabs>
        <w:numPr>
          <w:ilvl w:val="2"/>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w:t>
      </w:r>
    </w:p>
    <w:p>
      <w:pPr>
        <w:spacing w:after="0" w:line="207" w:lineRule="exact"/>
        <w:rPr>
          <w:rFonts w:ascii="Courier New" w:cs="Courier New" w:eastAsia="Courier New" w:hAnsi="Courier New"/>
          <w:sz w:val="18"/>
          <w:szCs w:val="18"/>
          <w:color w:val="auto"/>
        </w:rPr>
      </w:pPr>
    </w:p>
    <w:p>
      <w:pPr>
        <w:ind w:right="1779" w:firstLine="2010"/>
        <w:spacing w:after="0" w:line="237" w:lineRule="auto"/>
        <w:tabs>
          <w:tab w:leader="none" w:pos="2423" w:val="left"/>
        </w:tabs>
        <w:numPr>
          <w:ilvl w:val="2"/>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Plan" means any restricted stock, stock bonus, stock option or other compensation plan, program or arrangement established or maintained by the Sponsor or an Affiliate of the Sponsor, including but not limited to this Plan, the Comcast Corporation 2002 Restricted Stock Plan and the Comcast Corporation 1987 Stock Option Plan and the AT&amp;T Broadband Corp. Adjustment Plan..</w:t>
      </w:r>
    </w:p>
    <w:p>
      <w:pPr>
        <w:spacing w:after="0" w:line="204" w:lineRule="exact"/>
        <w:rPr>
          <w:rFonts w:ascii="Courier New" w:cs="Courier New" w:eastAsia="Courier New" w:hAnsi="Courier New"/>
          <w:sz w:val="18"/>
          <w:szCs w:val="18"/>
          <w:color w:val="auto"/>
        </w:rPr>
      </w:pPr>
    </w:p>
    <w:p>
      <w:pPr>
        <w:ind w:left="2440" w:hanging="430"/>
        <w:spacing w:after="0"/>
        <w:tabs>
          <w:tab w:leader="none" w:pos="2440" w:val="left"/>
        </w:tabs>
        <w:numPr>
          <w:ilvl w:val="2"/>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those members of the Board who have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been designated pursuant to the Plan to act in that capacity..</w:t>
      </w:r>
    </w:p>
    <w:p>
      <w:pPr>
        <w:spacing w:after="0" w:line="207" w:lineRule="exact"/>
        <w:rPr>
          <w:rFonts w:ascii="Courier New" w:cs="Courier New" w:eastAsia="Courier New" w:hAnsi="Courier New"/>
          <w:sz w:val="18"/>
          <w:szCs w:val="18"/>
          <w:color w:val="auto"/>
        </w:rPr>
      </w:pPr>
    </w:p>
    <w:p>
      <w:pPr>
        <w:ind w:right="1879" w:firstLine="2010"/>
        <w:spacing w:after="0" w:line="237" w:lineRule="auto"/>
        <w:tabs>
          <w:tab w:leader="none" w:pos="2423" w:val="left"/>
        </w:tabs>
        <w:numPr>
          <w:ilvl w:val="2"/>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Sponsor's Class A Common Stock, par value, $.01 per share. For purposes of Paragraph 1(t) and Paragraph 5, the term "Common Stock" also means the Sponsor's Class A Special Common Stock, par value, $.01 per share.</w:t>
      </w:r>
    </w:p>
    <w:p>
      <w:pPr>
        <w:spacing w:after="0" w:line="207" w:lineRule="exact"/>
        <w:rPr>
          <w:rFonts w:ascii="Courier New" w:cs="Courier New" w:eastAsia="Courier New" w:hAnsi="Courier New"/>
          <w:sz w:val="18"/>
          <w:szCs w:val="18"/>
          <w:color w:val="auto"/>
        </w:rPr>
      </w:pPr>
    </w:p>
    <w:p>
      <w:pPr>
        <w:ind w:left="2440" w:hanging="430"/>
        <w:spacing w:after="0"/>
        <w:tabs>
          <w:tab w:leader="none" w:pos="2440" w:val="left"/>
        </w:tabs>
        <w:numPr>
          <w:ilvl w:val="2"/>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the Sponsor and each of its Subsidiaries.</w:t>
      </w:r>
    </w:p>
    <w:p>
      <w:pPr>
        <w:spacing w:after="0" w:line="223" w:lineRule="exact"/>
        <w:rPr>
          <w:rFonts w:ascii="Courier New" w:cs="Courier New" w:eastAsia="Courier New" w:hAnsi="Courier New"/>
          <w:sz w:val="16"/>
          <w:szCs w:val="16"/>
          <w:color w:val="auto"/>
        </w:rPr>
      </w:pPr>
    </w:p>
    <w:p>
      <w:pPr>
        <w:ind w:right="2099" w:firstLine="2010"/>
        <w:spacing w:after="0" w:line="279" w:lineRule="auto"/>
        <w:tabs>
          <w:tab w:leader="none" w:pos="2423" w:val="left"/>
        </w:tabs>
        <w:numPr>
          <w:ilvl w:val="2"/>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Exercise" means the date on which the notice required by Paragraph 6 hereof is hand-delivered, placed in the United States mail postage prepaid, or delivered to a telegraph or telex facility.</w:t>
      </w:r>
    </w:p>
    <w:p>
      <w:pPr>
        <w:spacing w:after="0" w:line="178" w:lineRule="exact"/>
        <w:rPr>
          <w:rFonts w:ascii="Courier New" w:cs="Courier New" w:eastAsia="Courier New" w:hAnsi="Courier New"/>
          <w:sz w:val="16"/>
          <w:szCs w:val="16"/>
          <w:color w:val="auto"/>
        </w:rPr>
      </w:pPr>
    </w:p>
    <w:p>
      <w:pPr>
        <w:ind w:right="1879" w:firstLine="2010"/>
        <w:spacing w:after="0" w:line="235" w:lineRule="auto"/>
        <w:tabs>
          <w:tab w:leader="none" w:pos="2423" w:val="left"/>
        </w:tabs>
        <w:numPr>
          <w:ilvl w:val="2"/>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means the date hereof, the date on which the Sponsor awarded the Option.</w:t>
      </w:r>
    </w:p>
    <w:p>
      <w:pPr>
        <w:sectPr>
          <w:pgSz w:w="11900" w:h="16838" w:orient="portrait"/>
          <w:cols w:equalWidth="0" w:num="1">
            <w:col w:w="10219"/>
          </w:cols>
          <w:pgMar w:left="240" w:top="136" w:right="1440" w:bottom="0" w:gutter="0" w:footer="0" w:header="0"/>
        </w:sectPr>
      </w:pPr>
    </w:p>
    <w:bookmarkStart w:id="34" w:name="page35"/>
    <w:bookmarkEnd w:id="34"/>
    <w:p>
      <w:pPr>
        <w:ind w:right="2199" w:firstLine="2010"/>
        <w:spacing w:after="0" w:line="235" w:lineRule="auto"/>
        <w:tabs>
          <w:tab w:leader="none" w:pos="242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a disability within the meaning of section 22(e)(3) of the Code.</w:t>
      </w:r>
    </w:p>
    <w:p>
      <w:pPr>
        <w:spacing w:after="0" w:line="202" w:lineRule="exact"/>
        <w:rPr>
          <w:rFonts w:ascii="Courier New" w:cs="Courier New" w:eastAsia="Courier New" w:hAnsi="Courier New"/>
          <w:sz w:val="18"/>
          <w:szCs w:val="18"/>
          <w:color w:val="auto"/>
        </w:rPr>
      </w:pPr>
    </w:p>
    <w:p>
      <w:pPr>
        <w:ind w:left="2440" w:hanging="430"/>
        <w:spacing w:after="0"/>
        <w:tabs>
          <w:tab w:leader="none" w:pos="24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Date" means the earliest of the following:</w:t>
      </w:r>
    </w:p>
    <w:p>
      <w:pPr>
        <w:spacing w:after="0" w:line="207" w:lineRule="exact"/>
        <w:rPr>
          <w:sz w:val="20"/>
          <w:szCs w:val="20"/>
          <w:color w:val="auto"/>
        </w:rPr>
      </w:pPr>
    </w:p>
    <w:p>
      <w:pPr>
        <w:ind w:right="2199" w:firstLine="2010"/>
        <w:spacing w:after="0" w:line="236" w:lineRule="auto"/>
        <w:tabs>
          <w:tab w:leader="none" w:pos="2423"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Optionee's Termination of Employment with the Company is due to any reason other than death, Disability or Cause, the date three months following such Termination of Employment;</w:t>
      </w:r>
    </w:p>
    <w:p>
      <w:pPr>
        <w:spacing w:after="0" w:line="208" w:lineRule="exact"/>
        <w:rPr>
          <w:rFonts w:ascii="Courier New" w:cs="Courier New" w:eastAsia="Courier New" w:hAnsi="Courier New"/>
          <w:sz w:val="18"/>
          <w:szCs w:val="18"/>
          <w:color w:val="auto"/>
        </w:rPr>
      </w:pPr>
    </w:p>
    <w:p>
      <w:pPr>
        <w:ind w:right="2319" w:firstLine="2010"/>
        <w:spacing w:after="0" w:line="235" w:lineRule="auto"/>
        <w:tabs>
          <w:tab w:leader="none" w:pos="2423"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Optionee's Termination of Employment with the Company is for Cause, the date of such Termination of Employment; or</w:t>
      </w:r>
    </w:p>
    <w:p>
      <w:pPr>
        <w:spacing w:after="0" w:line="208" w:lineRule="exact"/>
        <w:rPr>
          <w:rFonts w:ascii="Courier New" w:cs="Courier New" w:eastAsia="Courier New" w:hAnsi="Courier New"/>
          <w:sz w:val="18"/>
          <w:szCs w:val="18"/>
          <w:color w:val="auto"/>
        </w:rPr>
      </w:pPr>
    </w:p>
    <w:p>
      <w:pPr>
        <w:ind w:left="2440" w:hanging="430"/>
        <w:spacing w:after="0"/>
        <w:tabs>
          <w:tab w:leader="none" w:pos="244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day before the tenth anniversary of the Date of Grant</w:t>
      </w:r>
    </w:p>
    <w:p>
      <w:pPr>
        <w:spacing w:after="0" w:line="224" w:lineRule="exact"/>
        <w:rPr>
          <w:sz w:val="20"/>
          <w:szCs w:val="20"/>
          <w:color w:val="auto"/>
        </w:rPr>
      </w:pPr>
    </w:p>
    <w:p>
      <w:pPr>
        <w:ind w:right="2319" w:firstLine="2010"/>
        <w:spacing w:after="0" w:line="235" w:lineRule="auto"/>
        <w:tabs>
          <w:tab w:leader="none" w:pos="2423"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the Fair Market Value of a Share, as determined pursuant to the Plan.</w:t>
      </w:r>
    </w:p>
    <w:p>
      <w:pPr>
        <w:spacing w:after="0" w:line="202" w:lineRule="exact"/>
        <w:rPr>
          <w:rFonts w:ascii="Courier New" w:cs="Courier New" w:eastAsia="Courier New" w:hAnsi="Courier New"/>
          <w:sz w:val="18"/>
          <w:szCs w:val="18"/>
          <w:color w:val="auto"/>
        </w:rPr>
      </w:pPr>
    </w:p>
    <w:p>
      <w:pPr>
        <w:ind w:left="2440" w:hanging="430"/>
        <w:spacing w:after="0"/>
        <w:tabs>
          <w:tab w:leader="none" w:pos="24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means the option hereby granted.</w:t>
      </w:r>
    </w:p>
    <w:p>
      <w:pPr>
        <w:spacing w:after="0" w:line="201" w:lineRule="exact"/>
        <w:rPr>
          <w:rFonts w:ascii="Courier New" w:cs="Courier New" w:eastAsia="Courier New" w:hAnsi="Courier New"/>
          <w:sz w:val="18"/>
          <w:szCs w:val="18"/>
          <w:color w:val="auto"/>
        </w:rPr>
      </w:pPr>
    </w:p>
    <w:p>
      <w:pPr>
        <w:ind w:left="2440" w:hanging="430"/>
        <w:spacing w:after="0"/>
        <w:tabs>
          <w:tab w:leader="none" w:pos="24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Price" means $xx.xx per Share, as calculated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the Plan.</w:t>
      </w:r>
    </w:p>
    <w:p>
      <w:pPr>
        <w:spacing w:after="0" w:line="201" w:lineRule="exact"/>
        <w:rPr>
          <w:rFonts w:ascii="Courier New" w:cs="Courier New" w:eastAsia="Courier New" w:hAnsi="Courier New"/>
          <w:sz w:val="18"/>
          <w:szCs w:val="18"/>
          <w:color w:val="auto"/>
        </w:rPr>
      </w:pPr>
    </w:p>
    <w:p>
      <w:pPr>
        <w:ind w:left="2440" w:hanging="430"/>
        <w:spacing w:after="0"/>
        <w:tabs>
          <w:tab w:leader="none" w:pos="24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Available Shares" means, as of any date, the sum</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44" w:right="1440" w:bottom="1440" w:gutter="0" w:footer="0" w:header="0"/>
        </w:sectPr>
      </w:pPr>
    </w:p>
    <w:bookmarkStart w:id="35" w:name="page36"/>
    <w:bookmarkEnd w:id="35"/>
    <w:p>
      <w:pPr>
        <w:ind w:right="1779" w:firstLine="2010"/>
        <w:spacing w:after="0" w:line="279" w:lineRule="auto"/>
        <w:tabs>
          <w:tab w:leader="none" w:pos="242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owned by an Optionee that were not acquired by such Optionee pursuant to a Comcast Plan or otherwise in connection with the performance of services to the Sponsor or an Affiliate; plus</w:t>
      </w:r>
    </w:p>
    <w:p>
      <w:pPr>
        <w:spacing w:after="0" w:line="172" w:lineRule="exact"/>
        <w:rPr>
          <w:rFonts w:ascii="Courier New" w:cs="Courier New" w:eastAsia="Courier New" w:hAnsi="Courier New"/>
          <w:sz w:val="16"/>
          <w:szCs w:val="16"/>
          <w:color w:val="auto"/>
        </w:rPr>
      </w:pPr>
    </w:p>
    <w:p>
      <w:pPr>
        <w:ind w:left="2440" w:hanging="430"/>
        <w:spacing w:after="0"/>
        <w:tabs>
          <w:tab w:leader="none" w:pos="24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excess, if any of:</w:t>
      </w:r>
    </w:p>
    <w:p>
      <w:pPr>
        <w:spacing w:after="0" w:line="207" w:lineRule="exact"/>
        <w:rPr>
          <w:sz w:val="20"/>
          <w:szCs w:val="20"/>
          <w:color w:val="auto"/>
        </w:rPr>
      </w:pPr>
    </w:p>
    <w:p>
      <w:pPr>
        <w:ind w:right="2199" w:firstLine="2010"/>
        <w:spacing w:after="0" w:line="235" w:lineRule="auto"/>
        <w:tabs>
          <w:tab w:leader="none" w:pos="2423"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number of Shares owned by an Optionee other than the Shares described in Paragraph 1(t)(1); over</w:t>
      </w:r>
    </w:p>
    <w:p>
      <w:pPr>
        <w:spacing w:after="0" w:line="202" w:lineRule="exact"/>
        <w:rPr>
          <w:rFonts w:ascii="Courier New" w:cs="Courier New" w:eastAsia="Courier New" w:hAnsi="Courier New"/>
          <w:sz w:val="18"/>
          <w:szCs w:val="18"/>
          <w:color w:val="auto"/>
        </w:rPr>
      </w:pPr>
    </w:p>
    <w:p>
      <w:pPr>
        <w:ind w:left="2440" w:hanging="430"/>
        <w:spacing w:after="0"/>
        <w:tabs>
          <w:tab w:leader="none" w:pos="24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w:t>
      </w:r>
    </w:p>
    <w:p>
      <w:pPr>
        <w:spacing w:after="0" w:line="207" w:lineRule="exact"/>
        <w:rPr>
          <w:sz w:val="20"/>
          <w:szCs w:val="20"/>
          <w:color w:val="auto"/>
        </w:rPr>
      </w:pPr>
    </w:p>
    <w:p>
      <w:pPr>
        <w:ind w:left="2440" w:hanging="430"/>
        <w:spacing w:after="0"/>
        <w:tabs>
          <w:tab w:leader="none" w:pos="244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Shares owned by such Optionee for less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than six months; plus</w:t>
      </w:r>
    </w:p>
    <w:p>
      <w:pPr>
        <w:spacing w:after="0" w:line="207" w:lineRule="exact"/>
        <w:rPr>
          <w:rFonts w:ascii="Courier New" w:cs="Courier New" w:eastAsia="Courier New" w:hAnsi="Courier New"/>
          <w:sz w:val="16"/>
          <w:szCs w:val="16"/>
          <w:color w:val="auto"/>
        </w:rPr>
      </w:pPr>
    </w:p>
    <w:p>
      <w:pPr>
        <w:ind w:right="1779" w:firstLine="2010"/>
        <w:spacing w:after="0" w:line="237" w:lineRule="auto"/>
        <w:tabs>
          <w:tab w:leader="none" w:pos="2528"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such Shares owned by such Optionee that has, within the preceding six months, been the subject of a withholding certification pursuant to Paragraph 15(b) of the Plan or any similar withholding certification under any other Comcast Plan; plus</w:t>
      </w:r>
    </w:p>
    <w:p>
      <w:pPr>
        <w:spacing w:after="0" w:line="207" w:lineRule="exact"/>
        <w:rPr>
          <w:rFonts w:ascii="Courier New" w:cs="Courier New" w:eastAsia="Courier New" w:hAnsi="Courier New"/>
          <w:sz w:val="18"/>
          <w:szCs w:val="18"/>
          <w:color w:val="auto"/>
        </w:rPr>
      </w:pPr>
    </w:p>
    <w:p>
      <w:pPr>
        <w:ind w:right="1879" w:firstLine="2010"/>
        <w:spacing w:after="0" w:line="237" w:lineRule="auto"/>
        <w:tabs>
          <w:tab w:leader="none" w:pos="2634"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such Shares owned by such Optionee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211" w:lineRule="exact"/>
        <w:rPr>
          <w:rFonts w:ascii="Courier New" w:cs="Courier New" w:eastAsia="Courier New" w:hAnsi="Courier New"/>
          <w:sz w:val="18"/>
          <w:szCs w:val="18"/>
          <w:color w:val="auto"/>
        </w:rPr>
      </w:pPr>
    </w:p>
    <w:p>
      <w:pPr>
        <w:ind w:right="1779" w:firstLine="2010"/>
        <w:spacing w:after="0" w:line="237" w:lineRule="auto"/>
        <w:tabs>
          <w:tab w:leader="none" w:pos="2528"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such Shares owned by such Optionee as to which evidence of ownership has, within the preceding six months, been provided to the Company in connection with the crediting of "Deferred Stock Units" to such Optionee's Account under the Comcast Corporation 2002 Deferred Stock Option Plan (as in effect from time to time).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purposes of this Paragraph 1(t), a Share that is subject to a deferral election pursuant to another Comcast Plan shall not be treated as owned by an Optionee until all conditions to the delivery of such Share have lapsed. For purposes of determining the number of Other Available Shares, the term "Shares" shall also include the securities held by a Participant immediately before the consummation of the AT&amp;T Broadband Transaction that became Common Stock as a result of the AT&amp;T Broadband Transaction.</w:t>
      </w:r>
    </w:p>
    <w:p>
      <w:pPr>
        <w:spacing w:after="0" w:line="211" w:lineRule="exact"/>
        <w:rPr>
          <w:sz w:val="20"/>
          <w:szCs w:val="20"/>
          <w:color w:val="auto"/>
        </w:rPr>
      </w:pPr>
    </w:p>
    <w:p>
      <w:pPr>
        <w:ind w:right="2519" w:firstLine="2010"/>
        <w:spacing w:after="0" w:line="290" w:lineRule="auto"/>
        <w:tabs>
          <w:tab w:leader="none" w:pos="2423"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 partnership, an association, a trust or any other entity or organization.</w:t>
      </w:r>
    </w:p>
    <w:p>
      <w:pPr>
        <w:spacing w:after="0" w:line="169" w:lineRule="exact"/>
        <w:rPr>
          <w:rFonts w:ascii="Courier New" w:cs="Courier New" w:eastAsia="Courier New" w:hAnsi="Courier New"/>
          <w:sz w:val="16"/>
          <w:szCs w:val="16"/>
          <w:color w:val="auto"/>
        </w:rPr>
      </w:pPr>
    </w:p>
    <w:p>
      <w:pPr>
        <w:ind w:right="2099" w:firstLine="2010"/>
        <w:spacing w:after="0" w:line="235" w:lineRule="auto"/>
        <w:tabs>
          <w:tab w:leader="none" w:pos="2423"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the Comcast Corporation 2002 Stock Option Plan, incorporated herein by reference.</w:t>
      </w:r>
    </w:p>
    <w:p>
      <w:pPr>
        <w:spacing w:after="0" w:line="208" w:lineRule="exact"/>
        <w:rPr>
          <w:rFonts w:ascii="Courier New" w:cs="Courier New" w:eastAsia="Courier New" w:hAnsi="Courier New"/>
          <w:sz w:val="18"/>
          <w:szCs w:val="18"/>
          <w:color w:val="auto"/>
        </w:rPr>
      </w:pPr>
    </w:p>
    <w:p>
      <w:pPr>
        <w:ind w:right="1879" w:firstLine="2010"/>
        <w:spacing w:after="0" w:line="235" w:lineRule="auto"/>
        <w:tabs>
          <w:tab w:leader="none" w:pos="2423"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means the [# of shares] shares of Common Stock, which are the subject of the Option hereby granted.</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36" w:name="page37"/>
    <w:bookmarkEnd w:id="36"/>
    <w:p>
      <w:pPr>
        <w:ind w:right="1879" w:firstLine="2010"/>
        <w:spacing w:after="0" w:line="275" w:lineRule="auto"/>
        <w:tabs>
          <w:tab w:leader="none" w:pos="2423"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"Sponsor"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182" w:lineRule="exact"/>
        <w:rPr>
          <w:rFonts w:ascii="Courier New" w:cs="Courier New" w:eastAsia="Courier New" w:hAnsi="Courier New"/>
          <w:sz w:val="16"/>
          <w:szCs w:val="16"/>
          <w:color w:val="auto"/>
        </w:rPr>
      </w:pPr>
    </w:p>
    <w:p>
      <w:pPr>
        <w:ind w:right="1779" w:firstLine="2010"/>
        <w:spacing w:after="0" w:line="236" w:lineRule="auto"/>
        <w:tabs>
          <w:tab w:leader="none" w:pos="2423"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means any business entity that, at the time in question, is a subsidiary of the Sponsor within the meaning of section 424(f) of the Code.</w:t>
      </w:r>
    </w:p>
    <w:p>
      <w:pPr>
        <w:spacing w:after="0" w:line="208" w:lineRule="exact"/>
        <w:rPr>
          <w:rFonts w:ascii="Courier New" w:cs="Courier New" w:eastAsia="Courier New" w:hAnsi="Courier New"/>
          <w:sz w:val="18"/>
          <w:szCs w:val="18"/>
          <w:color w:val="auto"/>
        </w:rPr>
      </w:pPr>
    </w:p>
    <w:p>
      <w:pPr>
        <w:ind w:right="1779" w:firstLine="2010"/>
        <w:spacing w:after="0" w:line="237" w:lineRule="auto"/>
        <w:tabs>
          <w:tab w:leader="none" w:pos="2423"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 Percent Shareholder"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the Sponsor or a Subsidiary.</w:t>
      </w:r>
    </w:p>
    <w:p>
      <w:pPr>
        <w:spacing w:after="0" w:line="205" w:lineRule="exact"/>
        <w:rPr>
          <w:sz w:val="20"/>
          <w:szCs w:val="20"/>
          <w:color w:val="auto"/>
        </w:rPr>
      </w:pPr>
    </w:p>
    <w:p>
      <w:pPr>
        <w:ind w:left="2540" w:hanging="530"/>
        <w:spacing w:after="0"/>
        <w:tabs>
          <w:tab w:leader="none" w:pos="2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"Terminating Event" means any of the following events:</w:t>
      </w:r>
    </w:p>
    <w:p>
      <w:pPr>
        <w:spacing w:after="0" w:line="201" w:lineRule="exact"/>
        <w:rPr>
          <w:rFonts w:ascii="Courier New" w:cs="Courier New" w:eastAsia="Courier New" w:hAnsi="Courier New"/>
          <w:sz w:val="18"/>
          <w:szCs w:val="18"/>
          <w:color w:val="auto"/>
        </w:rPr>
      </w:pPr>
    </w:p>
    <w:p>
      <w:pPr>
        <w:ind w:left="20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 the liquidation of the Sponsor; or</w:t>
      </w:r>
    </w:p>
    <w:p>
      <w:pPr>
        <w:spacing w:after="0" w:line="201" w:lineRule="exact"/>
        <w:rPr>
          <w:rFonts w:ascii="Courier New" w:cs="Courier New" w:eastAsia="Courier New" w:hAnsi="Courier New"/>
          <w:sz w:val="18"/>
          <w:szCs w:val="18"/>
          <w:color w:val="auto"/>
        </w:rPr>
      </w:pPr>
    </w:p>
    <w:p>
      <w:pPr>
        <w:ind w:left="20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 a Change of Control.</w:t>
      </w:r>
    </w:p>
    <w:p>
      <w:pPr>
        <w:spacing w:after="0" w:line="206" w:lineRule="exact"/>
        <w:rPr>
          <w:rFonts w:ascii="Courier New" w:cs="Courier New" w:eastAsia="Courier New" w:hAnsi="Courier New"/>
          <w:sz w:val="18"/>
          <w:szCs w:val="18"/>
          <w:color w:val="auto"/>
        </w:rPr>
      </w:pPr>
    </w:p>
    <w:p>
      <w:pPr>
        <w:ind w:right="1779" w:firstLine="2010"/>
        <w:spacing w:after="0" w:line="238" w:lineRule="auto"/>
        <w:tabs>
          <w:tab w:leader="none" w:pos="252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means the Optionee's termination of employment. For purposes of the Plan and this Award, the Optionee's Termination of Employment occurs on the date the Optionee ceases to have a regular obligation to perform services for the Company, without regard to whether (i) the Optionee continues on the Company's payroll for regular, severance or other pay or (ii) the Optionee continues to participate in one or more health and welfare plans maintained by the Company on the same basis as active employees. Whether the Optionee ceases to have a regular obligation to perform services for the Company shall be determined by the Committee in its sole discretion. Notwithstanding the foregoing, if the Optionee is a party to an employment agreement or severance agreement with the Company which establishes the effective date of the Optionee's termination of employment for purposes of this Award, that date shall apply.</w:t>
      </w:r>
    </w:p>
    <w:p>
      <w:pPr>
        <w:spacing w:after="0" w:line="207" w:lineRule="exact"/>
        <w:rPr>
          <w:rFonts w:ascii="Courier New" w:cs="Courier New" w:eastAsia="Courier New" w:hAnsi="Courier New"/>
          <w:sz w:val="18"/>
          <w:szCs w:val="18"/>
          <w:color w:val="auto"/>
        </w:rPr>
      </w:pPr>
    </w:p>
    <w:p>
      <w:pPr>
        <w:jc w:val="both"/>
        <w:ind w:right="2199" w:firstLine="2010"/>
        <w:spacing w:after="0" w:line="279" w:lineRule="auto"/>
        <w:tabs>
          <w:tab w:leader="none" w:pos="2528"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other than a Company, together with such Person's Affiliates, provided that the term "Third Party" shall not include the Sponsor or an Affiliate of the Sponsor.</w:t>
      </w:r>
    </w:p>
    <w:p>
      <w:pPr>
        <w:spacing w:after="0" w:line="178" w:lineRule="exact"/>
        <w:rPr>
          <w:rFonts w:ascii="Courier New" w:cs="Courier New" w:eastAsia="Courier New" w:hAnsi="Courier New"/>
          <w:sz w:val="16"/>
          <w:szCs w:val="16"/>
          <w:color w:val="auto"/>
        </w:rPr>
      </w:pPr>
    </w:p>
    <w:p>
      <w:pPr>
        <w:ind w:left="2540" w:hanging="530"/>
        <w:spacing w:after="0"/>
        <w:tabs>
          <w:tab w:leader="none" w:pos="25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"1933 Act" means the Securities Act of 1933, as amended.</w:t>
      </w:r>
    </w:p>
    <w:p>
      <w:pPr>
        <w:spacing w:after="0" w:line="223" w:lineRule="exact"/>
        <w:rPr>
          <w:rFonts w:ascii="Courier New" w:cs="Courier New" w:eastAsia="Courier New" w:hAnsi="Courier New"/>
          <w:sz w:val="16"/>
          <w:szCs w:val="16"/>
          <w:color w:val="auto"/>
        </w:rPr>
      </w:pPr>
    </w:p>
    <w:p>
      <w:pPr>
        <w:ind w:left="2540" w:hanging="530"/>
        <w:spacing w:after="0"/>
        <w:tabs>
          <w:tab w:leader="none" w:pos="25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"1934 Act" means the Securities Exchange Act of 1934, as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amended.</w:t>
      </w:r>
    </w:p>
    <w:p>
      <w:pPr>
        <w:spacing w:after="0" w:line="207" w:lineRule="exact"/>
        <w:rPr>
          <w:sz w:val="20"/>
          <w:szCs w:val="20"/>
          <w:color w:val="auto"/>
        </w:rPr>
      </w:pPr>
    </w:p>
    <w:p>
      <w:pPr>
        <w:ind w:right="1999" w:firstLine="2010"/>
        <w:spacing w:after="0" w:line="236" w:lineRule="auto"/>
        <w:tabs>
          <w:tab w:leader="none" w:pos="231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 Subject to the terms and conditions set forth herein and in the Plan, the Sponsor hereby grants to the Optionee the Option to purchase any or all of the Shares.</w:t>
      </w:r>
    </w:p>
    <w:p>
      <w:pPr>
        <w:spacing w:after="0" w:line="203" w:lineRule="exact"/>
        <w:rPr>
          <w:rFonts w:ascii="Courier New" w:cs="Courier New" w:eastAsia="Courier New" w:hAnsi="Courier New"/>
          <w:sz w:val="18"/>
          <w:szCs w:val="18"/>
          <w:color w:val="auto"/>
        </w:rPr>
      </w:pPr>
    </w:p>
    <w:p>
      <w:pPr>
        <w:ind w:left="2320" w:hanging="310"/>
        <w:spacing w:after="0"/>
        <w:tabs>
          <w:tab w:leader="none" w:pos="23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of Exercise of Options.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37" w:name="page38"/>
    <w:bookmarkEnd w:id="37"/>
    <w:p>
      <w:pPr>
        <w:ind w:right="1779" w:firstLine="1896"/>
        <w:spacing w:after="0" w:line="279" w:lineRule="auto"/>
        <w:rPr>
          <w:sz w:val="20"/>
          <w:szCs w:val="20"/>
          <w:color w:val="auto"/>
        </w:rPr>
      </w:pPr>
      <w:r>
        <w:rPr>
          <w:rFonts w:ascii="Courier New" w:cs="Courier New" w:eastAsia="Courier New" w:hAnsi="Courier New"/>
          <w:sz w:val="16"/>
          <w:szCs w:val="16"/>
          <w:color w:val="auto"/>
        </w:rPr>
        <w:t>Except as provided in Paragraph 4, the Option may be exercised after such time or times as set forth below, and shall remain exercisable until the Expiration Date, when the right to exercise shall terminate absolutely:</w:t>
      </w:r>
    </w:p>
    <w:p>
      <w:pPr>
        <w:spacing w:after="0" w:line="178" w:lineRule="exact"/>
        <w:rPr>
          <w:sz w:val="20"/>
          <w:szCs w:val="20"/>
          <w:color w:val="auto"/>
        </w:rPr>
      </w:pPr>
    </w:p>
    <w:p>
      <w:pPr>
        <w:ind w:left="2860" w:right="1879" w:hanging="631"/>
        <w:spacing w:after="0" w:line="236" w:lineRule="auto"/>
        <w:rPr>
          <w:sz w:val="20"/>
          <w:szCs w:val="20"/>
          <w:color w:val="auto"/>
        </w:rPr>
      </w:pPr>
      <w:r>
        <w:rPr>
          <w:rFonts w:ascii="Courier New" w:cs="Courier New" w:eastAsia="Courier New" w:hAnsi="Courier New"/>
          <w:sz w:val="18"/>
          <w:szCs w:val="18"/>
          <w:color w:val="auto"/>
        </w:rPr>
        <w:t>[40%] of the Shares subject to the Option may be exercised following the second anniversary of the Date of Grant.</w:t>
      </w:r>
    </w:p>
    <w:p>
      <w:pPr>
        <w:spacing w:after="0" w:line="209" w:lineRule="exact"/>
        <w:rPr>
          <w:sz w:val="20"/>
          <w:szCs w:val="20"/>
          <w:color w:val="auto"/>
        </w:rPr>
      </w:pPr>
    </w:p>
    <w:p>
      <w:pPr>
        <w:ind w:left="2860" w:right="1779" w:hanging="631"/>
        <w:spacing w:after="0" w:line="290" w:lineRule="auto"/>
        <w:rPr>
          <w:sz w:val="20"/>
          <w:szCs w:val="20"/>
          <w:color w:val="auto"/>
        </w:rPr>
      </w:pPr>
      <w:r>
        <w:rPr>
          <w:rFonts w:ascii="Courier New" w:cs="Courier New" w:eastAsia="Courier New" w:hAnsi="Courier New"/>
          <w:sz w:val="16"/>
          <w:szCs w:val="16"/>
          <w:color w:val="auto"/>
        </w:rPr>
        <w:t>[20%] of the Shares subject to the Option may be exercised following the third anniversary of the Date of Grant.</w:t>
      </w:r>
    </w:p>
    <w:p>
      <w:pPr>
        <w:spacing w:after="0" w:line="170" w:lineRule="exact"/>
        <w:rPr>
          <w:sz w:val="20"/>
          <w:szCs w:val="20"/>
          <w:color w:val="auto"/>
        </w:rPr>
      </w:pPr>
    </w:p>
    <w:p>
      <w:pPr>
        <w:ind w:left="2860" w:right="1879" w:hanging="631"/>
        <w:spacing w:after="0" w:line="236" w:lineRule="auto"/>
        <w:rPr>
          <w:sz w:val="20"/>
          <w:szCs w:val="20"/>
          <w:color w:val="auto"/>
        </w:rPr>
      </w:pPr>
      <w:r>
        <w:rPr>
          <w:rFonts w:ascii="Courier New" w:cs="Courier New" w:eastAsia="Courier New" w:hAnsi="Courier New"/>
          <w:sz w:val="18"/>
          <w:szCs w:val="18"/>
          <w:color w:val="auto"/>
        </w:rPr>
        <w:t>[20%] of the Shares subject to the Option may be exercised following the fourth anniversary of the Date of Grant.</w:t>
      </w:r>
    </w:p>
    <w:p>
      <w:pPr>
        <w:spacing w:after="0" w:line="209" w:lineRule="exact"/>
        <w:rPr>
          <w:sz w:val="20"/>
          <w:szCs w:val="20"/>
          <w:color w:val="auto"/>
        </w:rPr>
      </w:pPr>
    </w:p>
    <w:p>
      <w:pPr>
        <w:ind w:left="2860" w:right="1779" w:hanging="631"/>
        <w:spacing w:after="0" w:line="290" w:lineRule="auto"/>
        <w:rPr>
          <w:sz w:val="20"/>
          <w:szCs w:val="20"/>
          <w:color w:val="auto"/>
        </w:rPr>
      </w:pPr>
      <w:r>
        <w:rPr>
          <w:rFonts w:ascii="Courier New" w:cs="Courier New" w:eastAsia="Courier New" w:hAnsi="Courier New"/>
          <w:sz w:val="16"/>
          <w:szCs w:val="16"/>
          <w:color w:val="auto"/>
        </w:rPr>
        <w:t>[20%] of the Shares subject to the Option may be exercised following the fifth anniversary of the Date of Grant.</w:t>
      </w:r>
    </w:p>
    <w:p>
      <w:pPr>
        <w:spacing w:after="0" w:line="170"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No Shares subject to the Option shall first become exercisable following the Optionee's Termination of Employment for any reason other than death or Disability. All Shares subject to the Option shall vest and become exercisable upon the Optionee's Termination of Employment because of death or Disability.</w:t>
      </w:r>
    </w:p>
    <w:p>
      <w:pPr>
        <w:spacing w:after="0" w:line="177" w:lineRule="exact"/>
        <w:rPr>
          <w:sz w:val="20"/>
          <w:szCs w:val="20"/>
          <w:color w:val="auto"/>
        </w:rPr>
      </w:pPr>
    </w:p>
    <w:p>
      <w:pPr>
        <w:ind w:left="1280" w:hanging="324"/>
        <w:spacing w:after="0"/>
        <w:tabs>
          <w:tab w:leader="none" w:pos="128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Terminating Event.</w:t>
      </w:r>
    </w:p>
    <w:p>
      <w:pPr>
        <w:spacing w:after="0" w:line="206" w:lineRule="exact"/>
        <w:rPr>
          <w:rFonts w:ascii="Courier New" w:cs="Courier New" w:eastAsia="Courier New" w:hAnsi="Courier New"/>
          <w:sz w:val="18"/>
          <w:szCs w:val="18"/>
          <w:color w:val="auto"/>
        </w:rPr>
      </w:pPr>
    </w:p>
    <w:p>
      <w:pPr>
        <w:ind w:right="1779" w:firstLine="2010"/>
        <w:spacing w:after="0" w:line="269" w:lineRule="auto"/>
        <w:tabs>
          <w:tab w:leader="none" w:pos="2423"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Sponsor shall give the Optionee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 the Optionee shall be permitted to exercise the Option to the extent the Option is then exercisable; provided that,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4(a), the entire number of Shares covered by Options shall become immediately exercisable. Upon the close of the period described in this Paragraph 4(a) during which an Option may be exercised in connection with a Terminating Event, such Option (including such portion thereof that is not exercisable) shall terminate to the extent that such Option has not theretofore been exercised.</w:t>
      </w:r>
    </w:p>
    <w:p>
      <w:pPr>
        <w:spacing w:after="0" w:line="396" w:lineRule="exact"/>
        <w:rPr>
          <w:rFonts w:ascii="Courier New" w:cs="Courier New" w:eastAsia="Courier New" w:hAnsi="Courier New"/>
          <w:sz w:val="16"/>
          <w:szCs w:val="16"/>
          <w:color w:val="auto"/>
        </w:rPr>
      </w:pPr>
    </w:p>
    <w:p>
      <w:pPr>
        <w:ind w:right="1999" w:firstLine="2010"/>
        <w:spacing w:after="0" w:line="237" w:lineRule="auto"/>
        <w:tabs>
          <w:tab w:leader="none" w:pos="2423"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Paragraph 4(a), in the event the Terminating Event is not consummated, the Option shall be deemed not to have been exercised and shall be exercisable thereafter to the extent it would have been exercisable if no such notice had been given.</w:t>
      </w:r>
    </w:p>
    <w:p>
      <w:pPr>
        <w:spacing w:after="0" w:line="207" w:lineRule="exact"/>
        <w:rPr>
          <w:rFonts w:ascii="Courier New" w:cs="Courier New" w:eastAsia="Courier New" w:hAnsi="Courier New"/>
          <w:sz w:val="18"/>
          <w:szCs w:val="18"/>
          <w:color w:val="auto"/>
        </w:rPr>
      </w:pPr>
    </w:p>
    <w:p>
      <w:pPr>
        <w:ind w:right="1779" w:firstLine="956"/>
        <w:spacing w:after="0" w:line="272" w:lineRule="auto"/>
        <w:tabs>
          <w:tab w:leader="none" w:pos="126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for Shares. Full payment for Shares purchased upon the exercise of an Option shall be made in cash or, at the election of the Optionee and as the Committee may, in its sole discretion, approve, by surrendering or attesting ownership of shares of Common Stock with an aggregate Fair Market Value equal to the aggregate option price, or by attesting to ownership and delivering such combination of shares and cash as the Committee may, in its sole</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38" w:name="page39"/>
    <w:bookmarkEnd w:id="38"/>
    <w:p>
      <w:pPr>
        <w:ind w:right="1779"/>
        <w:spacing w:after="0" w:line="237" w:lineRule="auto"/>
        <w:rPr>
          <w:sz w:val="20"/>
          <w:szCs w:val="20"/>
          <w:color w:val="auto"/>
        </w:rPr>
      </w:pPr>
      <w:r>
        <w:rPr>
          <w:rFonts w:ascii="Courier New" w:cs="Courier New" w:eastAsia="Courier New" w:hAnsi="Courier New"/>
          <w:sz w:val="18"/>
          <w:szCs w:val="18"/>
          <w:color w:val="auto"/>
        </w:rPr>
        <w:t>discretion, approve; provided that ownership of shares may be attested to and shares may be surrendered in satisfaction of the option price only if the Optionee certifies in writing to the Sponsor that the Optionee owns a number of Other Available Shares as of the Date of Exercise that is at least equal to the number of shares as to which ownership has been attested or the number of shares to be surrendered in satisfaction of the Option Price, as applicable. If payment is made in whole or part by attestation of ownership, the Optionee shall attest to ownership of shares representing shares legally and beneficially owned by such Optionee, free of all liens, claims and encumbrances of every kind and having a Fair Market Value on the date of attestation that is not greater than the aggregate option price.</w:t>
      </w:r>
    </w:p>
    <w:p>
      <w:pPr>
        <w:spacing w:after="0" w:line="216" w:lineRule="exact"/>
        <w:rPr>
          <w:sz w:val="20"/>
          <w:szCs w:val="20"/>
          <w:color w:val="auto"/>
        </w:rPr>
      </w:pPr>
    </w:p>
    <w:p>
      <w:pPr>
        <w:ind w:right="1879" w:firstLine="956"/>
        <w:spacing w:after="0" w:line="275" w:lineRule="auto"/>
        <w:tabs>
          <w:tab w:leader="none" w:pos="126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Manner of Exercise. The Option shall be exercised by giving written notice of exercise in accordance with the manner proscribed by the Committee. Such notice shall be deemed to have been given when hand-delivered, telecopied or mailed, first class postage prepaid, and shall be irrevocable once given.</w:t>
      </w:r>
    </w:p>
    <w:p>
      <w:pPr>
        <w:spacing w:after="0" w:line="182" w:lineRule="exact"/>
        <w:rPr>
          <w:rFonts w:ascii="Courier New" w:cs="Courier New" w:eastAsia="Courier New" w:hAnsi="Courier New"/>
          <w:sz w:val="16"/>
          <w:szCs w:val="16"/>
          <w:color w:val="auto"/>
        </w:rPr>
      </w:pPr>
    </w:p>
    <w:p>
      <w:pPr>
        <w:ind w:right="1779" w:firstLine="956"/>
        <w:spacing w:after="0" w:line="237" w:lineRule="auto"/>
        <w:tabs>
          <w:tab w:leader="none" w:pos="1264"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 The Option may not be transferred or assigned by the Optionee otherwise than by will or the laws of descent and distribution or be exercised during his life other than by the Optionee or for his benefit by his attorney-in-fact or guardian. Any attempt at assignment, transfer, pledge or disposition of the Option contrary to the provisions hereof or the levy of any execution, attachment or similar process upon the Option shall be null and void and without effect. Any exercise of the Option by a person other than the Optionee shall be accompanied by appropriate proofs of the right of such person to exercise the Option.</w:t>
      </w:r>
    </w:p>
    <w:p>
      <w:pPr>
        <w:spacing w:after="0" w:line="213" w:lineRule="exact"/>
        <w:rPr>
          <w:rFonts w:ascii="Courier New" w:cs="Courier New" w:eastAsia="Courier New" w:hAnsi="Courier New"/>
          <w:sz w:val="18"/>
          <w:szCs w:val="18"/>
          <w:color w:val="auto"/>
        </w:rPr>
      </w:pPr>
    </w:p>
    <w:p>
      <w:pPr>
        <w:ind w:right="1779" w:firstLine="956"/>
        <w:spacing w:after="0" w:line="270" w:lineRule="auto"/>
        <w:tabs>
          <w:tab w:leader="none" w:pos="126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Laws. The Committee may from time to time impose any conditions on the exercise of the Option as it deems necessary or appropriate to comply with the then-existing requirements of the 1933 Act or the 1934 Act, including Rule 16b-3 (or any similar rule) of the Securities and Exchange Commission. If the listing, registration or qualification of Shares issuable on the exercise of the Option upon any securities exchange or under any federal or state law, or the consent or approval of any governmental regulatory body is necessary as a condition of or in connection with the purchase of such Shares, the Sponsor shall not be obligated to issue or deliver the certificates representing the Shares otherwise issuable on the exercise of the Option unless and until such listing, registration, qualification, consent or approval shall have been effected or obtained. If registration is considered unnecessary by the Sponsor or its counsel, the Sponsor may cause a legend to be placed on such Shares calling attention to the fact that they have been acquired for investment and have not been registered.</w:t>
      </w:r>
    </w:p>
    <w:p>
      <w:pPr>
        <w:spacing w:after="0" w:line="386" w:lineRule="exact"/>
        <w:rPr>
          <w:rFonts w:ascii="Courier New" w:cs="Courier New" w:eastAsia="Courier New" w:hAnsi="Courier New"/>
          <w:sz w:val="16"/>
          <w:szCs w:val="16"/>
          <w:color w:val="auto"/>
        </w:rPr>
      </w:pPr>
    </w:p>
    <w:p>
      <w:pPr>
        <w:ind w:right="1879" w:firstLine="956"/>
        <w:spacing w:after="0" w:line="271" w:lineRule="auto"/>
        <w:tabs>
          <w:tab w:leader="none" w:pos="126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Certificate at Closing; Payment of Cash. Subject to the provisions of this Paragraph 9, the Closing Date shall occur as promptly as is feasible after the exercise of the Option. Subject to the provisions of Paragraphs 8 and 10 hereof, a certificate for the Shares issuable on the exercise of the Option shall be delivered to the Optionee or to his personal representative, heir or legatee at the Closing, provided that no certificates for Shares will be delivered to the Optionee or to his personal representative, heir or legatee unless the Option Price has been paid in full.</w:t>
      </w:r>
    </w:p>
    <w:p>
      <w:pPr>
        <w:spacing w:after="0" w:line="185" w:lineRule="exact"/>
        <w:rPr>
          <w:rFonts w:ascii="Courier New" w:cs="Courier New" w:eastAsia="Courier New" w:hAnsi="Courier New"/>
          <w:sz w:val="16"/>
          <w:szCs w:val="16"/>
          <w:color w:val="auto"/>
        </w:rPr>
      </w:pPr>
    </w:p>
    <w:p>
      <w:pPr>
        <w:ind w:right="1779" w:firstLine="956"/>
        <w:spacing w:after="0" w:line="236" w:lineRule="auto"/>
        <w:tabs>
          <w:tab w:leader="none" w:pos="1369"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Prior to Exercise. The Optionee shall not have any right as a stockholder with respect to any Shares subject to his Options until the Option shall have been</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39" w:name="page40"/>
    <w:bookmarkEnd w:id="39"/>
    <w:p>
      <w:pPr>
        <w:ind w:right="1999"/>
        <w:spacing w:after="0" w:line="237" w:lineRule="auto"/>
        <w:rPr>
          <w:sz w:val="20"/>
          <w:szCs w:val="20"/>
          <w:color w:val="auto"/>
        </w:rPr>
      </w:pPr>
      <w:r>
        <w:rPr>
          <w:rFonts w:ascii="Courier New" w:cs="Courier New" w:eastAsia="Courier New" w:hAnsi="Courier New"/>
          <w:sz w:val="18"/>
          <w:szCs w:val="18"/>
          <w:color w:val="auto"/>
        </w:rPr>
        <w:t>exercised in accordance with the terms of the Plan and this Award and the Optionee shall have paid the full purchase price for the number of Shares in respect of which the Option was exercised, provided that in the event that the Optionee's Termination of Employment with the Company is for Cause, upon a determination by the Committee, the Optionee shall automatically forfeit all Shares otherwise subject to delivery upon exercise of an Option but for which the Sponsor has not yet delivered the Share certificates, upon refund by the Sponsor of the Option Price.</w:t>
      </w:r>
    </w:p>
    <w:p>
      <w:pPr>
        <w:spacing w:after="0" w:line="212" w:lineRule="exact"/>
        <w:rPr>
          <w:sz w:val="20"/>
          <w:szCs w:val="20"/>
          <w:color w:val="auto"/>
        </w:rPr>
      </w:pPr>
    </w:p>
    <w:p>
      <w:pPr>
        <w:ind w:right="1779" w:firstLine="956"/>
        <w:spacing w:after="0" w:line="271" w:lineRule="auto"/>
        <w:tabs>
          <w:tab w:leader="none" w:pos="1369"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Status of Option; Interpretation. The Option is intended to be a non-qualified stock option. Accordingly, it is intended that the transfer of property pursuant to the exercise of the Option be subject to federal income tax in accordance with section 83 of the Code. The Option is not intended to qualify as an incentive stock option within the meaning of section 422 of the Code. The interpretation and construction of any provision of this Option or the Plan made by the Committee shall be final and conclusive and, insofar as possible, shall be consistent with the intention expressed in this Paragraph 11.</w:t>
      </w:r>
    </w:p>
    <w:p>
      <w:pPr>
        <w:spacing w:after="0" w:line="185" w:lineRule="exact"/>
        <w:rPr>
          <w:rFonts w:ascii="Courier New" w:cs="Courier New" w:eastAsia="Courier New" w:hAnsi="Courier New"/>
          <w:sz w:val="16"/>
          <w:szCs w:val="16"/>
          <w:color w:val="auto"/>
        </w:rPr>
      </w:pPr>
    </w:p>
    <w:p>
      <w:pPr>
        <w:ind w:right="1779" w:firstLine="956"/>
        <w:spacing w:after="0" w:line="236" w:lineRule="auto"/>
        <w:tabs>
          <w:tab w:leader="none" w:pos="1369"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Not to Affect Employment. The Option granted hereunder shall not confer upon the Optionee any right to continue in service as an employee, officer or director of the Sponsor or any subsidiary of the Sponsor.</w:t>
      </w:r>
    </w:p>
    <w:p>
      <w:pPr>
        <w:spacing w:after="0" w:line="203"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for the Optionee to which notice, demands and other communications to be given or delivered under or by reason of the provisions hereof shall be the address contained in the Company's personnel records, or such other address as the Optionee may provide to the Company by written notice.</w:t>
      </w:r>
    </w:p>
    <w:p>
      <w:pPr>
        <w:spacing w:after="0" w:line="208" w:lineRule="exact"/>
        <w:rPr>
          <w:rFonts w:ascii="Courier New" w:cs="Courier New" w:eastAsia="Courier New" w:hAnsi="Courier New"/>
          <w:sz w:val="18"/>
          <w:szCs w:val="18"/>
          <w:color w:val="auto"/>
        </w:rPr>
      </w:pPr>
    </w:p>
    <w:p>
      <w:pPr>
        <w:ind w:right="1779" w:firstLine="1904"/>
        <w:spacing w:after="0" w:line="235" w:lineRule="auto"/>
        <w:tabs>
          <w:tab w:leader="none" w:pos="2318"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Award may be executed in one or more counterparts all of which taken together will constitute one and the same instrument.</w:t>
      </w:r>
    </w:p>
    <w:p>
      <w:pPr>
        <w:spacing w:after="0" w:line="208" w:lineRule="exact"/>
        <w:rPr>
          <w:rFonts w:ascii="Courier New" w:cs="Courier New" w:eastAsia="Courier New" w:hAnsi="Courier New"/>
          <w:sz w:val="18"/>
          <w:szCs w:val="18"/>
          <w:color w:val="auto"/>
        </w:rPr>
      </w:pPr>
    </w:p>
    <w:p>
      <w:pPr>
        <w:jc w:val="both"/>
        <w:ind w:right="1779" w:firstLine="1904"/>
        <w:spacing w:after="0" w:line="236" w:lineRule="auto"/>
        <w:tabs>
          <w:tab w:leader="none" w:pos="2318"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validity, performance, construction and effect of this Award shall be governed by the laws of the Commonwealth of Pennsylvania, without giving effect to principles of conflicts of law.</w:t>
      </w:r>
    </w:p>
    <w:p>
      <w:pPr>
        <w:spacing w:after="0" w:line="208" w:lineRule="exact"/>
        <w:rPr>
          <w:rFonts w:ascii="Courier New" w:cs="Courier New" w:eastAsia="Courier New" w:hAnsi="Courier New"/>
          <w:sz w:val="18"/>
          <w:szCs w:val="18"/>
          <w:color w:val="auto"/>
        </w:rPr>
      </w:pPr>
    </w:p>
    <w:p>
      <w:pPr>
        <w:ind w:right="1999" w:firstLine="1904"/>
        <w:spacing w:after="0" w:line="270" w:lineRule="auto"/>
        <w:tabs>
          <w:tab w:leader="none" w:pos="2318"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Optionee hereby irrevocably and unconditionally consents to submit to the exclusive jurisdiction of the courts of the Commonwealth of Pennsylvania and of the United States of America, in each case located in Philadelphia, Pennsylvania, for any actions, suits or proceedings arising out of or relating to this Award and the transactions contemplated hereby ("Litigation") and agrees not to commence any Litigation except in any such court, and further agrees that service of process, summons, notice or document by U.S. registered mail to his respective address shall be effective service of process for any Litigation brought against him in any such court. Each party hereby irrevocably and unconditionally waives any objection to the laying of venue of any Litigation in the courts of the Commonwealth of Pennsylvania or of the United States of America, in each case located in Philadelphia, Pennsylvania, and hereby further irrevocably and unconditionally waives and agrees not to plead or claim in any such court that any Litigation brought in any such court has been brought in an inconvenient forum.</w:t>
      </w:r>
    </w:p>
    <w:p>
      <w:pPr>
        <w:spacing w:after="0" w:line="200" w:lineRule="exact"/>
        <w:rPr>
          <w:sz w:val="20"/>
          <w:szCs w:val="20"/>
          <w:color w:val="auto"/>
        </w:rPr>
      </w:pP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40" w:name="page41"/>
    <w:bookmarkEnd w:id="40"/>
    <w:p>
      <w:pPr>
        <w:ind w:right="1779" w:firstLine="956"/>
        <w:spacing w:after="0" w:line="237" w:lineRule="auto"/>
        <w:tabs>
          <w:tab w:leader="none" w:pos="1369"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of Taxes. Whenever the Sponsor proposes or is required to deliver or transfer Shares in connection with the exercise of the Option, the Sponsor shall have the right to (a) require the Optionee to remit to the Sponsor an amount sufficient to satisfy any federal, state and/or local withholding tax requirements prior to the delivery or transfer of any certificate or certificates for such Shares or (b) take whatever action it deems necessary to protect its interests with respect to tax liabilities.</w:t>
      </w:r>
    </w:p>
    <w:p>
      <w:pPr>
        <w:spacing w:after="0" w:line="211"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IN WITNESS WHEREOF, the Sponsor has granted this Award on the day and year first above written.</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Lawrence S. Smith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Lawrence S. Smith</w:t>
      </w:r>
    </w:p>
    <w:p>
      <w:pPr>
        <w:spacing w:after="0" w:line="200" w:lineRule="exact"/>
        <w:rPr>
          <w:sz w:val="20"/>
          <w:szCs w:val="20"/>
          <w:color w:val="auto"/>
        </w:rPr>
      </w:pPr>
    </w:p>
    <w:p>
      <w:pPr>
        <w:sectPr>
          <w:pgSz w:w="11900" w:h="16838" w:orient="portrait"/>
          <w:cols w:equalWidth="0" w:num="2">
            <w:col w:w="3900" w:space="640"/>
            <w:col w:w="5679"/>
          </w:cols>
          <w:pgMar w:left="240" w:top="925" w:right="1440" w:bottom="1440" w:gutter="0" w:footer="0" w:header="0"/>
          <w:type w:val="continuous"/>
        </w:sect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Arthur R. Block</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R. Block</w:t>
      </w:r>
    </w:p>
    <w:p>
      <w:pPr>
        <w:spacing w:after="0" w:line="200" w:lineRule="exact"/>
        <w:rPr>
          <w:sz w:val="20"/>
          <w:szCs w:val="20"/>
          <w:color w:val="auto"/>
        </w:rPr>
      </w:pPr>
    </w:p>
    <w:p>
      <w:pPr>
        <w:sectPr>
          <w:pgSz w:w="11900" w:h="16838" w:orient="portrait"/>
          <w:cols w:equalWidth="0" w:num="2">
            <w:col w:w="4320" w:space="220"/>
            <w:col w:w="5679"/>
          </w:cols>
          <w:pgMar w:left="240" w:top="925" w:right="1440" w:bottom="1440" w:gutter="0" w:footer="0" w:header="0"/>
          <w:type w:val="continuous"/>
        </w:sect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925" w:right="1440" w:bottom="1440" w:gutter="0" w:footer="0" w:header="0"/>
          <w:type w:val="continuous"/>
        </w:sectPr>
      </w:pPr>
    </w:p>
    <w:bookmarkStart w:id="41" w:name="page42"/>
    <w:bookmarkEnd w:id="4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ind w:left="328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NON-QUALIFIED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99" w:firstLine="1896"/>
        <w:spacing w:after="0" w:line="290" w:lineRule="auto"/>
        <w:rPr>
          <w:sz w:val="20"/>
          <w:szCs w:val="20"/>
          <w:color w:val="auto"/>
        </w:rPr>
      </w:pPr>
      <w:r>
        <w:rPr>
          <w:rFonts w:ascii="Courier New" w:cs="Courier New" w:eastAsia="Courier New" w:hAnsi="Courier New"/>
          <w:sz w:val="16"/>
          <w:szCs w:val="16"/>
          <w:color w:val="auto"/>
        </w:rPr>
        <w:t>This is a Non-Qualified Stock Option Award dated [Date] ("Award") from Comcast Corporation (the "Sponsor") to [Name] (the "Optionee").</w:t>
      </w:r>
    </w:p>
    <w:p>
      <w:pPr>
        <w:spacing w:after="0" w:line="164" w:lineRule="exact"/>
        <w:rPr>
          <w:sz w:val="20"/>
          <w:szCs w:val="20"/>
          <w:color w:val="auto"/>
        </w:rPr>
      </w:pPr>
    </w:p>
    <w:p>
      <w:pPr>
        <w:ind w:left="1280" w:hanging="324"/>
        <w:spacing w:after="0"/>
        <w:tabs>
          <w:tab w:leader="none" w:pos="1280"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herein:</w:t>
      </w:r>
    </w:p>
    <w:p>
      <w:pPr>
        <w:spacing w:after="0" w:line="206"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2"/>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212" w:lineRule="exact"/>
        <w:rPr>
          <w:rFonts w:ascii="Courier New" w:cs="Courier New" w:eastAsia="Courier New" w:hAnsi="Courier New"/>
          <w:sz w:val="18"/>
          <w:szCs w:val="18"/>
          <w:color w:val="auto"/>
        </w:rPr>
      </w:pPr>
    </w:p>
    <w:p>
      <w:pPr>
        <w:ind w:right="2099" w:firstLine="1904"/>
        <w:spacing w:after="0" w:line="236" w:lineRule="auto"/>
        <w:tabs>
          <w:tab w:leader="none" w:pos="2318" w:val="left"/>
        </w:tabs>
        <w:numPr>
          <w:ilvl w:val="2"/>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Transaction" means the acquisition of Comcast Cable Communications Holdings, Inc. (formerly known as AT&amp;T Broadband Corp.) by the Company.</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2"/>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Sponsor.</w:t>
      </w:r>
    </w:p>
    <w:p>
      <w:pPr>
        <w:spacing w:after="0" w:line="206" w:lineRule="exact"/>
        <w:rPr>
          <w:rFonts w:ascii="Courier New" w:cs="Courier New" w:eastAsia="Courier New" w:hAnsi="Courier New"/>
          <w:sz w:val="18"/>
          <w:szCs w:val="18"/>
          <w:color w:val="auto"/>
        </w:rPr>
      </w:pPr>
    </w:p>
    <w:p>
      <w:pPr>
        <w:ind w:right="1879" w:firstLine="1904"/>
        <w:spacing w:after="0" w:line="268" w:lineRule="auto"/>
        <w:tabs>
          <w:tab w:leader="none" w:pos="2318" w:val="left"/>
        </w:tabs>
        <w:numPr>
          <w:ilvl w:val="2"/>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 (i) fraud; (ii) misappropriation; (iii) embezzlement; (iv) gross negligence in the performance of duties; (v) self-dealing; (vi) 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provided that as to items (ix),</w:t>
      </w:r>
    </w:p>
    <w:p>
      <w:pPr>
        <w:spacing w:after="0" w:line="1" w:lineRule="exact"/>
        <w:rPr>
          <w:rFonts w:ascii="Courier New" w:cs="Courier New" w:eastAsia="Courier New" w:hAnsi="Courier New"/>
          <w:sz w:val="16"/>
          <w:szCs w:val="16"/>
          <w:color w:val="auto"/>
        </w:rPr>
      </w:pPr>
    </w:p>
    <w:p>
      <w:pPr>
        <w:ind w:right="1779" w:firstLine="8"/>
        <w:spacing w:after="0" w:line="235" w:lineRule="auto"/>
        <w:tabs>
          <w:tab w:leader="none" w:pos="421"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(xi), if capable of being cured, such event or condition remains uncured following 30 days written notice thereof.</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2"/>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of Control" means any transaction or series of transactions as a result of which any Person who was a Third Party immediately before such 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212" w:lineRule="exact"/>
        <w:rPr>
          <w:rFonts w:ascii="Courier New" w:cs="Courier New" w:eastAsia="Courier New" w:hAnsi="Courier New"/>
          <w:sz w:val="18"/>
          <w:szCs w:val="18"/>
          <w:color w:val="auto"/>
        </w:rPr>
      </w:pPr>
    </w:p>
    <w:p>
      <w:pPr>
        <w:ind w:right="1779" w:firstLine="1904"/>
        <w:spacing w:after="0" w:line="236" w:lineRule="auto"/>
        <w:tabs>
          <w:tab w:leader="none" w:pos="2318" w:val="left"/>
        </w:tabs>
        <w:numPr>
          <w:ilvl w:val="2"/>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means the closing of the acquisition and sale of the Shares as described in, and subject to the provisions of, Paragraph 9 hereof.</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2"/>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Date" means the date of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(h) "Code" means the Internal Revenue Code of 1986, as</w:t>
      </w:r>
    </w:p>
    <w:p>
      <w:pPr>
        <w:spacing w:after="0" w:line="238" w:lineRule="auto"/>
        <w:rPr>
          <w:sz w:val="20"/>
          <w:szCs w:val="20"/>
          <w:color w:val="auto"/>
        </w:rPr>
      </w:pPr>
      <w:r>
        <w:rPr>
          <w:rFonts w:ascii="Courier New" w:cs="Courier New" w:eastAsia="Courier New" w:hAnsi="Courier New"/>
          <w:sz w:val="18"/>
          <w:szCs w:val="18"/>
          <w:color w:val="auto"/>
        </w:rPr>
        <w:t>amended.</w:t>
      </w:r>
    </w:p>
    <w:p>
      <w:pPr>
        <w:spacing w:after="0" w:line="207" w:lineRule="exact"/>
        <w:rPr>
          <w:sz w:val="20"/>
          <w:szCs w:val="20"/>
          <w:color w:val="auto"/>
        </w:rPr>
      </w:pPr>
    </w:p>
    <w:p>
      <w:pPr>
        <w:ind w:right="1879" w:firstLine="1904"/>
        <w:spacing w:after="0" w:line="237" w:lineRule="auto"/>
        <w:tabs>
          <w:tab w:leader="none" w:pos="231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Plan" means any restricted stock, stock bonus, stock option or other compensation plan, program or arrangement established or maintained by the Sponsor or an Affiliate of the Sponsor, including but not limited to this Plan, the Comcast Corporation 2002 Stock Option Plan, the Comcast Corporation 2002 Restricted Stock Plan and the Comcast Corporation 1987 Stock Option Plan and the AT&amp;T Broadband Corp. Adjustment Plan..</w:t>
      </w:r>
    </w:p>
    <w:p>
      <w:pPr>
        <w:spacing w:after="0" w:line="209" w:lineRule="exact"/>
        <w:rPr>
          <w:rFonts w:ascii="Courier New" w:cs="Courier New" w:eastAsia="Courier New" w:hAnsi="Courier New"/>
          <w:sz w:val="18"/>
          <w:szCs w:val="18"/>
          <w:color w:val="auto"/>
        </w:rPr>
      </w:pPr>
    </w:p>
    <w:p>
      <w:pPr>
        <w:ind w:right="1779" w:firstLine="1904"/>
        <w:spacing w:after="0" w:line="235" w:lineRule="auto"/>
        <w:tabs>
          <w:tab w:leader="none" w:pos="231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those members of the Board who have been designated pursuant to the Plan to act in that capacity..</w:t>
      </w:r>
    </w:p>
    <w:p>
      <w:pPr>
        <w:spacing w:after="0" w:line="208" w:lineRule="exact"/>
        <w:rPr>
          <w:rFonts w:ascii="Courier New" w:cs="Courier New" w:eastAsia="Courier New" w:hAnsi="Courier New"/>
          <w:sz w:val="18"/>
          <w:szCs w:val="18"/>
          <w:color w:val="auto"/>
        </w:rPr>
      </w:pPr>
    </w:p>
    <w:p>
      <w:pPr>
        <w:jc w:val="both"/>
        <w:ind w:right="1999" w:firstLine="1904"/>
        <w:spacing w:after="0" w:line="237" w:lineRule="auto"/>
        <w:tabs>
          <w:tab w:leader="none" w:pos="231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Sponsor's Class A Common Stock, par value, $.01 per share. For purposes of Paragraph 1(t) and Paragraph 5, the term "Common Stock" also means the Sponsor's Class A Special Common Stock, par value, $.01 per share.</w:t>
      </w:r>
    </w:p>
    <w:p>
      <w:pPr>
        <w:spacing w:after="0" w:line="207"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the Sponsor and each of its Subsidiaries.</w:t>
      </w:r>
    </w:p>
    <w:p>
      <w:pPr>
        <w:spacing w:after="0" w:line="223" w:lineRule="exact"/>
        <w:rPr>
          <w:rFonts w:ascii="Courier New" w:cs="Courier New" w:eastAsia="Courier New" w:hAnsi="Courier New"/>
          <w:sz w:val="16"/>
          <w:szCs w:val="16"/>
          <w:color w:val="auto"/>
        </w:rPr>
      </w:pPr>
    </w:p>
    <w:p>
      <w:pPr>
        <w:ind w:right="2099" w:firstLine="1904"/>
        <w:spacing w:after="0" w:line="290" w:lineRule="auto"/>
        <w:tabs>
          <w:tab w:leader="none" w:pos="2318"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Exercise" means the date on which the notice required by Paragraph 6 hereof is hand-delivered, placed in the United States</w:t>
      </w:r>
    </w:p>
    <w:p>
      <w:pPr>
        <w:sectPr>
          <w:pgSz w:w="11900" w:h="16838" w:orient="portrait"/>
          <w:cols w:equalWidth="0" w:num="1">
            <w:col w:w="10219"/>
          </w:cols>
          <w:pgMar w:left="240" w:top="136" w:right="1440" w:bottom="0"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mail postage prepaid, or delivered to a telegraph or telex facility.</w:t>
      </w:r>
    </w:p>
    <w:p>
      <w:pPr>
        <w:spacing w:after="0" w:line="207" w:lineRule="exact"/>
        <w:rPr>
          <w:sz w:val="20"/>
          <w:szCs w:val="20"/>
          <w:color w:val="auto"/>
        </w:rPr>
      </w:pPr>
    </w:p>
    <w:p>
      <w:pPr>
        <w:ind w:right="1999" w:firstLine="1904"/>
        <w:spacing w:after="0" w:line="235" w:lineRule="auto"/>
        <w:tabs>
          <w:tab w:leader="none" w:pos="231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means the date hereof, the date on which the Sponsor awarded the Option.</w:t>
      </w:r>
    </w:p>
    <w:p>
      <w:pPr>
        <w:spacing w:after="0" w:line="208" w:lineRule="exact"/>
        <w:rPr>
          <w:rFonts w:ascii="Courier New" w:cs="Courier New" w:eastAsia="Courier New" w:hAnsi="Courier New"/>
          <w:sz w:val="18"/>
          <w:szCs w:val="18"/>
          <w:color w:val="auto"/>
        </w:rPr>
      </w:pPr>
    </w:p>
    <w:p>
      <w:pPr>
        <w:ind w:right="2319" w:firstLine="1904"/>
        <w:spacing w:after="0" w:line="235" w:lineRule="auto"/>
        <w:tabs>
          <w:tab w:leader="none" w:pos="231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a disability within the meaning of section 22(e)(3) of the Code.</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Date" means the earliest of the following:</w:t>
      </w:r>
    </w:p>
    <w:p>
      <w:pPr>
        <w:spacing w:after="0" w:line="206" w:lineRule="exact"/>
        <w:rPr>
          <w:rFonts w:ascii="Courier New" w:cs="Courier New" w:eastAsia="Courier New" w:hAnsi="Courier New"/>
          <w:sz w:val="18"/>
          <w:szCs w:val="18"/>
          <w:color w:val="auto"/>
        </w:rPr>
      </w:pPr>
    </w:p>
    <w:p>
      <w:pPr>
        <w:ind w:left="2640" w:right="2099" w:hanging="525"/>
        <w:spacing w:after="0" w:line="237" w:lineRule="auto"/>
        <w:tabs>
          <w:tab w:leader="none" w:pos="264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Optionee's Termination of Employment with the Company is due to any reason other than death, Disability or Cause, the date three months following such Termination of Employment;</w:t>
      </w:r>
    </w:p>
    <w:p>
      <w:pPr>
        <w:spacing w:after="0" w:line="207" w:lineRule="exact"/>
        <w:rPr>
          <w:rFonts w:ascii="Courier New" w:cs="Courier New" w:eastAsia="Courier New" w:hAnsi="Courier New"/>
          <w:sz w:val="18"/>
          <w:szCs w:val="18"/>
          <w:color w:val="auto"/>
        </w:rPr>
      </w:pPr>
    </w:p>
    <w:p>
      <w:pPr>
        <w:ind w:left="2640" w:right="1999" w:hanging="525"/>
        <w:spacing w:after="0" w:line="236" w:lineRule="auto"/>
        <w:tabs>
          <w:tab w:leader="none" w:pos="264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Optionee's Termination of Employment with the Company is for Cause, the date of such Termination of Employment; or</w:t>
      </w:r>
    </w:p>
    <w:p>
      <w:pPr>
        <w:spacing w:after="0" w:line="208" w:lineRule="exact"/>
        <w:rPr>
          <w:rFonts w:ascii="Courier New" w:cs="Courier New" w:eastAsia="Courier New" w:hAnsi="Courier New"/>
          <w:sz w:val="18"/>
          <w:szCs w:val="18"/>
          <w:color w:val="auto"/>
        </w:rPr>
      </w:pPr>
    </w:p>
    <w:p>
      <w:pPr>
        <w:ind w:left="2640" w:right="2199" w:hanging="525"/>
        <w:spacing w:after="0" w:line="235" w:lineRule="auto"/>
        <w:tabs>
          <w:tab w:leader="none" w:pos="264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day before the tenth anniversary of the Date of Grant</w:t>
      </w:r>
    </w:p>
    <w:p>
      <w:pPr>
        <w:spacing w:after="0" w:line="208" w:lineRule="exact"/>
        <w:rPr>
          <w:rFonts w:ascii="Courier New" w:cs="Courier New" w:eastAsia="Courier New" w:hAnsi="Courier New"/>
          <w:sz w:val="18"/>
          <w:szCs w:val="18"/>
          <w:color w:val="auto"/>
        </w:rPr>
      </w:pPr>
    </w:p>
    <w:p>
      <w:pPr>
        <w:ind w:right="2419" w:firstLine="1904"/>
        <w:spacing w:after="0" w:line="235" w:lineRule="auto"/>
        <w:tabs>
          <w:tab w:leader="none" w:pos="231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the Fair Market Value of a Share, as determined pursuant to the Plan.</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means the option hereby granted.</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Price" means [$xx.xx] per Share, as calculated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44" w:name="page45"/>
    <w:bookmarkEnd w:id="44"/>
    <w:p>
      <w:pPr>
        <w:jc w:val="center"/>
        <w:ind w:right="199"/>
        <w:spacing w:after="0"/>
        <w:rPr>
          <w:sz w:val="20"/>
          <w:szCs w:val="20"/>
          <w:color w:val="auto"/>
        </w:rPr>
      </w:pPr>
      <w:r>
        <w:rPr>
          <w:rFonts w:ascii="Courier New" w:cs="Courier New" w:eastAsia="Courier New" w:hAnsi="Courier New"/>
          <w:sz w:val="18"/>
          <w:szCs w:val="18"/>
          <w:color w:val="auto"/>
        </w:rPr>
        <w:t>(t) "Other Available Shares" means, as of any date, the sum</w:t>
      </w:r>
    </w:p>
    <w:p>
      <w:pPr>
        <w:spacing w:after="0" w:line="238" w:lineRule="auto"/>
        <w:rPr>
          <w:sz w:val="20"/>
          <w:szCs w:val="20"/>
          <w:color w:val="auto"/>
        </w:rPr>
      </w:pPr>
      <w:r>
        <w:rPr>
          <w:rFonts w:ascii="Courier New" w:cs="Courier New" w:eastAsia="Courier New" w:hAnsi="Courier New"/>
          <w:sz w:val="18"/>
          <w:szCs w:val="18"/>
          <w:color w:val="auto"/>
        </w:rPr>
        <w:t>of:</w:t>
      </w:r>
    </w:p>
    <w:p>
      <w:pPr>
        <w:spacing w:after="0" w:line="207" w:lineRule="exact"/>
        <w:rPr>
          <w:sz w:val="20"/>
          <w:szCs w:val="20"/>
          <w:color w:val="auto"/>
        </w:rPr>
      </w:pPr>
    </w:p>
    <w:p>
      <w:pPr>
        <w:ind w:left="2640" w:right="1779" w:hanging="525"/>
        <w:spacing w:after="0" w:line="237" w:lineRule="auto"/>
        <w:tabs>
          <w:tab w:leader="none" w:pos="2640"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number of Shares owned by an Optionee that were not acquired by such Optionee pursuant to a Comcast Plan or otherwise in connection with the performance of services to the Sponsor or an Affiliate; plus</w:t>
      </w:r>
    </w:p>
    <w:p>
      <w:pPr>
        <w:spacing w:after="0" w:line="203" w:lineRule="exact"/>
        <w:rPr>
          <w:rFonts w:ascii="Courier New" w:cs="Courier New" w:eastAsia="Courier New" w:hAnsi="Courier New"/>
          <w:sz w:val="18"/>
          <w:szCs w:val="18"/>
          <w:color w:val="auto"/>
        </w:rPr>
      </w:pPr>
    </w:p>
    <w:p>
      <w:pPr>
        <w:ind w:left="2640" w:hanging="525"/>
        <w:spacing w:after="0"/>
        <w:tabs>
          <w:tab w:leader="none" w:pos="2640"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excess, if any of:</w:t>
      </w:r>
    </w:p>
    <w:p>
      <w:pPr>
        <w:spacing w:after="0" w:line="206" w:lineRule="exact"/>
        <w:rPr>
          <w:rFonts w:ascii="Courier New" w:cs="Courier New" w:eastAsia="Courier New" w:hAnsi="Courier New"/>
          <w:sz w:val="18"/>
          <w:szCs w:val="18"/>
          <w:color w:val="auto"/>
        </w:rPr>
      </w:pPr>
    </w:p>
    <w:p>
      <w:pPr>
        <w:ind w:right="1779" w:firstLine="1904"/>
        <w:spacing w:after="0" w:line="235" w:lineRule="auto"/>
        <w:tabs>
          <w:tab w:leader="none" w:pos="2318"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number of Shares owned by an Optionee other than the Shares described in Paragraph 1(t)(1); over</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w:t>
      </w:r>
    </w:p>
    <w:p>
      <w:pPr>
        <w:spacing w:after="0" w:line="207" w:lineRule="exact"/>
        <w:rPr>
          <w:sz w:val="20"/>
          <w:szCs w:val="20"/>
          <w:color w:val="auto"/>
        </w:rPr>
      </w:pPr>
    </w:p>
    <w:p>
      <w:pPr>
        <w:ind w:left="2640" w:right="2099" w:hanging="525"/>
        <w:spacing w:after="0" w:line="235" w:lineRule="auto"/>
        <w:tabs>
          <w:tab w:leader="none" w:pos="26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such Shares owned by such Optionee for less than six months; plus</w:t>
      </w:r>
    </w:p>
    <w:p>
      <w:pPr>
        <w:spacing w:after="0" w:line="208" w:lineRule="exact"/>
        <w:rPr>
          <w:rFonts w:ascii="Courier New" w:cs="Courier New" w:eastAsia="Courier New" w:hAnsi="Courier New"/>
          <w:sz w:val="18"/>
          <w:szCs w:val="18"/>
          <w:color w:val="auto"/>
        </w:rPr>
      </w:pPr>
    </w:p>
    <w:p>
      <w:pPr>
        <w:ind w:left="2640" w:right="1879" w:hanging="525"/>
        <w:spacing w:after="0" w:line="273" w:lineRule="auto"/>
        <w:tabs>
          <w:tab w:leader="none" w:pos="26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Shares owned by such Optionee that has, within the preceding six months, been the subject of a withholding certification pursuant to Paragraph 15(b) of the Plan or any similar withholding certification under any other Comcast Plan; plus</w:t>
      </w:r>
    </w:p>
    <w:p>
      <w:pPr>
        <w:spacing w:after="0" w:line="184" w:lineRule="exact"/>
        <w:rPr>
          <w:rFonts w:ascii="Courier New" w:cs="Courier New" w:eastAsia="Courier New" w:hAnsi="Courier New"/>
          <w:sz w:val="16"/>
          <w:szCs w:val="16"/>
          <w:color w:val="auto"/>
        </w:rPr>
      </w:pPr>
    </w:p>
    <w:p>
      <w:pPr>
        <w:ind w:left="2640" w:right="1879" w:hanging="525"/>
        <w:spacing w:after="0" w:line="271" w:lineRule="auto"/>
        <w:tabs>
          <w:tab w:leader="none" w:pos="2745"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Shares owned by such Optionee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388" w:lineRule="exact"/>
        <w:rPr>
          <w:rFonts w:ascii="Courier New" w:cs="Courier New" w:eastAsia="Courier New" w:hAnsi="Courier New"/>
          <w:sz w:val="16"/>
          <w:szCs w:val="16"/>
          <w:color w:val="auto"/>
        </w:rPr>
      </w:pPr>
    </w:p>
    <w:p>
      <w:pPr>
        <w:ind w:left="2640" w:right="1879" w:hanging="525"/>
        <w:spacing w:after="0" w:line="237" w:lineRule="auto"/>
        <w:tabs>
          <w:tab w:leader="none" w:pos="26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such Shares owned by such Optionee as to which evidence of ownership has, within the preceding six months, been provided to the Company in connection with the crediting of "Deferred Stock Units" to such Optionee's Account under the Comcast Corporation 2002 Deferred Stock Option Plan (as in effect from time to time).</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purposes of this Paragraph 1(t), a Share that is subject to a deferral election pursuant to another Comcast Plan shall not be treated as owned by an Optionee until all conditions to the delivery of such Share have lapsed. For purposes of determining the number of Other Available Shares, the term "Shares" shall also include the securities held by a Participant immediately before the consummation of the AT&amp;T Broadband Transaction that became Common Stock as a result of the AT&amp;T Broadband Transaction.</w:t>
      </w:r>
    </w:p>
    <w:p>
      <w:pPr>
        <w:spacing w:after="0" w:line="211" w:lineRule="exact"/>
        <w:rPr>
          <w:sz w:val="20"/>
          <w:szCs w:val="20"/>
          <w:color w:val="auto"/>
        </w:rPr>
      </w:pPr>
    </w:p>
    <w:p>
      <w:pPr>
        <w:ind w:right="2519" w:firstLine="1904"/>
        <w:spacing w:after="0" w:line="290" w:lineRule="auto"/>
        <w:tabs>
          <w:tab w:leader="none" w:pos="2318"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 partnership, an association, a trust or any other entity or organization.</w:t>
      </w:r>
    </w:p>
    <w:p>
      <w:pPr>
        <w:spacing w:after="0" w:line="169" w:lineRule="exact"/>
        <w:rPr>
          <w:rFonts w:ascii="Courier New" w:cs="Courier New" w:eastAsia="Courier New" w:hAnsi="Courier New"/>
          <w:sz w:val="16"/>
          <w:szCs w:val="16"/>
          <w:color w:val="auto"/>
        </w:rPr>
      </w:pPr>
    </w:p>
    <w:p>
      <w:pPr>
        <w:ind w:right="2199" w:firstLine="1904"/>
        <w:spacing w:after="0" w:line="235" w:lineRule="auto"/>
        <w:tabs>
          <w:tab w:leader="none" w:pos="231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the Comcast Corporation 2003 Stock Option Plan,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19" w:right="1440" w:bottom="1440" w:gutter="0" w:footer="0" w:header="0"/>
        </w:sectPr>
      </w:pPr>
    </w:p>
    <w:bookmarkStart w:id="45" w:name="page46"/>
    <w:bookmarkEnd w:id="45"/>
    <w:p>
      <w:pPr>
        <w:ind w:right="1999" w:firstLine="1904"/>
        <w:spacing w:after="0" w:line="235" w:lineRule="auto"/>
        <w:tabs>
          <w:tab w:leader="none" w:pos="231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means the [# of shares] shares of Common Stock, which are the subject of the Option hereby granted.</w:t>
      </w:r>
    </w:p>
    <w:p>
      <w:pPr>
        <w:spacing w:after="0" w:line="208" w:lineRule="exact"/>
        <w:rPr>
          <w:rFonts w:ascii="Courier New" w:cs="Courier New" w:eastAsia="Courier New" w:hAnsi="Courier New"/>
          <w:sz w:val="18"/>
          <w:szCs w:val="18"/>
          <w:color w:val="auto"/>
        </w:rPr>
      </w:pPr>
    </w:p>
    <w:p>
      <w:pPr>
        <w:ind w:right="1879" w:firstLine="1904"/>
        <w:spacing w:after="0" w:line="275" w:lineRule="auto"/>
        <w:tabs>
          <w:tab w:leader="none" w:pos="2318"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"Sponsor"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182" w:lineRule="exact"/>
        <w:rPr>
          <w:rFonts w:ascii="Courier New" w:cs="Courier New" w:eastAsia="Courier New" w:hAnsi="Courier New"/>
          <w:sz w:val="16"/>
          <w:szCs w:val="16"/>
          <w:color w:val="auto"/>
        </w:rPr>
      </w:pPr>
    </w:p>
    <w:p>
      <w:pPr>
        <w:ind w:right="1779" w:firstLine="1904"/>
        <w:spacing w:after="0" w:line="236" w:lineRule="auto"/>
        <w:tabs>
          <w:tab w:leader="none" w:pos="231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means any business entity that, at the time in question, is a subsidiary of the Sponsor within the meaning of section 424(f) of the Code.</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 Percent Shareholder"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the Sponsor or a Subsidiary.</w:t>
      </w:r>
    </w:p>
    <w:p>
      <w:pPr>
        <w:spacing w:after="0" w:line="205" w:lineRule="exact"/>
        <w:rPr>
          <w:sz w:val="20"/>
          <w:szCs w:val="20"/>
          <w:color w:val="auto"/>
        </w:rPr>
      </w:pPr>
    </w:p>
    <w:p>
      <w:pPr>
        <w:ind w:left="2440" w:hanging="536"/>
        <w:spacing w:after="0"/>
        <w:tabs>
          <w:tab w:leader="none" w:pos="244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"Terminating Event" means any of the following events:</w:t>
      </w:r>
    </w:p>
    <w:p>
      <w:pPr>
        <w:spacing w:after="0" w:line="201" w:lineRule="exact"/>
        <w:rPr>
          <w:rFonts w:ascii="Courier New" w:cs="Courier New" w:eastAsia="Courier New" w:hAnsi="Courier New"/>
          <w:sz w:val="18"/>
          <w:szCs w:val="18"/>
          <w:color w:val="auto"/>
        </w:rPr>
      </w:pPr>
    </w:p>
    <w:p>
      <w:pPr>
        <w:ind w:left="2640" w:hanging="525"/>
        <w:spacing w:after="0"/>
        <w:tabs>
          <w:tab w:leader="none" w:pos="2640" w:val="left"/>
        </w:tabs>
        <w:numPr>
          <w:ilvl w:val="2"/>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liquidation of the Sponsor; or</w:t>
      </w:r>
    </w:p>
    <w:p>
      <w:pPr>
        <w:spacing w:after="0" w:line="201" w:lineRule="exact"/>
        <w:rPr>
          <w:rFonts w:ascii="Courier New" w:cs="Courier New" w:eastAsia="Courier New" w:hAnsi="Courier New"/>
          <w:sz w:val="18"/>
          <w:szCs w:val="18"/>
          <w:color w:val="auto"/>
        </w:rPr>
      </w:pPr>
    </w:p>
    <w:p>
      <w:pPr>
        <w:ind w:left="2640" w:hanging="525"/>
        <w:spacing w:after="0"/>
        <w:tabs>
          <w:tab w:leader="none" w:pos="2640" w:val="left"/>
        </w:tabs>
        <w:numPr>
          <w:ilvl w:val="2"/>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of Control.</w:t>
      </w:r>
    </w:p>
    <w:p>
      <w:pPr>
        <w:spacing w:after="0" w:line="206" w:lineRule="exact"/>
        <w:rPr>
          <w:rFonts w:ascii="Courier New" w:cs="Courier New" w:eastAsia="Courier New" w:hAnsi="Courier New"/>
          <w:sz w:val="18"/>
          <w:szCs w:val="18"/>
          <w:color w:val="auto"/>
        </w:rPr>
      </w:pPr>
    </w:p>
    <w:p>
      <w:pPr>
        <w:ind w:right="1779" w:firstLine="1904"/>
        <w:spacing w:after="0" w:line="238" w:lineRule="auto"/>
        <w:tabs>
          <w:tab w:leader="none" w:pos="2423"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means the Optionee's termination of employment. For purposes of the Plan and this Award, the Optionee's Termination of Employment occurs on the date the Optionee ceases to have a regular obligation to perform services for the Company, without regard to whether (i) the Optionee continues on the Company's payroll for regular, severance or other pay or (ii) the Optionee continues to participate in one or more health and welfare plans maintained by the Company on the same basis as active employees. Whether the Optionee ceases to have a regular obligation to perform services for the Company shall be determined by the Committee in its sole discretion. Notwithstanding the foregoing, if the Optionee is a party to an employment agreement or severance agreement with the Company which establishes the effective date of the Optionee's termination of employment for purposes of this Award, that date shall apply.</w:t>
      </w:r>
    </w:p>
    <w:p>
      <w:pPr>
        <w:spacing w:after="0" w:line="207" w:lineRule="exact"/>
        <w:rPr>
          <w:rFonts w:ascii="Courier New" w:cs="Courier New" w:eastAsia="Courier New" w:hAnsi="Courier New"/>
          <w:sz w:val="18"/>
          <w:szCs w:val="18"/>
          <w:color w:val="auto"/>
        </w:rPr>
      </w:pPr>
    </w:p>
    <w:p>
      <w:pPr>
        <w:ind w:right="2199" w:firstLine="1904"/>
        <w:spacing w:after="0" w:line="279" w:lineRule="auto"/>
        <w:tabs>
          <w:tab w:leader="none" w:pos="2423"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other than a Company, together with such Person's Affiliates, provided that the term "Third Party" shall not include the Sponsor or an Affiliate of the Sponsor.</w:t>
      </w:r>
    </w:p>
    <w:p>
      <w:pPr>
        <w:spacing w:after="0" w:line="178" w:lineRule="exact"/>
        <w:rPr>
          <w:rFonts w:ascii="Courier New" w:cs="Courier New" w:eastAsia="Courier New" w:hAnsi="Courier New"/>
          <w:sz w:val="16"/>
          <w:szCs w:val="16"/>
          <w:color w:val="auto"/>
        </w:rPr>
      </w:pPr>
    </w:p>
    <w:p>
      <w:pPr>
        <w:ind w:left="2440" w:hanging="536"/>
        <w:spacing w:after="0"/>
        <w:tabs>
          <w:tab w:leader="none" w:pos="244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"1933 Act" means the Securities Act of 1933, as amended.</w:t>
      </w:r>
    </w:p>
    <w:p>
      <w:pPr>
        <w:spacing w:after="0" w:line="223" w:lineRule="exact"/>
        <w:rPr>
          <w:rFonts w:ascii="Courier New" w:cs="Courier New" w:eastAsia="Courier New" w:hAnsi="Courier New"/>
          <w:sz w:val="16"/>
          <w:szCs w:val="16"/>
          <w:color w:val="auto"/>
        </w:rPr>
      </w:pPr>
    </w:p>
    <w:p>
      <w:pPr>
        <w:ind w:left="2440" w:hanging="536"/>
        <w:spacing w:after="0"/>
        <w:tabs>
          <w:tab w:leader="none" w:pos="244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"1934 Act" means the Securities Exchange Act of 1934, as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amended.</w:t>
      </w:r>
    </w:p>
    <w:p>
      <w:pPr>
        <w:spacing w:after="0" w:line="207" w:lineRule="exact"/>
        <w:rPr>
          <w:rFonts w:ascii="Courier New" w:cs="Courier New" w:eastAsia="Courier New" w:hAnsi="Courier New"/>
          <w:sz w:val="16"/>
          <w:szCs w:val="16"/>
          <w:color w:val="auto"/>
        </w:rPr>
      </w:pPr>
    </w:p>
    <w:p>
      <w:pPr>
        <w:ind w:right="1879" w:firstLine="956"/>
        <w:spacing w:after="0" w:line="236" w:lineRule="auto"/>
        <w:tabs>
          <w:tab w:leader="none" w:pos="1264"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 Subject to the terms and conditions set forth herein and in the Plan, the Sponsor hereby grants to the Optionee the Option to purchase any or all of the Shares.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46" w:name="page47"/>
    <w:bookmarkEnd w:id="46"/>
    <w:p>
      <w:pPr>
        <w:ind w:left="960"/>
        <w:spacing w:after="0"/>
        <w:rPr>
          <w:sz w:val="20"/>
          <w:szCs w:val="20"/>
          <w:color w:val="auto"/>
        </w:rPr>
      </w:pPr>
      <w:r>
        <w:rPr>
          <w:rFonts w:ascii="Courier New" w:cs="Courier New" w:eastAsia="Courier New" w:hAnsi="Courier New"/>
          <w:sz w:val="18"/>
          <w:szCs w:val="18"/>
          <w:color w:val="auto"/>
        </w:rPr>
        <w:t>3. Time of Exercise of Options.</w:t>
      </w:r>
    </w:p>
    <w:p>
      <w:pPr>
        <w:spacing w:after="0" w:line="207" w:lineRule="exact"/>
        <w:rPr>
          <w:sz w:val="20"/>
          <w:szCs w:val="20"/>
          <w:color w:val="auto"/>
        </w:rPr>
      </w:pPr>
    </w:p>
    <w:p>
      <w:pPr>
        <w:ind w:right="1779" w:firstLine="1896"/>
        <w:spacing w:after="0" w:line="279" w:lineRule="auto"/>
        <w:rPr>
          <w:sz w:val="20"/>
          <w:szCs w:val="20"/>
          <w:color w:val="auto"/>
        </w:rPr>
      </w:pPr>
      <w:r>
        <w:rPr>
          <w:rFonts w:ascii="Courier New" w:cs="Courier New" w:eastAsia="Courier New" w:hAnsi="Courier New"/>
          <w:sz w:val="16"/>
          <w:szCs w:val="16"/>
          <w:color w:val="auto"/>
        </w:rPr>
        <w:t>Except as provided in Paragraph 4, the Option may be exercised after such time or times as set forth below, and shall remain exercisable until the Expiration Date, when the right to exercise shall terminate absolutely:</w:t>
      </w:r>
    </w:p>
    <w:p>
      <w:pPr>
        <w:spacing w:after="0" w:line="178" w:lineRule="exact"/>
        <w:rPr>
          <w:sz w:val="20"/>
          <w:szCs w:val="20"/>
          <w:color w:val="auto"/>
        </w:rPr>
      </w:pPr>
    </w:p>
    <w:p>
      <w:pPr>
        <w:ind w:left="2860" w:right="1879" w:hanging="631"/>
        <w:spacing w:after="0" w:line="236" w:lineRule="auto"/>
        <w:rPr>
          <w:sz w:val="20"/>
          <w:szCs w:val="20"/>
          <w:color w:val="auto"/>
        </w:rPr>
      </w:pPr>
      <w:r>
        <w:rPr>
          <w:rFonts w:ascii="Courier New" w:cs="Courier New" w:eastAsia="Courier New" w:hAnsi="Courier New"/>
          <w:sz w:val="18"/>
          <w:szCs w:val="18"/>
          <w:color w:val="auto"/>
        </w:rPr>
        <w:t>[20%] of the Shares subject to the Option may be exercised following the second anniversary of the Date of Grant.</w:t>
      </w:r>
    </w:p>
    <w:p>
      <w:pPr>
        <w:spacing w:after="0" w:line="209" w:lineRule="exact"/>
        <w:rPr>
          <w:sz w:val="20"/>
          <w:szCs w:val="20"/>
          <w:color w:val="auto"/>
        </w:rPr>
      </w:pPr>
    </w:p>
    <w:p>
      <w:pPr>
        <w:ind w:left="2860" w:right="1779" w:hanging="631"/>
        <w:spacing w:after="0" w:line="290" w:lineRule="auto"/>
        <w:rPr>
          <w:sz w:val="20"/>
          <w:szCs w:val="20"/>
          <w:color w:val="auto"/>
        </w:rPr>
      </w:pPr>
      <w:r>
        <w:rPr>
          <w:rFonts w:ascii="Courier New" w:cs="Courier New" w:eastAsia="Courier New" w:hAnsi="Courier New"/>
          <w:sz w:val="16"/>
          <w:szCs w:val="16"/>
          <w:color w:val="auto"/>
        </w:rPr>
        <w:t>[10%] of the Shares subject to the Option may be exercised following the third anniversary of the Date of Grant.</w:t>
      </w:r>
    </w:p>
    <w:p>
      <w:pPr>
        <w:spacing w:after="0" w:line="170" w:lineRule="exact"/>
        <w:rPr>
          <w:sz w:val="20"/>
          <w:szCs w:val="20"/>
          <w:color w:val="auto"/>
        </w:rPr>
      </w:pPr>
    </w:p>
    <w:p>
      <w:pPr>
        <w:ind w:left="2860" w:right="1879" w:hanging="631"/>
        <w:spacing w:after="0" w:line="236" w:lineRule="auto"/>
        <w:rPr>
          <w:sz w:val="20"/>
          <w:szCs w:val="20"/>
          <w:color w:val="auto"/>
        </w:rPr>
      </w:pPr>
      <w:r>
        <w:rPr>
          <w:rFonts w:ascii="Courier New" w:cs="Courier New" w:eastAsia="Courier New" w:hAnsi="Courier New"/>
          <w:sz w:val="18"/>
          <w:szCs w:val="18"/>
          <w:color w:val="auto"/>
        </w:rPr>
        <w:t>[10%] of the Shares subject to the Option may be exercised following the fourth anniversary of the Date of Grant.</w:t>
      </w:r>
    </w:p>
    <w:p>
      <w:pPr>
        <w:spacing w:after="0" w:line="209" w:lineRule="exact"/>
        <w:rPr>
          <w:sz w:val="20"/>
          <w:szCs w:val="20"/>
          <w:color w:val="auto"/>
        </w:rPr>
      </w:pPr>
    </w:p>
    <w:p>
      <w:pPr>
        <w:ind w:left="2860" w:right="1779" w:hanging="631"/>
        <w:spacing w:after="0" w:line="290" w:lineRule="auto"/>
        <w:rPr>
          <w:sz w:val="20"/>
          <w:szCs w:val="20"/>
          <w:color w:val="auto"/>
        </w:rPr>
      </w:pPr>
      <w:r>
        <w:rPr>
          <w:rFonts w:ascii="Courier New" w:cs="Courier New" w:eastAsia="Courier New" w:hAnsi="Courier New"/>
          <w:sz w:val="16"/>
          <w:szCs w:val="16"/>
          <w:color w:val="auto"/>
        </w:rPr>
        <w:t>[10%] of the Shares subject to the Option may be exercised following the fifth anniversary of the Date of Grant.</w:t>
      </w:r>
    </w:p>
    <w:p>
      <w:pPr>
        <w:spacing w:after="0" w:line="170" w:lineRule="exact"/>
        <w:rPr>
          <w:sz w:val="20"/>
          <w:szCs w:val="20"/>
          <w:color w:val="auto"/>
        </w:rPr>
      </w:pPr>
    </w:p>
    <w:p>
      <w:pPr>
        <w:ind w:left="2860" w:right="1779" w:hanging="631"/>
        <w:spacing w:after="0" w:line="290" w:lineRule="auto"/>
        <w:rPr>
          <w:sz w:val="20"/>
          <w:szCs w:val="20"/>
          <w:color w:val="auto"/>
        </w:rPr>
      </w:pPr>
      <w:r>
        <w:rPr>
          <w:rFonts w:ascii="Courier New" w:cs="Courier New" w:eastAsia="Courier New" w:hAnsi="Courier New"/>
          <w:sz w:val="16"/>
          <w:szCs w:val="16"/>
          <w:color w:val="auto"/>
        </w:rPr>
        <w:t>[10%] of the Shares subject to the Option may be exercised following the sixth anniversary of the Date of Grant.</w:t>
      </w:r>
    </w:p>
    <w:p>
      <w:pPr>
        <w:spacing w:after="0" w:line="170" w:lineRule="exact"/>
        <w:rPr>
          <w:sz w:val="20"/>
          <w:szCs w:val="20"/>
          <w:color w:val="auto"/>
        </w:rPr>
      </w:pPr>
    </w:p>
    <w:p>
      <w:pPr>
        <w:ind w:left="2860" w:right="1879" w:hanging="631"/>
        <w:spacing w:after="0" w:line="236" w:lineRule="auto"/>
        <w:rPr>
          <w:sz w:val="20"/>
          <w:szCs w:val="20"/>
          <w:color w:val="auto"/>
        </w:rPr>
      </w:pPr>
      <w:r>
        <w:rPr>
          <w:rFonts w:ascii="Courier New" w:cs="Courier New" w:eastAsia="Courier New" w:hAnsi="Courier New"/>
          <w:sz w:val="18"/>
          <w:szCs w:val="18"/>
          <w:color w:val="auto"/>
        </w:rPr>
        <w:t>[10%] of the Shares subject to the Option may be exercised following the seventh anniversary of the Date of Grant.</w:t>
      </w:r>
    </w:p>
    <w:p>
      <w:pPr>
        <w:spacing w:after="0" w:line="209" w:lineRule="exact"/>
        <w:rPr>
          <w:sz w:val="20"/>
          <w:szCs w:val="20"/>
          <w:color w:val="auto"/>
        </w:rPr>
      </w:pPr>
    </w:p>
    <w:p>
      <w:pPr>
        <w:ind w:left="2860" w:right="1879" w:hanging="631"/>
        <w:spacing w:after="0" w:line="236" w:lineRule="auto"/>
        <w:rPr>
          <w:sz w:val="20"/>
          <w:szCs w:val="20"/>
          <w:color w:val="auto"/>
        </w:rPr>
      </w:pPr>
      <w:r>
        <w:rPr>
          <w:rFonts w:ascii="Courier New" w:cs="Courier New" w:eastAsia="Courier New" w:hAnsi="Courier New"/>
          <w:sz w:val="18"/>
          <w:szCs w:val="18"/>
          <w:color w:val="auto"/>
        </w:rPr>
        <w:t>[10%] of the Shares subject to the Option may be exercised following the eighth anniversary of the Date of Grant.</w:t>
      </w:r>
    </w:p>
    <w:p>
      <w:pPr>
        <w:spacing w:after="0" w:line="209" w:lineRule="exact"/>
        <w:rPr>
          <w:sz w:val="20"/>
          <w:szCs w:val="20"/>
          <w:color w:val="auto"/>
        </w:rPr>
      </w:pPr>
    </w:p>
    <w:p>
      <w:pPr>
        <w:ind w:left="2860" w:right="1779" w:hanging="631"/>
        <w:spacing w:after="0" w:line="290" w:lineRule="auto"/>
        <w:rPr>
          <w:sz w:val="20"/>
          <w:szCs w:val="20"/>
          <w:color w:val="auto"/>
        </w:rPr>
      </w:pPr>
      <w:r>
        <w:rPr>
          <w:rFonts w:ascii="Courier New" w:cs="Courier New" w:eastAsia="Courier New" w:hAnsi="Courier New"/>
          <w:sz w:val="16"/>
          <w:szCs w:val="16"/>
          <w:color w:val="auto"/>
        </w:rPr>
        <w:t>[10%] of the Shares subject to the Option may be exercised following the ninth anniversary of the Date of Grant.</w:t>
      </w:r>
    </w:p>
    <w:p>
      <w:pPr>
        <w:spacing w:after="0" w:line="170" w:lineRule="exact"/>
        <w:rPr>
          <w:sz w:val="20"/>
          <w:szCs w:val="20"/>
          <w:color w:val="auto"/>
        </w:rPr>
      </w:pPr>
    </w:p>
    <w:p>
      <w:pPr>
        <w:ind w:left="2860" w:right="1879" w:hanging="631"/>
        <w:spacing w:after="0" w:line="236" w:lineRule="auto"/>
        <w:rPr>
          <w:sz w:val="20"/>
          <w:szCs w:val="20"/>
          <w:color w:val="auto"/>
        </w:rPr>
      </w:pPr>
      <w:r>
        <w:rPr>
          <w:rFonts w:ascii="Courier New" w:cs="Courier New" w:eastAsia="Courier New" w:hAnsi="Courier New"/>
          <w:sz w:val="18"/>
          <w:szCs w:val="18"/>
          <w:color w:val="auto"/>
        </w:rPr>
        <w:t>[10%] of the Shares subject to the Option may be exercised following the nine and one-half year anniversary of the Date of Grant.</w:t>
      </w:r>
    </w:p>
    <w:p>
      <w:pPr>
        <w:spacing w:after="0" w:line="209"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No Shares subject to the Option shall first become exercisable following the Optionee's Termination of Employment for any reason other than death or Disability. All Shares subject to the Option shall vest and become exercisable upon the Optionee's Termination of Employment because of death or Disability.</w:t>
      </w:r>
    </w:p>
    <w:p>
      <w:pPr>
        <w:spacing w:after="0" w:line="177" w:lineRule="exact"/>
        <w:rPr>
          <w:sz w:val="20"/>
          <w:szCs w:val="20"/>
          <w:color w:val="auto"/>
        </w:rPr>
      </w:pPr>
    </w:p>
    <w:p>
      <w:pPr>
        <w:ind w:left="1280" w:hanging="324"/>
        <w:spacing w:after="0"/>
        <w:tabs>
          <w:tab w:leader="none" w:pos="12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Terminating Event.</w:t>
      </w:r>
    </w:p>
    <w:p>
      <w:pPr>
        <w:spacing w:after="0" w:line="206"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Sponsor shall give the Optionee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 the Optionee shall be permitted to exercise the Option to the extent the Option is then exercisable; provided that, the Sponsor may, by similar notice, require the Optionee to exercise the Option, to the extent the Option is then exercisable, or to forfeit the Option (or portion thereof, as applicable). The Committee may, in its discretion,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0" w:right="1440" w:bottom="1440" w:gutter="0" w:footer="0" w:header="0"/>
        </w:sectPr>
      </w:pPr>
    </w:p>
    <w:bookmarkStart w:id="47" w:name="page48"/>
    <w:bookmarkEnd w:id="47"/>
    <w:p>
      <w:pPr>
        <w:ind w:right="1879"/>
        <w:spacing w:after="0" w:line="237" w:lineRule="auto"/>
        <w:rPr>
          <w:sz w:val="20"/>
          <w:szCs w:val="20"/>
          <w:color w:val="auto"/>
        </w:rPr>
      </w:pPr>
      <w:r>
        <w:rPr>
          <w:rFonts w:ascii="Courier New" w:cs="Courier New" w:eastAsia="Courier New" w:hAnsi="Courier New"/>
          <w:sz w:val="18"/>
          <w:szCs w:val="18"/>
          <w:color w:val="auto"/>
        </w:rPr>
        <w:t>provide that upon the Optionee's receipt of the notice of a Terminating Event under this Paragraph 4(a), the entire number of Shares covered by Options shall become immediately exercisable. Upon the close of the period described in this Paragraph 4(a) during which an Option may be exercised in connection with a Terminating Event, such Option (including such portion thereof that is not exercisable) shall terminate to the extent that such Option has not theretofore been exercised.</w:t>
      </w:r>
    </w:p>
    <w:p>
      <w:pPr>
        <w:spacing w:after="0" w:line="211" w:lineRule="exact"/>
        <w:rPr>
          <w:sz w:val="20"/>
          <w:szCs w:val="20"/>
          <w:color w:val="auto"/>
        </w:rPr>
      </w:pPr>
    </w:p>
    <w:p>
      <w:pPr>
        <w:ind w:right="1999" w:firstLine="1904"/>
        <w:spacing w:after="0" w:line="237" w:lineRule="auto"/>
        <w:tabs>
          <w:tab w:leader="none" w:pos="2318"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Paragraph 4(a), in the event the Terminating Event is not consummated, the Option shall be deemed not to have been exercised and shall be exercisable thereafter to the extent it would have been exercisable if no such notice had been given.</w:t>
      </w:r>
    </w:p>
    <w:p>
      <w:pPr>
        <w:spacing w:after="0" w:line="207" w:lineRule="exact"/>
        <w:rPr>
          <w:rFonts w:ascii="Courier New" w:cs="Courier New" w:eastAsia="Courier New" w:hAnsi="Courier New"/>
          <w:sz w:val="18"/>
          <w:szCs w:val="18"/>
          <w:color w:val="auto"/>
        </w:rPr>
      </w:pPr>
    </w:p>
    <w:p>
      <w:pPr>
        <w:ind w:right="1779" w:firstLine="956"/>
        <w:spacing w:after="0" w:line="269" w:lineRule="auto"/>
        <w:tabs>
          <w:tab w:leader="none" w:pos="1264"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for Shares. Full payment for Shares purchased upon the exercise of an Option shall be made in cash or, at the election of the Optionee and as the Committee may, in its sole discretion, approve, by surrendering or attesting ownership of shares of Common Stock with an aggregate Fair Market Value equal to the aggregate option price, or by attesting to ownership and delivering such combination of shares and cash as the Committee may, in its sole discretion, approve; provided that ownership of shares may be attested to and shares may be surrendered in satisfaction of the option price only if the Optionee certifies in writing to the Sponsor that the Optionee owns a number of Other Available Shares as of the Date of Exercise that is at least equal to the number of shares as to which ownership has been attested or the number of shares to be surrendered in satisfaction of the Option Price, as applicable. If payment is made in whole or part by attestation of ownership, the Optionee shall attest to ownership of shares representing shares legally and beneficially owned by such Optionee, free of all liens, claims and encumbrances of every kind and having a Fair Market Value on the date of attestation that is not greater than the aggregate option price.</w:t>
      </w:r>
    </w:p>
    <w:p>
      <w:pPr>
        <w:spacing w:after="0" w:line="395" w:lineRule="exact"/>
        <w:rPr>
          <w:rFonts w:ascii="Courier New" w:cs="Courier New" w:eastAsia="Courier New" w:hAnsi="Courier New"/>
          <w:sz w:val="16"/>
          <w:szCs w:val="16"/>
          <w:color w:val="auto"/>
        </w:rPr>
      </w:pPr>
    </w:p>
    <w:p>
      <w:pPr>
        <w:ind w:right="1879" w:firstLine="956"/>
        <w:spacing w:after="0" w:line="275" w:lineRule="auto"/>
        <w:tabs>
          <w:tab w:leader="none" w:pos="1264"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Manner of Exercise. The Option shall be exercised by giving written notice of exercise in accordance with the manner proscribed by the Committee. Such notice shall be deemed to have been given when hand-delivered, telecopied or mailed, first class postage prepaid, and shall be irrevocable once given.</w:t>
      </w:r>
    </w:p>
    <w:p>
      <w:pPr>
        <w:spacing w:after="0" w:line="182" w:lineRule="exact"/>
        <w:rPr>
          <w:rFonts w:ascii="Courier New" w:cs="Courier New" w:eastAsia="Courier New" w:hAnsi="Courier New"/>
          <w:sz w:val="16"/>
          <w:szCs w:val="16"/>
          <w:color w:val="auto"/>
        </w:rPr>
      </w:pPr>
    </w:p>
    <w:p>
      <w:pPr>
        <w:ind w:right="1779" w:firstLine="956"/>
        <w:spacing w:after="0" w:line="237" w:lineRule="auto"/>
        <w:tabs>
          <w:tab w:leader="none" w:pos="1264"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 The Option may not be transferred or assigned by the Optionee otherwise than by will or the laws of descent and distribution or be exercised during his life other than by the Optionee or for his benefit by his attorney-in-fact or guardian. Any attempt at assignment, transfer, pledge or disposition of the Option contrary to the provisions hereof or the levy of any execution, attachment or similar process upon the Option shall be null and void and without effect. Any exercise of the Option by a person other than the Optionee shall be accompanied by appropriate proofs of the right of such person to exercise the Option.</w:t>
      </w:r>
    </w:p>
    <w:p>
      <w:pPr>
        <w:spacing w:after="0" w:line="213" w:lineRule="exact"/>
        <w:rPr>
          <w:rFonts w:ascii="Courier New" w:cs="Courier New" w:eastAsia="Courier New" w:hAnsi="Courier New"/>
          <w:sz w:val="18"/>
          <w:szCs w:val="18"/>
          <w:color w:val="auto"/>
        </w:rPr>
      </w:pPr>
    </w:p>
    <w:p>
      <w:pPr>
        <w:ind w:right="1779" w:firstLine="956"/>
        <w:spacing w:after="0" w:line="237" w:lineRule="auto"/>
        <w:tabs>
          <w:tab w:leader="none" w:pos="1264"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Laws. The Committee may from time to time impose any conditions on the exercise of the Option as it deems necessary or appropriate to comply with the then-existing requirements of the 1933 Act or the 1934 Act, including Rule 16b-3 (or any similar rule) of the Securities and Exchange Commission. If the listing, registration or qualification of Shares issuable on the exercise of the Option upon any securities exchange or under any federal or state law, or the consent or approval of any governmental regulatory body is necessary as a</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48" w:name="page49"/>
    <w:bookmarkEnd w:id="48"/>
    <w:p>
      <w:pPr>
        <w:ind w:right="1999"/>
        <w:spacing w:after="0" w:line="237" w:lineRule="auto"/>
        <w:rPr>
          <w:sz w:val="20"/>
          <w:szCs w:val="20"/>
          <w:color w:val="auto"/>
        </w:rPr>
      </w:pPr>
      <w:r>
        <w:rPr>
          <w:rFonts w:ascii="Courier New" w:cs="Courier New" w:eastAsia="Courier New" w:hAnsi="Courier New"/>
          <w:sz w:val="18"/>
          <w:szCs w:val="18"/>
          <w:color w:val="auto"/>
        </w:rPr>
        <w:t>condition of or in connection with the purchase of such Shares, the Sponsor shall not be obligated to issue or deliver the certificates representing the Shares otherwise issuable on the exercise of the Option unless and until such listing, registration, qualification, consent or approval shall have been effected or obtained. If registration is considered unnecessary by the Sponsor or its counsel, the Sponsor may cause a legend to be placed on such Shares calling attention to the fact that they have been acquired for investment and have not been registered.</w:t>
      </w:r>
    </w:p>
    <w:p>
      <w:pPr>
        <w:spacing w:after="0" w:line="212" w:lineRule="exact"/>
        <w:rPr>
          <w:sz w:val="20"/>
          <w:szCs w:val="20"/>
          <w:color w:val="auto"/>
        </w:rPr>
      </w:pPr>
    </w:p>
    <w:p>
      <w:pPr>
        <w:ind w:right="1879" w:firstLine="956"/>
        <w:spacing w:after="0" w:line="271" w:lineRule="auto"/>
        <w:tabs>
          <w:tab w:leader="none" w:pos="1264"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Certificate at Closing; Payment of Cash. Subject to the provisions of this Paragraph 9, the Closing Date shall occur as promptly as is feasible after the exercise of the Option. Subject to the provisions of Paragraphs 8 and 10 hereof, a certificate for the Shares issuable on the exercise of the Option shall be delivered to the Optionee or to his personal representative, heir or legatee at the Closing, provided that no certificates for Shares will be delivered to the Optionee or to his personal representative, heir or legatee unless the Option Price has been paid in full.</w:t>
      </w:r>
    </w:p>
    <w:p>
      <w:pPr>
        <w:spacing w:after="0" w:line="185"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Prior to Exercise. The Optionee shall not have any right as a stockholder with respect to any Shares subject to his Options until the Option shall have been exercised in accordance with the terms of the Plan and this Award and the Optionee shall have paid the full purchase price for the number of Shares in respect of which the Option was exercised, provided that in the event that the Optionee's Termination of Employment with the Company is for Cause, upon a determination by the Committee, the Optionee shall automatically forfeit all Shares otherwise subject to delivery upon exercise of an Option but for which the Sponsor has not yet delivered the Share certificates, upon refund by the Sponsor of the Option Price.</w:t>
      </w:r>
    </w:p>
    <w:p>
      <w:pPr>
        <w:spacing w:after="0" w:line="214" w:lineRule="exact"/>
        <w:rPr>
          <w:rFonts w:ascii="Courier New" w:cs="Courier New" w:eastAsia="Courier New" w:hAnsi="Courier New"/>
          <w:sz w:val="18"/>
          <w:szCs w:val="18"/>
          <w:color w:val="auto"/>
        </w:rPr>
      </w:pPr>
    </w:p>
    <w:p>
      <w:pPr>
        <w:ind w:right="1779" w:firstLine="956"/>
        <w:spacing w:after="0" w:line="271" w:lineRule="auto"/>
        <w:tabs>
          <w:tab w:leader="none" w:pos="1369"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Status of Option; Interpretation. The Option is intended to be a non-qualified stock option. Accordingly, it is intended that the transfer of property pursuant to the exercise of the Option be subject to federal income tax in accordance with section 83 of the Code. The Option is not intended to qualify as an incentive stock option within the meaning of section 422 of the Code. The interpretation and construction of any provision of this Option or the Plan made by the Committee shall be final and conclusive and, insofar as possible, shall be consistent with the intention expressed in this Paragraph 11.</w:t>
      </w:r>
    </w:p>
    <w:p>
      <w:pPr>
        <w:spacing w:after="0" w:line="185" w:lineRule="exact"/>
        <w:rPr>
          <w:rFonts w:ascii="Courier New" w:cs="Courier New" w:eastAsia="Courier New" w:hAnsi="Courier New"/>
          <w:sz w:val="16"/>
          <w:szCs w:val="16"/>
          <w:color w:val="auto"/>
        </w:rPr>
      </w:pPr>
    </w:p>
    <w:p>
      <w:pPr>
        <w:ind w:right="1779" w:firstLine="956"/>
        <w:spacing w:after="0" w:line="236" w:lineRule="auto"/>
        <w:tabs>
          <w:tab w:leader="none" w:pos="1369"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Not to Affect Employment. The Option granted hereunder shall not confer upon the Optionee any right to continue in service as an employee, officer or director of the Sponsor or any subsidiary of the Sponsor.</w:t>
      </w:r>
    </w:p>
    <w:p>
      <w:pPr>
        <w:spacing w:after="0" w:line="203"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for the Optionee to which notice, demands and other communications to be given or delivered under or by reason of the provisions hereof shall be the address contained in the Company's personnel records, or such other address as the Optionee may provide to the Company by written notice.</w:t>
      </w:r>
    </w:p>
    <w:p>
      <w:pPr>
        <w:spacing w:after="0" w:line="208" w:lineRule="exact"/>
        <w:rPr>
          <w:rFonts w:ascii="Courier New" w:cs="Courier New" w:eastAsia="Courier New" w:hAnsi="Courier New"/>
          <w:sz w:val="18"/>
          <w:szCs w:val="18"/>
          <w:color w:val="auto"/>
        </w:rPr>
      </w:pPr>
    </w:p>
    <w:p>
      <w:pPr>
        <w:ind w:right="1779" w:firstLine="1904"/>
        <w:spacing w:after="0" w:line="235" w:lineRule="auto"/>
        <w:tabs>
          <w:tab w:leader="none" w:pos="2318"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Award may be executed in one or more counterparts all of which taken together will constitute one and the same instrument.</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49" w:name="page50"/>
    <w:bookmarkEnd w:id="49"/>
    <w:p>
      <w:pPr>
        <w:jc w:val="both"/>
        <w:ind w:right="1779" w:firstLine="1904"/>
        <w:spacing w:after="0" w:line="236" w:lineRule="auto"/>
        <w:tabs>
          <w:tab w:leader="none" w:pos="2318"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validity, performance, construction and effect of this Award shall be governed by the laws of the Commonwealth of Pennsylvania, without giving effect to principles of conflicts of law.</w:t>
      </w:r>
    </w:p>
    <w:p>
      <w:pPr>
        <w:spacing w:after="0" w:line="208" w:lineRule="exact"/>
        <w:rPr>
          <w:rFonts w:ascii="Courier New" w:cs="Courier New" w:eastAsia="Courier New" w:hAnsi="Courier New"/>
          <w:sz w:val="18"/>
          <w:szCs w:val="18"/>
          <w:color w:val="auto"/>
        </w:rPr>
      </w:pPr>
    </w:p>
    <w:p>
      <w:pPr>
        <w:ind w:right="1999" w:firstLine="1904"/>
        <w:spacing w:after="0" w:line="270" w:lineRule="auto"/>
        <w:tabs>
          <w:tab w:leader="none" w:pos="2318"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Optionee hereby irrevocably and unconditionally consents to submit to the exclusive jurisdiction of the courts of the Commonwealth of Pennsylvania and of the United States of America, in each case located in Philadelphia, Pennsylvania, for any actions, suits or proceedings arising out of or relating to this Award and the transactions contemplated hereby ("Litigation") and agrees not to commence any Litigation except in any such court, and further agrees that service of process, summons, notice or document by U.S. registered mail to his respective address shall be effective service of process for any Litigation brought against him in any such court. Each party hereby irrevocably and unconditionally waives any objection to the laying of venue of any Litigation in the courts of the Commonwealth of Pennsylvania or of the United States of America, in each case located in Philadelphia, Pennsylvania, and hereby further irrevocably and unconditionally waives and agrees not to plead or claim in any such court that any Litigation brought in any such court has been brought in an inconvenient forum.</w:t>
      </w:r>
    </w:p>
    <w:p>
      <w:pPr>
        <w:spacing w:after="0" w:line="386"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of Taxes. Whenever the Sponsor proposes or is required to deliver or transfer Shares in connection with the exercise of the Option, the Sponsor shall have the right to (a) require the Optionee to remit to the Sponsor an amount sufficient to satisfy any federal, state and/or local withholding tax requirements prior to the delivery or transfer of any certificate or certificates for such Shares or (b) take whatever action it deems necessary to protect its interests with respect to tax liabilities.</w:t>
      </w:r>
    </w:p>
    <w:p>
      <w:pPr>
        <w:spacing w:after="0" w:line="211"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IN WITNESS WHEREOF, the Sponsor has granted this Award on the day and year first above written.</w:t>
      </w:r>
    </w:p>
    <w:p>
      <w:pPr>
        <w:spacing w:after="0" w:line="203"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5600"/>
        <w:spacing w:after="0"/>
        <w:tabs>
          <w:tab w:leader="none" w:pos="6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Lawrence S. Smith</w:t>
      </w:r>
    </w:p>
    <w:p>
      <w:pPr>
        <w:ind w:left="6540"/>
        <w:spacing w:after="0" w:line="238" w:lineRule="auto"/>
        <w:rPr>
          <w:sz w:val="20"/>
          <w:szCs w:val="20"/>
          <w:color w:val="auto"/>
        </w:rPr>
      </w:pPr>
      <w:r>
        <w:rPr>
          <w:rFonts w:ascii="Courier New" w:cs="Courier New" w:eastAsia="Courier New" w:hAnsi="Courier New"/>
          <w:sz w:val="18"/>
          <w:szCs w:val="18"/>
          <w:color w:val="auto"/>
        </w:rPr>
        <w:t>-----------------</w:t>
      </w:r>
    </w:p>
    <w:p>
      <w:pPr>
        <w:ind w:left="6540"/>
        <w:spacing w:after="0"/>
        <w:rPr>
          <w:sz w:val="20"/>
          <w:szCs w:val="20"/>
          <w:color w:val="auto"/>
        </w:rPr>
      </w:pPr>
      <w:r>
        <w:rPr>
          <w:rFonts w:ascii="Courier New" w:cs="Courier New" w:eastAsia="Courier New" w:hAnsi="Courier New"/>
          <w:sz w:val="18"/>
          <w:szCs w:val="18"/>
          <w:color w:val="auto"/>
        </w:rPr>
        <w:t>Lawrence S. Smith</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380"/>
        <w:spacing w:after="0"/>
        <w:tabs>
          <w:tab w:leader="none" w:pos="6300" w:val="left"/>
        </w:tabs>
        <w:rPr>
          <w:sz w:val="20"/>
          <w:szCs w:val="20"/>
          <w:color w:val="auto"/>
        </w:rPr>
      </w:pPr>
      <w:r>
        <w:rPr>
          <w:rFonts w:ascii="Courier New" w:cs="Courier New" w:eastAsia="Courier New" w:hAnsi="Courier New"/>
          <w:sz w:val="18"/>
          <w:szCs w:val="18"/>
          <w:color w:val="auto"/>
        </w:rPr>
        <w:t>ATTEST:</w:t>
      </w:r>
      <w:r>
        <w:rPr>
          <w:sz w:val="20"/>
          <w:szCs w:val="20"/>
          <w:color w:val="auto"/>
        </w:rPr>
        <w:tab/>
      </w:r>
      <w:r>
        <w:rPr>
          <w:rFonts w:ascii="Courier New" w:cs="Courier New" w:eastAsia="Courier New" w:hAnsi="Courier New"/>
          <w:sz w:val="16"/>
          <w:szCs w:val="16"/>
          <w:color w:val="auto"/>
        </w:rPr>
        <w:t>/s/ Arthur R. Block</w:t>
      </w:r>
    </w:p>
    <w:p>
      <w:pPr>
        <w:ind w:left="6540"/>
        <w:spacing w:after="0" w:line="238" w:lineRule="auto"/>
        <w:rPr>
          <w:sz w:val="20"/>
          <w:szCs w:val="20"/>
          <w:color w:val="auto"/>
        </w:rPr>
      </w:pPr>
      <w:r>
        <w:rPr>
          <w:rFonts w:ascii="Courier New" w:cs="Courier New" w:eastAsia="Courier New" w:hAnsi="Courier New"/>
          <w:sz w:val="18"/>
          <w:szCs w:val="18"/>
          <w:color w:val="auto"/>
        </w:rPr>
        <w:t>-----------------</w:t>
      </w:r>
    </w:p>
    <w:p>
      <w:pPr>
        <w:ind w:left="6740"/>
        <w:spacing w:after="0"/>
        <w:rPr>
          <w:sz w:val="20"/>
          <w:szCs w:val="20"/>
          <w:color w:val="auto"/>
        </w:rPr>
      </w:pPr>
      <w:r>
        <w:rPr>
          <w:rFonts w:ascii="Courier New" w:cs="Courier New" w:eastAsia="Courier New" w:hAnsi="Courier New"/>
          <w:sz w:val="18"/>
          <w:szCs w:val="18"/>
          <w:color w:val="auto"/>
        </w:rPr>
        <w:t>Arthur R. Block</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25" w:right="1440" w:bottom="1440" w:gutter="0" w:footer="0" w:header="0"/>
        </w:sectPr>
      </w:pPr>
    </w:p>
    <w:bookmarkStart w:id="50" w:name="page51"/>
    <w:bookmarkEnd w:id="50"/>
    <w:p>
      <w:pPr>
        <w:ind w:left="328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NON-QUALIFIED OPTION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1896"/>
        <w:spacing w:after="0" w:line="290" w:lineRule="auto"/>
        <w:rPr>
          <w:sz w:val="20"/>
          <w:szCs w:val="20"/>
          <w:color w:val="auto"/>
        </w:rPr>
      </w:pPr>
      <w:r>
        <w:rPr>
          <w:rFonts w:ascii="Courier New" w:cs="Courier New" w:eastAsia="Courier New" w:hAnsi="Courier New"/>
          <w:sz w:val="16"/>
          <w:szCs w:val="16"/>
          <w:color w:val="auto"/>
        </w:rPr>
        <w:t>This is a Non-Qualified Stock Option Award dated [Date] ("Award") from Comcast Corporation (the "Sponsor") to [Name] (the "Optionee").</w:t>
      </w:r>
    </w:p>
    <w:p>
      <w:pPr>
        <w:spacing w:after="0" w:line="164" w:lineRule="exact"/>
        <w:rPr>
          <w:sz w:val="20"/>
          <w:szCs w:val="20"/>
          <w:color w:val="auto"/>
        </w:rPr>
      </w:pPr>
    </w:p>
    <w:p>
      <w:pPr>
        <w:ind w:left="1280" w:hanging="324"/>
        <w:spacing w:after="0"/>
        <w:tabs>
          <w:tab w:leader="none" w:pos="128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herein:</w:t>
      </w:r>
    </w:p>
    <w:p>
      <w:pPr>
        <w:spacing w:after="0" w:line="206"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2"/>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212" w:lineRule="exact"/>
        <w:rPr>
          <w:rFonts w:ascii="Courier New" w:cs="Courier New" w:eastAsia="Courier New" w:hAnsi="Courier New"/>
          <w:sz w:val="18"/>
          <w:szCs w:val="18"/>
          <w:color w:val="auto"/>
        </w:rPr>
      </w:pPr>
    </w:p>
    <w:p>
      <w:pPr>
        <w:ind w:right="2099" w:firstLine="1904"/>
        <w:spacing w:after="0" w:line="236" w:lineRule="auto"/>
        <w:tabs>
          <w:tab w:leader="none" w:pos="2318" w:val="left"/>
        </w:tabs>
        <w:numPr>
          <w:ilvl w:val="2"/>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Transaction" means the acquisition of Comcast Cable Communications Holdings, Inc. (formerly known as AT&amp;T Broadband Corp.) by the Company.</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2"/>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Sponsor.</w:t>
      </w:r>
    </w:p>
    <w:p>
      <w:pPr>
        <w:spacing w:after="0" w:line="206" w:lineRule="exact"/>
        <w:rPr>
          <w:rFonts w:ascii="Courier New" w:cs="Courier New" w:eastAsia="Courier New" w:hAnsi="Courier New"/>
          <w:sz w:val="18"/>
          <w:szCs w:val="18"/>
          <w:color w:val="auto"/>
        </w:rPr>
      </w:pPr>
    </w:p>
    <w:p>
      <w:pPr>
        <w:ind w:right="1879" w:firstLine="1904"/>
        <w:spacing w:after="0" w:line="268" w:lineRule="auto"/>
        <w:tabs>
          <w:tab w:leader="none" w:pos="2318" w:val="left"/>
        </w:tabs>
        <w:numPr>
          <w:ilvl w:val="2"/>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 (i) fraud; (ii) misappropriation; (iii) embezzlement; (iv) gross negligence in the performance of duties; (v) self-dealing; (vi) 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provided that as to items (ix),</w:t>
      </w:r>
    </w:p>
    <w:p>
      <w:pPr>
        <w:spacing w:after="0" w:line="1" w:lineRule="exact"/>
        <w:rPr>
          <w:rFonts w:ascii="Courier New" w:cs="Courier New" w:eastAsia="Courier New" w:hAnsi="Courier New"/>
          <w:sz w:val="16"/>
          <w:szCs w:val="16"/>
          <w:color w:val="auto"/>
        </w:rPr>
      </w:pPr>
    </w:p>
    <w:p>
      <w:pPr>
        <w:ind w:right="1779" w:firstLine="8"/>
        <w:spacing w:after="0" w:line="235" w:lineRule="auto"/>
        <w:tabs>
          <w:tab w:leader="none" w:pos="421"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(xi), if capable of being cured, such event or condition remains uncured following 30 days written notice thereof.</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2"/>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of Control" means any transaction or series of transactions as a result of which any Person who was a Third Party immediately before such 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212" w:lineRule="exact"/>
        <w:rPr>
          <w:rFonts w:ascii="Courier New" w:cs="Courier New" w:eastAsia="Courier New" w:hAnsi="Courier New"/>
          <w:sz w:val="18"/>
          <w:szCs w:val="18"/>
          <w:color w:val="auto"/>
        </w:rPr>
      </w:pPr>
    </w:p>
    <w:p>
      <w:pPr>
        <w:ind w:right="1779" w:firstLine="1904"/>
        <w:spacing w:after="0" w:line="236" w:lineRule="auto"/>
        <w:tabs>
          <w:tab w:leader="none" w:pos="2318" w:val="left"/>
        </w:tabs>
        <w:numPr>
          <w:ilvl w:val="2"/>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means the closing of the acquisition and sale of the Shares as described in, and subject to the provisions of, Paragraph 9 hereof.</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2"/>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Date" means the date of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(h) "Code" means the Internal Revenue Code of 1986, as</w:t>
      </w:r>
    </w:p>
    <w:p>
      <w:pPr>
        <w:spacing w:after="0" w:line="238" w:lineRule="auto"/>
        <w:rPr>
          <w:sz w:val="20"/>
          <w:szCs w:val="20"/>
          <w:color w:val="auto"/>
        </w:rPr>
      </w:pPr>
      <w:r>
        <w:rPr>
          <w:rFonts w:ascii="Courier New" w:cs="Courier New" w:eastAsia="Courier New" w:hAnsi="Courier New"/>
          <w:sz w:val="18"/>
          <w:szCs w:val="18"/>
          <w:color w:val="auto"/>
        </w:rPr>
        <w:t>amended.</w:t>
      </w:r>
    </w:p>
    <w:p>
      <w:pPr>
        <w:spacing w:after="0" w:line="207" w:lineRule="exact"/>
        <w:rPr>
          <w:sz w:val="20"/>
          <w:szCs w:val="20"/>
          <w:color w:val="auto"/>
        </w:rPr>
      </w:pPr>
    </w:p>
    <w:p>
      <w:pPr>
        <w:ind w:right="1879" w:firstLine="1904"/>
        <w:spacing w:after="0" w:line="237" w:lineRule="auto"/>
        <w:tabs>
          <w:tab w:leader="none" w:pos="2318"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Plan" means any restricted stock, stock bonus, stock option or other compensation plan, program or arrangement established or maintained by the Sponsor or an Affiliate of the Sponsor, including but not limited to this Plan, the Comcast Corporation 2002 Stock Option Plan, the Comcast Corporation 2002 Restricted Stock Plan and the Comcast Corporation 1987 Stock Option Plan and the AT&amp;T Broadband Corp. Adjustment Plan.</w:t>
      </w:r>
    </w:p>
    <w:p>
      <w:pPr>
        <w:spacing w:after="0" w:line="209" w:lineRule="exact"/>
        <w:rPr>
          <w:rFonts w:ascii="Courier New" w:cs="Courier New" w:eastAsia="Courier New" w:hAnsi="Courier New"/>
          <w:sz w:val="18"/>
          <w:szCs w:val="18"/>
          <w:color w:val="auto"/>
        </w:rPr>
      </w:pPr>
    </w:p>
    <w:p>
      <w:pPr>
        <w:ind w:right="1779" w:firstLine="1904"/>
        <w:spacing w:after="0" w:line="235" w:lineRule="auto"/>
        <w:tabs>
          <w:tab w:leader="none" w:pos="2318"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those members of the Board who have been designated pursuant to the Plan to act in that capacity.</w:t>
      </w:r>
    </w:p>
    <w:p>
      <w:pPr>
        <w:spacing w:after="0" w:line="208" w:lineRule="exact"/>
        <w:rPr>
          <w:rFonts w:ascii="Courier New" w:cs="Courier New" w:eastAsia="Courier New" w:hAnsi="Courier New"/>
          <w:sz w:val="18"/>
          <w:szCs w:val="18"/>
          <w:color w:val="auto"/>
        </w:rPr>
      </w:pPr>
    </w:p>
    <w:p>
      <w:pPr>
        <w:jc w:val="both"/>
        <w:ind w:right="1999" w:firstLine="1904"/>
        <w:spacing w:after="0" w:line="237" w:lineRule="auto"/>
        <w:tabs>
          <w:tab w:leader="none" w:pos="2318"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Sponsor's Class A Common Stock, par value, $.01 per share. For purposes of Paragraph 1(t) and Paragraph 5, the term "Common Stock" also means the Sponsor's Class A Special Common Stock, par value, $.01 per share.</w:t>
      </w:r>
    </w:p>
    <w:p>
      <w:pPr>
        <w:spacing w:after="0" w:line="207"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the Sponsor and each of its Subsidiaries.</w:t>
      </w:r>
    </w:p>
    <w:p>
      <w:pPr>
        <w:spacing w:after="0" w:line="223" w:lineRule="exact"/>
        <w:rPr>
          <w:rFonts w:ascii="Courier New" w:cs="Courier New" w:eastAsia="Courier New" w:hAnsi="Courier New"/>
          <w:sz w:val="16"/>
          <w:szCs w:val="16"/>
          <w:color w:val="auto"/>
        </w:rPr>
      </w:pPr>
    </w:p>
    <w:p>
      <w:pPr>
        <w:ind w:right="2099" w:firstLine="1904"/>
        <w:spacing w:after="0" w:line="236" w:lineRule="auto"/>
        <w:tabs>
          <w:tab w:leader="none" w:pos="2318"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Exercise" means the date on which the notice required by Paragraph 6 hereof is hand-delivered, placed in the United States mail postage prepaid, or delivered to a telegraph or telex facility.</w:t>
      </w:r>
    </w:p>
    <w:p>
      <w:pPr>
        <w:sectPr>
          <w:pgSz w:w="11900" w:h="16838" w:orient="portrait"/>
          <w:cols w:equalWidth="0" w:num="1">
            <w:col w:w="10219"/>
          </w:cols>
          <w:pgMar w:left="240" w:top="136" w:right="1440" w:bottom="0" w:gutter="0" w:footer="0" w:header="0"/>
        </w:sectPr>
      </w:pPr>
    </w:p>
    <w:bookmarkStart w:id="51" w:name="page52"/>
    <w:bookmarkEnd w:id="51"/>
    <w:p>
      <w:pPr>
        <w:ind w:right="1999" w:firstLine="1904"/>
        <w:spacing w:after="0" w:line="235" w:lineRule="auto"/>
        <w:tabs>
          <w:tab w:leader="none" w:pos="2318"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means the date hereof, the date on which the Sponsor awarded the Option.</w:t>
      </w:r>
    </w:p>
    <w:p>
      <w:pPr>
        <w:spacing w:after="0" w:line="208" w:lineRule="exact"/>
        <w:rPr>
          <w:rFonts w:ascii="Courier New" w:cs="Courier New" w:eastAsia="Courier New" w:hAnsi="Courier New"/>
          <w:sz w:val="18"/>
          <w:szCs w:val="18"/>
          <w:color w:val="auto"/>
        </w:rPr>
      </w:pPr>
    </w:p>
    <w:p>
      <w:pPr>
        <w:ind w:right="2319" w:firstLine="1904"/>
        <w:spacing w:after="0" w:line="235" w:lineRule="auto"/>
        <w:tabs>
          <w:tab w:leader="none" w:pos="2318"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a disability within the meaning of section 22(e)(3) of the Code.</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Date" means the earliest of the following:</w:t>
      </w:r>
    </w:p>
    <w:p>
      <w:pPr>
        <w:spacing w:after="0" w:line="206" w:lineRule="exact"/>
        <w:rPr>
          <w:rFonts w:ascii="Courier New" w:cs="Courier New" w:eastAsia="Courier New" w:hAnsi="Courier New"/>
          <w:sz w:val="18"/>
          <w:szCs w:val="18"/>
          <w:color w:val="auto"/>
        </w:rPr>
      </w:pPr>
    </w:p>
    <w:p>
      <w:pPr>
        <w:ind w:left="2640" w:right="2099" w:hanging="525"/>
        <w:spacing w:after="0" w:line="237" w:lineRule="auto"/>
        <w:tabs>
          <w:tab w:leader="none" w:pos="2640"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Optionee's Termination of Employment with the Company is due to any reason other than death, Disability or Cause, the date three months following such Termination of Employment;</w:t>
      </w:r>
    </w:p>
    <w:p>
      <w:pPr>
        <w:spacing w:after="0" w:line="207" w:lineRule="exact"/>
        <w:rPr>
          <w:rFonts w:ascii="Courier New" w:cs="Courier New" w:eastAsia="Courier New" w:hAnsi="Courier New"/>
          <w:sz w:val="18"/>
          <w:szCs w:val="18"/>
          <w:color w:val="auto"/>
        </w:rPr>
      </w:pPr>
    </w:p>
    <w:p>
      <w:pPr>
        <w:ind w:left="2640" w:right="1999" w:hanging="525"/>
        <w:spacing w:after="0" w:line="236" w:lineRule="auto"/>
        <w:tabs>
          <w:tab w:leader="none" w:pos="2640"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Optionee's Termination of Employment with the Company is for Cause, the date of such Termination of Employment; or</w:t>
      </w:r>
    </w:p>
    <w:p>
      <w:pPr>
        <w:spacing w:after="0" w:line="208" w:lineRule="exact"/>
        <w:rPr>
          <w:rFonts w:ascii="Courier New" w:cs="Courier New" w:eastAsia="Courier New" w:hAnsi="Courier New"/>
          <w:sz w:val="18"/>
          <w:szCs w:val="18"/>
          <w:color w:val="auto"/>
        </w:rPr>
      </w:pPr>
    </w:p>
    <w:p>
      <w:pPr>
        <w:ind w:left="2640" w:right="2199" w:hanging="525"/>
        <w:spacing w:after="0" w:line="235" w:lineRule="auto"/>
        <w:tabs>
          <w:tab w:leader="none" w:pos="2640"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day before the tenth anniversary of the Date of Grant</w:t>
      </w:r>
    </w:p>
    <w:p>
      <w:pPr>
        <w:spacing w:after="0" w:line="208" w:lineRule="exact"/>
        <w:rPr>
          <w:rFonts w:ascii="Courier New" w:cs="Courier New" w:eastAsia="Courier New" w:hAnsi="Courier New"/>
          <w:sz w:val="18"/>
          <w:szCs w:val="18"/>
          <w:color w:val="auto"/>
        </w:rPr>
      </w:pPr>
    </w:p>
    <w:p>
      <w:pPr>
        <w:ind w:right="2419" w:firstLine="1904"/>
        <w:spacing w:after="0" w:line="235" w:lineRule="auto"/>
        <w:tabs>
          <w:tab w:leader="none" w:pos="2318"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the Fair Market Value of a Share, as determined pursuant to the Plan.</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means the option hereby granted.</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Price" means [$xx.xx] per Share, as calculated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the Plan.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44" w:right="1440" w:bottom="1440" w:gutter="0" w:footer="0" w:header="0"/>
        </w:sectPr>
      </w:pPr>
    </w:p>
    <w:bookmarkStart w:id="52" w:name="page53"/>
    <w:bookmarkEnd w:id="52"/>
    <w:p>
      <w:pPr>
        <w:jc w:val="center"/>
        <w:ind w:right="199"/>
        <w:spacing w:after="0"/>
        <w:rPr>
          <w:sz w:val="20"/>
          <w:szCs w:val="20"/>
          <w:color w:val="auto"/>
        </w:rPr>
      </w:pPr>
      <w:r>
        <w:rPr>
          <w:rFonts w:ascii="Courier New" w:cs="Courier New" w:eastAsia="Courier New" w:hAnsi="Courier New"/>
          <w:sz w:val="18"/>
          <w:szCs w:val="18"/>
          <w:color w:val="auto"/>
        </w:rPr>
        <w:t>(t) "Other Available Shares" means, as of any date, the sum</w:t>
      </w:r>
    </w:p>
    <w:p>
      <w:pPr>
        <w:spacing w:after="0" w:line="238" w:lineRule="auto"/>
        <w:rPr>
          <w:sz w:val="20"/>
          <w:szCs w:val="20"/>
          <w:color w:val="auto"/>
        </w:rPr>
      </w:pPr>
      <w:r>
        <w:rPr>
          <w:rFonts w:ascii="Courier New" w:cs="Courier New" w:eastAsia="Courier New" w:hAnsi="Courier New"/>
          <w:sz w:val="18"/>
          <w:szCs w:val="18"/>
          <w:color w:val="auto"/>
        </w:rPr>
        <w:t>of:</w:t>
      </w:r>
    </w:p>
    <w:p>
      <w:pPr>
        <w:spacing w:after="0" w:line="207" w:lineRule="exact"/>
        <w:rPr>
          <w:sz w:val="20"/>
          <w:szCs w:val="20"/>
          <w:color w:val="auto"/>
        </w:rPr>
      </w:pPr>
    </w:p>
    <w:p>
      <w:pPr>
        <w:ind w:left="2640" w:right="1779" w:hanging="525"/>
        <w:spacing w:after="0" w:line="237" w:lineRule="auto"/>
        <w:tabs>
          <w:tab w:leader="none" w:pos="2640"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number of Shares owned by an Optionee that were not acquired by such Optionee pursuant to a Comcast Plan or otherwise in connection with the performance of services to the Sponsor or an Affiliate; plus</w:t>
      </w:r>
    </w:p>
    <w:p>
      <w:pPr>
        <w:spacing w:after="0" w:line="203" w:lineRule="exact"/>
        <w:rPr>
          <w:rFonts w:ascii="Courier New" w:cs="Courier New" w:eastAsia="Courier New" w:hAnsi="Courier New"/>
          <w:sz w:val="18"/>
          <w:szCs w:val="18"/>
          <w:color w:val="auto"/>
        </w:rPr>
      </w:pPr>
    </w:p>
    <w:p>
      <w:pPr>
        <w:ind w:left="2640" w:hanging="525"/>
        <w:spacing w:after="0"/>
        <w:tabs>
          <w:tab w:leader="none" w:pos="2640"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excess, if any of:</w:t>
      </w:r>
    </w:p>
    <w:p>
      <w:pPr>
        <w:spacing w:after="0" w:line="206" w:lineRule="exact"/>
        <w:rPr>
          <w:rFonts w:ascii="Courier New" w:cs="Courier New" w:eastAsia="Courier New" w:hAnsi="Courier New"/>
          <w:sz w:val="18"/>
          <w:szCs w:val="18"/>
          <w:color w:val="auto"/>
        </w:rPr>
      </w:pPr>
    </w:p>
    <w:p>
      <w:pPr>
        <w:ind w:right="1779" w:firstLine="1904"/>
        <w:spacing w:after="0" w:line="235" w:lineRule="auto"/>
        <w:tabs>
          <w:tab w:leader="none" w:pos="231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number of Shares owned by an Optionee other than the Shares described in Paragraph 1(t)(1); over</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w:t>
      </w:r>
    </w:p>
    <w:p>
      <w:pPr>
        <w:spacing w:after="0" w:line="207" w:lineRule="exact"/>
        <w:rPr>
          <w:sz w:val="20"/>
          <w:szCs w:val="20"/>
          <w:color w:val="auto"/>
        </w:rPr>
      </w:pPr>
    </w:p>
    <w:p>
      <w:pPr>
        <w:ind w:left="2640" w:right="2099" w:hanging="525"/>
        <w:spacing w:after="0" w:line="235" w:lineRule="auto"/>
        <w:tabs>
          <w:tab w:leader="none" w:pos="26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such Shares owned by such Optionee for less than six months; plus</w:t>
      </w:r>
    </w:p>
    <w:p>
      <w:pPr>
        <w:spacing w:after="0" w:line="208" w:lineRule="exact"/>
        <w:rPr>
          <w:rFonts w:ascii="Courier New" w:cs="Courier New" w:eastAsia="Courier New" w:hAnsi="Courier New"/>
          <w:sz w:val="18"/>
          <w:szCs w:val="18"/>
          <w:color w:val="auto"/>
        </w:rPr>
      </w:pPr>
    </w:p>
    <w:p>
      <w:pPr>
        <w:ind w:left="2640" w:right="1879" w:hanging="525"/>
        <w:spacing w:after="0" w:line="273" w:lineRule="auto"/>
        <w:tabs>
          <w:tab w:leader="none" w:pos="26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Shares owned by such Optionee that has, within the preceding six months, been the subject of a withholding certification pursuant to Paragraph 15(b) of the Plan or any similar withholding certification under any other Comcast Plan; plus</w:t>
      </w:r>
    </w:p>
    <w:p>
      <w:pPr>
        <w:spacing w:after="0" w:line="184" w:lineRule="exact"/>
        <w:rPr>
          <w:rFonts w:ascii="Courier New" w:cs="Courier New" w:eastAsia="Courier New" w:hAnsi="Courier New"/>
          <w:sz w:val="16"/>
          <w:szCs w:val="16"/>
          <w:color w:val="auto"/>
        </w:rPr>
      </w:pPr>
    </w:p>
    <w:p>
      <w:pPr>
        <w:ind w:left="2640" w:right="1879" w:hanging="525"/>
        <w:spacing w:after="0" w:line="271" w:lineRule="auto"/>
        <w:tabs>
          <w:tab w:leader="none" w:pos="2745"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Shares owned by such Optionee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388" w:lineRule="exact"/>
        <w:rPr>
          <w:rFonts w:ascii="Courier New" w:cs="Courier New" w:eastAsia="Courier New" w:hAnsi="Courier New"/>
          <w:sz w:val="16"/>
          <w:szCs w:val="16"/>
          <w:color w:val="auto"/>
        </w:rPr>
      </w:pPr>
    </w:p>
    <w:p>
      <w:pPr>
        <w:ind w:left="2640" w:right="1879" w:hanging="525"/>
        <w:spacing w:after="0" w:line="237" w:lineRule="auto"/>
        <w:tabs>
          <w:tab w:leader="none" w:pos="26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such Shares owned by such Optionee as to which evidence of ownership has, within the preceding six months, been provided to the Company in connection with the crediting of "Deferred Stock Units" to such Optionee's Account under the Comcast Corporation 2002 Deferred Stock Option Plan (as in effect from time to time).</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purposes of this Paragraph 1(t), a Share that is subject to a deferral election pursuant to another Comcast Plan shall not be treated as owned by an Optionee until all conditions to the delivery of such Share have lapsed. For purposes of determining the number of Other Available Shares, the term "Shares" shall also include the securities held by a Participant immediately before the consummation of the AT&amp;T Broadband Transaction that became Common Stock as a result of the AT&amp;T Broadband Transaction.</w:t>
      </w:r>
    </w:p>
    <w:p>
      <w:pPr>
        <w:spacing w:after="0" w:line="211" w:lineRule="exact"/>
        <w:rPr>
          <w:sz w:val="20"/>
          <w:szCs w:val="20"/>
          <w:color w:val="auto"/>
        </w:rPr>
      </w:pPr>
    </w:p>
    <w:p>
      <w:pPr>
        <w:ind w:right="2519" w:firstLine="1904"/>
        <w:spacing w:after="0" w:line="290" w:lineRule="auto"/>
        <w:tabs>
          <w:tab w:leader="none" w:pos="2318"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 partnership, an association, a trust or any other entity or organization.</w:t>
      </w:r>
    </w:p>
    <w:p>
      <w:pPr>
        <w:spacing w:after="0" w:line="169" w:lineRule="exact"/>
        <w:rPr>
          <w:rFonts w:ascii="Courier New" w:cs="Courier New" w:eastAsia="Courier New" w:hAnsi="Courier New"/>
          <w:sz w:val="16"/>
          <w:szCs w:val="16"/>
          <w:color w:val="auto"/>
        </w:rPr>
      </w:pPr>
    </w:p>
    <w:p>
      <w:pPr>
        <w:ind w:right="2199" w:firstLine="1904"/>
        <w:spacing w:after="0" w:line="235" w:lineRule="auto"/>
        <w:tabs>
          <w:tab w:leader="none" w:pos="231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the Comcast Corporation 2003 Stock Option Plan,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0" w:right="1440" w:bottom="1440" w:gutter="0" w:footer="0" w:header="0"/>
        </w:sectPr>
      </w:pPr>
    </w:p>
    <w:bookmarkStart w:id="53" w:name="page54"/>
    <w:bookmarkEnd w:id="53"/>
    <w:p>
      <w:pPr>
        <w:ind w:right="1999" w:firstLine="1904"/>
        <w:spacing w:after="0" w:line="235" w:lineRule="auto"/>
        <w:tabs>
          <w:tab w:leader="none" w:pos="2318"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means the [# of shares] shares of Common Stock, which are the subject of the Option hereby granted.</w:t>
      </w:r>
    </w:p>
    <w:p>
      <w:pPr>
        <w:spacing w:after="0" w:line="208" w:lineRule="exact"/>
        <w:rPr>
          <w:rFonts w:ascii="Courier New" w:cs="Courier New" w:eastAsia="Courier New" w:hAnsi="Courier New"/>
          <w:sz w:val="18"/>
          <w:szCs w:val="18"/>
          <w:color w:val="auto"/>
        </w:rPr>
      </w:pPr>
    </w:p>
    <w:p>
      <w:pPr>
        <w:ind w:right="1879" w:firstLine="1904"/>
        <w:spacing w:after="0" w:line="275" w:lineRule="auto"/>
        <w:tabs>
          <w:tab w:leader="none" w:pos="2318"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"Sponsor"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182" w:lineRule="exact"/>
        <w:rPr>
          <w:rFonts w:ascii="Courier New" w:cs="Courier New" w:eastAsia="Courier New" w:hAnsi="Courier New"/>
          <w:sz w:val="16"/>
          <w:szCs w:val="16"/>
          <w:color w:val="auto"/>
        </w:rPr>
      </w:pPr>
    </w:p>
    <w:p>
      <w:pPr>
        <w:ind w:right="1779" w:firstLine="1904"/>
        <w:spacing w:after="0" w:line="236" w:lineRule="auto"/>
        <w:tabs>
          <w:tab w:leader="none" w:pos="2318"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means any business entity that, at the time in question, is a subsidiary of the Sponsor within the meaning of section 424(f) of the Code.</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 Percent Shareholder"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the Sponsor or a Subsidiary.</w:t>
      </w:r>
    </w:p>
    <w:p>
      <w:pPr>
        <w:spacing w:after="0" w:line="205" w:lineRule="exact"/>
        <w:rPr>
          <w:sz w:val="20"/>
          <w:szCs w:val="20"/>
          <w:color w:val="auto"/>
        </w:rPr>
      </w:pPr>
    </w:p>
    <w:p>
      <w:pPr>
        <w:ind w:left="2440" w:hanging="536"/>
        <w:spacing w:after="0"/>
        <w:tabs>
          <w:tab w:leader="none" w:pos="24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"Terminating Event" means any of the following events:</w:t>
      </w:r>
    </w:p>
    <w:p>
      <w:pPr>
        <w:spacing w:after="0" w:line="201" w:lineRule="exact"/>
        <w:rPr>
          <w:rFonts w:ascii="Courier New" w:cs="Courier New" w:eastAsia="Courier New" w:hAnsi="Courier New"/>
          <w:sz w:val="18"/>
          <w:szCs w:val="18"/>
          <w:color w:val="auto"/>
        </w:rPr>
      </w:pPr>
    </w:p>
    <w:p>
      <w:pPr>
        <w:ind w:left="2640" w:hanging="525"/>
        <w:spacing w:after="0"/>
        <w:tabs>
          <w:tab w:leader="none" w:pos="2640"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liquidation of the Sponsor; or</w:t>
      </w:r>
    </w:p>
    <w:p>
      <w:pPr>
        <w:spacing w:after="0" w:line="201" w:lineRule="exact"/>
        <w:rPr>
          <w:rFonts w:ascii="Courier New" w:cs="Courier New" w:eastAsia="Courier New" w:hAnsi="Courier New"/>
          <w:sz w:val="18"/>
          <w:szCs w:val="18"/>
          <w:color w:val="auto"/>
        </w:rPr>
      </w:pPr>
    </w:p>
    <w:p>
      <w:pPr>
        <w:ind w:left="2640" w:hanging="525"/>
        <w:spacing w:after="0"/>
        <w:tabs>
          <w:tab w:leader="none" w:pos="2640"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of Control.</w:t>
      </w:r>
    </w:p>
    <w:p>
      <w:pPr>
        <w:spacing w:after="0" w:line="206" w:lineRule="exact"/>
        <w:rPr>
          <w:rFonts w:ascii="Courier New" w:cs="Courier New" w:eastAsia="Courier New" w:hAnsi="Courier New"/>
          <w:sz w:val="18"/>
          <w:szCs w:val="18"/>
          <w:color w:val="auto"/>
        </w:rPr>
      </w:pPr>
    </w:p>
    <w:p>
      <w:pPr>
        <w:ind w:right="1779" w:firstLine="1904"/>
        <w:spacing w:after="0" w:line="238" w:lineRule="auto"/>
        <w:tabs>
          <w:tab w:leader="none" w:pos="2423"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means the Optionee's termination of employment. For purposes of the Plan and this Award, the Optionee's Termination of Employment occurs on the date the Optionee ceases to have a regular obligation to perform services for the Company, without regard to whether (i) the Optionee continues on the Company's payroll for regular, severance or other pay or (ii) the Optionee continues to participate in one or more health and welfare plans maintained by the Company on the same basis as active employees. Whether the Optionee ceases to have a regular obligation to perform services for the Company shall be determined by the Committee in its sole discretion. Notwithstanding the foregoing, if the Optionee is a party to an employment agreement or severance agreement with the Company which establishes the effective date of the Optionee's termination of employment for purposes of this Award, that date shall apply.</w:t>
      </w:r>
    </w:p>
    <w:p>
      <w:pPr>
        <w:spacing w:after="0" w:line="207" w:lineRule="exact"/>
        <w:rPr>
          <w:rFonts w:ascii="Courier New" w:cs="Courier New" w:eastAsia="Courier New" w:hAnsi="Courier New"/>
          <w:sz w:val="18"/>
          <w:szCs w:val="18"/>
          <w:color w:val="auto"/>
        </w:rPr>
      </w:pPr>
    </w:p>
    <w:p>
      <w:pPr>
        <w:ind w:right="2199" w:firstLine="1904"/>
        <w:spacing w:after="0" w:line="279" w:lineRule="auto"/>
        <w:tabs>
          <w:tab w:leader="none" w:pos="2423"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other than a Company, together with such Person's Affiliates, provided that the term "Third Party" shall not include the Sponsor or an Affiliate of the Sponsor.</w:t>
      </w:r>
    </w:p>
    <w:p>
      <w:pPr>
        <w:spacing w:after="0" w:line="178" w:lineRule="exact"/>
        <w:rPr>
          <w:rFonts w:ascii="Courier New" w:cs="Courier New" w:eastAsia="Courier New" w:hAnsi="Courier New"/>
          <w:sz w:val="16"/>
          <w:szCs w:val="16"/>
          <w:color w:val="auto"/>
        </w:rPr>
      </w:pPr>
    </w:p>
    <w:p>
      <w:pPr>
        <w:ind w:left="2440" w:hanging="536"/>
        <w:spacing w:after="0"/>
        <w:tabs>
          <w:tab w:leader="none" w:pos="244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"1933 Act" means the Securities Act of 1933, as amended.</w:t>
      </w:r>
    </w:p>
    <w:p>
      <w:pPr>
        <w:spacing w:after="0" w:line="223" w:lineRule="exact"/>
        <w:rPr>
          <w:rFonts w:ascii="Courier New" w:cs="Courier New" w:eastAsia="Courier New" w:hAnsi="Courier New"/>
          <w:sz w:val="16"/>
          <w:szCs w:val="16"/>
          <w:color w:val="auto"/>
        </w:rPr>
      </w:pPr>
    </w:p>
    <w:p>
      <w:pPr>
        <w:ind w:left="2440" w:hanging="536"/>
        <w:spacing w:after="0"/>
        <w:tabs>
          <w:tab w:leader="none" w:pos="244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"1934 Act" means the Securities Exchange Act of 1934, as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amended.</w:t>
      </w:r>
    </w:p>
    <w:p>
      <w:pPr>
        <w:spacing w:after="0" w:line="207" w:lineRule="exact"/>
        <w:rPr>
          <w:sz w:val="20"/>
          <w:szCs w:val="20"/>
          <w:color w:val="auto"/>
        </w:rPr>
      </w:pPr>
    </w:p>
    <w:p>
      <w:pPr>
        <w:jc w:val="both"/>
        <w:ind w:left="2640" w:right="2099" w:hanging="525"/>
        <w:spacing w:after="0" w:line="237" w:lineRule="auto"/>
        <w:tabs>
          <w:tab w:leader="none" w:pos="26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 Subject to the terms and conditions set forth herein and in the Plan, the Sponsor hereby grants to the Optionee the Option to purchase any or all of the Shares.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54" w:name="page55"/>
    <w:bookmarkEnd w:id="54"/>
    <w:p>
      <w:pPr>
        <w:ind w:left="2640" w:hanging="525"/>
        <w:spacing w:after="0"/>
        <w:tabs>
          <w:tab w:leader="none" w:pos="26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of Exercise of Options.</w:t>
      </w:r>
    </w:p>
    <w:p>
      <w:pPr>
        <w:spacing w:after="0" w:line="207" w:lineRule="exact"/>
        <w:rPr>
          <w:sz w:val="20"/>
          <w:szCs w:val="20"/>
          <w:color w:val="auto"/>
        </w:rPr>
      </w:pPr>
    </w:p>
    <w:p>
      <w:pPr>
        <w:ind w:right="1779" w:firstLine="1896"/>
        <w:spacing w:after="0" w:line="279" w:lineRule="auto"/>
        <w:rPr>
          <w:sz w:val="20"/>
          <w:szCs w:val="20"/>
          <w:color w:val="auto"/>
        </w:rPr>
      </w:pPr>
      <w:r>
        <w:rPr>
          <w:rFonts w:ascii="Courier New" w:cs="Courier New" w:eastAsia="Courier New" w:hAnsi="Courier New"/>
          <w:sz w:val="16"/>
          <w:szCs w:val="16"/>
          <w:color w:val="auto"/>
        </w:rPr>
        <w:t>Except as provided in Paragraph 4, the Option may be exercised after such time or times as set forth below, and shall remain exercisable until the Expiration Date, when the right to exercise shall terminate absolutely:</w:t>
      </w:r>
    </w:p>
    <w:p>
      <w:pPr>
        <w:spacing w:after="0" w:line="178" w:lineRule="exact"/>
        <w:rPr>
          <w:sz w:val="20"/>
          <w:szCs w:val="20"/>
          <w:color w:val="auto"/>
        </w:rPr>
      </w:pPr>
    </w:p>
    <w:p>
      <w:pPr>
        <w:ind w:left="2860" w:right="1879" w:hanging="631"/>
        <w:spacing w:after="0" w:line="236" w:lineRule="auto"/>
        <w:rPr>
          <w:sz w:val="20"/>
          <w:szCs w:val="20"/>
          <w:color w:val="auto"/>
        </w:rPr>
      </w:pPr>
      <w:r>
        <w:rPr>
          <w:rFonts w:ascii="Courier New" w:cs="Courier New" w:eastAsia="Courier New" w:hAnsi="Courier New"/>
          <w:sz w:val="18"/>
          <w:szCs w:val="18"/>
          <w:color w:val="auto"/>
        </w:rPr>
        <w:t>[40%] of the Shares subject to the Option may be exercised following the second anniversary of the Date of Grant.</w:t>
      </w:r>
    </w:p>
    <w:p>
      <w:pPr>
        <w:spacing w:after="0" w:line="209" w:lineRule="exact"/>
        <w:rPr>
          <w:sz w:val="20"/>
          <w:szCs w:val="20"/>
          <w:color w:val="auto"/>
        </w:rPr>
      </w:pPr>
    </w:p>
    <w:p>
      <w:pPr>
        <w:ind w:left="2860" w:right="1779" w:hanging="631"/>
        <w:spacing w:after="0" w:line="290" w:lineRule="auto"/>
        <w:rPr>
          <w:sz w:val="20"/>
          <w:szCs w:val="20"/>
          <w:color w:val="auto"/>
        </w:rPr>
      </w:pPr>
      <w:r>
        <w:rPr>
          <w:rFonts w:ascii="Courier New" w:cs="Courier New" w:eastAsia="Courier New" w:hAnsi="Courier New"/>
          <w:sz w:val="16"/>
          <w:szCs w:val="16"/>
          <w:color w:val="auto"/>
        </w:rPr>
        <w:t>[20%] of the Shares subject to the Option may be exercised following the third anniversary of the Date of Grant.</w:t>
      </w:r>
    </w:p>
    <w:p>
      <w:pPr>
        <w:spacing w:after="0" w:line="170" w:lineRule="exact"/>
        <w:rPr>
          <w:sz w:val="20"/>
          <w:szCs w:val="20"/>
          <w:color w:val="auto"/>
        </w:rPr>
      </w:pPr>
    </w:p>
    <w:p>
      <w:pPr>
        <w:ind w:left="2860" w:right="1879" w:hanging="631"/>
        <w:spacing w:after="0" w:line="236" w:lineRule="auto"/>
        <w:rPr>
          <w:sz w:val="20"/>
          <w:szCs w:val="20"/>
          <w:color w:val="auto"/>
        </w:rPr>
      </w:pPr>
      <w:r>
        <w:rPr>
          <w:rFonts w:ascii="Courier New" w:cs="Courier New" w:eastAsia="Courier New" w:hAnsi="Courier New"/>
          <w:sz w:val="18"/>
          <w:szCs w:val="18"/>
          <w:color w:val="auto"/>
        </w:rPr>
        <w:t>[20%] of the Shares subject to the Option may be exercised following the fourth anniversary of the Date of Grant.</w:t>
      </w:r>
    </w:p>
    <w:p>
      <w:pPr>
        <w:spacing w:after="0" w:line="209" w:lineRule="exact"/>
        <w:rPr>
          <w:sz w:val="20"/>
          <w:szCs w:val="20"/>
          <w:color w:val="auto"/>
        </w:rPr>
      </w:pPr>
    </w:p>
    <w:p>
      <w:pPr>
        <w:ind w:left="2860" w:right="1779" w:hanging="631"/>
        <w:spacing w:after="0" w:line="290" w:lineRule="auto"/>
        <w:rPr>
          <w:sz w:val="20"/>
          <w:szCs w:val="20"/>
          <w:color w:val="auto"/>
        </w:rPr>
      </w:pPr>
      <w:r>
        <w:rPr>
          <w:rFonts w:ascii="Courier New" w:cs="Courier New" w:eastAsia="Courier New" w:hAnsi="Courier New"/>
          <w:sz w:val="16"/>
          <w:szCs w:val="16"/>
          <w:color w:val="auto"/>
        </w:rPr>
        <w:t>[20%] of the Shares subject to the Option may be exercised following the fifth anniversary of the Date of Grant.</w:t>
      </w:r>
    </w:p>
    <w:p>
      <w:pPr>
        <w:spacing w:after="0" w:line="170"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No Shares subject to the Option shall first become exercisable following the Optionee's Termination of Employment for any reason other than death or Disability. All Shares subject to the Option shall vest and become exercisable upon the Optionee's Termination of Employment because of death or Disability.</w:t>
      </w:r>
    </w:p>
    <w:p>
      <w:pPr>
        <w:spacing w:after="0" w:line="177" w:lineRule="exact"/>
        <w:rPr>
          <w:sz w:val="20"/>
          <w:szCs w:val="20"/>
          <w:color w:val="auto"/>
        </w:rPr>
      </w:pPr>
    </w:p>
    <w:p>
      <w:pPr>
        <w:ind w:left="1280" w:hanging="324"/>
        <w:spacing w:after="0"/>
        <w:tabs>
          <w:tab w:leader="none" w:pos="128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Terminating Event.</w:t>
      </w:r>
    </w:p>
    <w:p>
      <w:pPr>
        <w:spacing w:after="0" w:line="206" w:lineRule="exact"/>
        <w:rPr>
          <w:rFonts w:ascii="Courier New" w:cs="Courier New" w:eastAsia="Courier New" w:hAnsi="Courier New"/>
          <w:sz w:val="18"/>
          <w:szCs w:val="18"/>
          <w:color w:val="auto"/>
        </w:rPr>
      </w:pPr>
    </w:p>
    <w:p>
      <w:pPr>
        <w:ind w:right="1779" w:firstLine="1904"/>
        <w:spacing w:after="0" w:line="269" w:lineRule="auto"/>
        <w:tabs>
          <w:tab w:leader="none" w:pos="2318"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Sponsor shall give the Optionee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 the Optionee shall be permitted to exercise the Option to the extent the Option is then exercisable; provided that,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4(a), the entire number of Shares covered by Options shall become immediately exercisable. Upon the close of the period described in this Paragraph 4(a) during which an Option may be exercised in connection with a Terminating Event, such Option (including such portion thereof that is not exercisable) shall terminate to the extent that such Option has not theretofore been exercised.</w:t>
      </w:r>
    </w:p>
    <w:p>
      <w:pPr>
        <w:spacing w:after="0" w:line="396" w:lineRule="exact"/>
        <w:rPr>
          <w:rFonts w:ascii="Courier New" w:cs="Courier New" w:eastAsia="Courier New" w:hAnsi="Courier New"/>
          <w:sz w:val="16"/>
          <w:szCs w:val="16"/>
          <w:color w:val="auto"/>
        </w:rPr>
      </w:pPr>
    </w:p>
    <w:p>
      <w:pPr>
        <w:ind w:right="1999" w:firstLine="1904"/>
        <w:spacing w:after="0" w:line="237" w:lineRule="auto"/>
        <w:tabs>
          <w:tab w:leader="none" w:pos="2318"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Paragraph 4(a), in the event the Terminating Event is not consummated, the Option shall be deemed not to have been exercised and shall be exercisable thereafter to the extent it would have been exercisable if no such notice had been given.</w:t>
      </w:r>
    </w:p>
    <w:p>
      <w:pPr>
        <w:spacing w:after="0" w:line="207" w:lineRule="exact"/>
        <w:rPr>
          <w:rFonts w:ascii="Courier New" w:cs="Courier New" w:eastAsia="Courier New" w:hAnsi="Courier New"/>
          <w:sz w:val="18"/>
          <w:szCs w:val="18"/>
          <w:color w:val="auto"/>
        </w:rPr>
      </w:pPr>
    </w:p>
    <w:p>
      <w:pPr>
        <w:ind w:right="1879" w:firstLine="956"/>
        <w:spacing w:after="0" w:line="237" w:lineRule="auto"/>
        <w:tabs>
          <w:tab w:leader="none" w:pos="1264"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for Shares. Full payment for Shares purchased upon the exercise of an Option shall be made in cash or, at the election of the Optionee and as the Committee may, in its sole discretion, approve, by surrendering or attesting ownership of shares of Common</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19" w:right="1440" w:bottom="1440" w:gutter="0" w:footer="0" w:header="0"/>
        </w:sectPr>
      </w:pPr>
    </w:p>
    <w:bookmarkStart w:id="55" w:name="page56"/>
    <w:bookmarkEnd w:id="55"/>
    <w:p>
      <w:pPr>
        <w:ind w:right="1779"/>
        <w:spacing w:after="0" w:line="270" w:lineRule="auto"/>
        <w:rPr>
          <w:sz w:val="20"/>
          <w:szCs w:val="20"/>
          <w:color w:val="auto"/>
        </w:rPr>
      </w:pPr>
      <w:r>
        <w:rPr>
          <w:rFonts w:ascii="Courier New" w:cs="Courier New" w:eastAsia="Courier New" w:hAnsi="Courier New"/>
          <w:sz w:val="16"/>
          <w:szCs w:val="16"/>
          <w:color w:val="auto"/>
        </w:rPr>
        <w:t>Stock with an aggregate Fair Market Value equal to the aggregate option price, or by attesting to ownership and delivering such combination of shares and cash as the Committee may, in its sole discretion, approve; provided that ownership of shares may be attested to and shares may be surrendered in satisfaction of the option price only if the Optionee certifies in writing to the Sponsor that the Optionee owns a number of Other Available Shares as of the Date of Exercise that is at least equal to the number of shares as to which ownership has been attested or the number of shares to be surrendered in satisfaction of the Option Price, as applicable. If payment is made in whole or part by attestation of ownership, the Optionee shall attest to ownership of shares representing shares legally and beneficially owned by such Optionee, free of all liens, claims and encumbrances of every kind and having a Fair Market Value on the date of attestation that is not greater than the aggregate option price.</w:t>
      </w:r>
    </w:p>
    <w:p>
      <w:pPr>
        <w:spacing w:after="0" w:line="389" w:lineRule="exact"/>
        <w:rPr>
          <w:sz w:val="20"/>
          <w:szCs w:val="20"/>
          <w:color w:val="auto"/>
        </w:rPr>
      </w:pPr>
    </w:p>
    <w:p>
      <w:pPr>
        <w:ind w:right="1879" w:firstLine="956"/>
        <w:spacing w:after="0" w:line="275" w:lineRule="auto"/>
        <w:tabs>
          <w:tab w:leader="none" w:pos="1264"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Manner of Exercise. The Option shall be exercised by giving written notice of exercise in accordance with the manner proscribed by the Committee. Such notice shall be deemed to have been given when hand-delivered, telecopied or mailed, first class postage prepaid, and shall be irrevocable once given.</w:t>
      </w:r>
    </w:p>
    <w:p>
      <w:pPr>
        <w:spacing w:after="0" w:line="182" w:lineRule="exact"/>
        <w:rPr>
          <w:rFonts w:ascii="Courier New" w:cs="Courier New" w:eastAsia="Courier New" w:hAnsi="Courier New"/>
          <w:sz w:val="16"/>
          <w:szCs w:val="16"/>
          <w:color w:val="auto"/>
        </w:rPr>
      </w:pPr>
    </w:p>
    <w:p>
      <w:pPr>
        <w:ind w:right="1779" w:firstLine="956"/>
        <w:spacing w:after="0" w:line="237" w:lineRule="auto"/>
        <w:tabs>
          <w:tab w:leader="none" w:pos="1264"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 The Option may not be transferred or assigned by the Optionee otherwise than by will or the laws of descent and distribution or be exercised during his life other than by the Optionee or for his benefit by his attorney-in-fact or guardian. Any attempt at assignment, transfer, pledge or disposition of the Option contrary to the provisions hereof or the levy of any execution, attachment or similar process upon the Option shall be null and void and without effect. Any exercise of the Option by a person other than the Optionee shall be accompanied by appropriate proofs of the right of such person to exercise the Option.</w:t>
      </w:r>
    </w:p>
    <w:p>
      <w:pPr>
        <w:spacing w:after="0" w:line="213" w:lineRule="exact"/>
        <w:rPr>
          <w:rFonts w:ascii="Courier New" w:cs="Courier New" w:eastAsia="Courier New" w:hAnsi="Courier New"/>
          <w:sz w:val="18"/>
          <w:szCs w:val="18"/>
          <w:color w:val="auto"/>
        </w:rPr>
      </w:pPr>
    </w:p>
    <w:p>
      <w:pPr>
        <w:ind w:right="1779" w:firstLine="956"/>
        <w:spacing w:after="0" w:line="270" w:lineRule="auto"/>
        <w:tabs>
          <w:tab w:leader="none" w:pos="1264"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Laws. The Committee may from time to time impose any conditions on the exercise of the Option as it deems necessary or appropriate to comply with the then-existing requirements of the 1933 Act or the 1934 Act, including Rule 16b-3 (or any similar rule) of the Securities and Exchange Commission. If the listing, registration or qualification of Shares issuable on the exercise of the Option upon any securities exchange or under any federal or state law, or the consent or approval of any governmental regulatory body is necessary as a condition of or in connection with the purchase of such Shares, the Sponsor shall not be obligated to issue or deliver the certificates representing the Shares otherwise issuable on the exercise of the Option unless and until such listing, registration, qualification, consent or approval shall have been effected or obtained. If registration is considered unnecessary by the Sponsor or its counsel, the Sponsor may cause a legend to be placed on such Shares calling attention to the fact that they have been acquired for investment and have not been registered.</w:t>
      </w:r>
    </w:p>
    <w:p>
      <w:pPr>
        <w:spacing w:after="0" w:line="386" w:lineRule="exact"/>
        <w:rPr>
          <w:rFonts w:ascii="Courier New" w:cs="Courier New" w:eastAsia="Courier New" w:hAnsi="Courier New"/>
          <w:sz w:val="16"/>
          <w:szCs w:val="16"/>
          <w:color w:val="auto"/>
        </w:rPr>
      </w:pPr>
    </w:p>
    <w:p>
      <w:pPr>
        <w:ind w:right="1879" w:firstLine="956"/>
        <w:spacing w:after="0" w:line="271" w:lineRule="auto"/>
        <w:tabs>
          <w:tab w:leader="none" w:pos="1264"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Certificate at Closing; Payment of Cash. Subject to the provisions of this Paragraph 9, the Closing Date shall occur as promptly as is feasible after the exercise of the Option. Subject to the provisions of Paragraphs 8 and 10 hereof, a certificate for the Shares issuable on the exercise of the Option shall be delivered to the Optionee or to his personal representative, heir or legatee at the Closing, provided that no certificates for Shares will be delivered to the Optionee or to his personal representative, heir or legatee unless the Option Price has been paid in full.</w:t>
      </w:r>
    </w:p>
    <w:p>
      <w:pPr>
        <w:spacing w:after="0" w:line="200" w:lineRule="exact"/>
        <w:rPr>
          <w:sz w:val="20"/>
          <w:szCs w:val="20"/>
          <w:color w:val="auto"/>
        </w:rPr>
      </w:pP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56" w:name="page57"/>
    <w:bookmarkEnd w:id="56"/>
    <w:p>
      <w:pPr>
        <w:ind w:left="-956" w:right="1779" w:firstLine="956"/>
        <w:spacing w:after="0" w:line="237" w:lineRule="auto"/>
        <w:tabs>
          <w:tab w:leader="none" w:pos="413"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Prior to Exercise. The Optionee shall not have any right as a stockholder with respect to any Shares subject to his Options until the Option shall have been exercised in accordance with the terms of the Plan and this Award and the Optionee shall have paid the full purchase price for the number of Shares in respect of which the Option was exercised, provided that in the event that the Optionee's Termination of Employment with the Company is for Cause, upon a determination by the Committee, the Optionee shall automatically forfeit all Shares otherwise subject to delivery upon exercise of an Option but for which the Sponsor has not yet delivered the Share certificates, upon refund by the Sponsor of the Option Price.</w:t>
      </w:r>
    </w:p>
    <w:p>
      <w:pPr>
        <w:spacing w:after="0" w:line="214" w:lineRule="exact"/>
        <w:rPr>
          <w:rFonts w:ascii="Courier New" w:cs="Courier New" w:eastAsia="Courier New" w:hAnsi="Courier New"/>
          <w:sz w:val="18"/>
          <w:szCs w:val="18"/>
          <w:color w:val="auto"/>
        </w:rPr>
      </w:pPr>
    </w:p>
    <w:p>
      <w:pPr>
        <w:ind w:left="-956" w:right="1779" w:firstLine="956"/>
        <w:spacing w:after="0" w:line="271" w:lineRule="auto"/>
        <w:tabs>
          <w:tab w:leader="none" w:pos="413"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Status of Option; Interpretation. The Option is intended to be a non-qualified stock option. Accordingly, it is intended that the transfer of property pursuant to the exercise of the Option be subject to federal income tax in accordance with section 83 of the Code. The Option is not intended to qualify as an incentive stock option within the meaning of section 422 of the Code. The interpretation and construction of any provision of this Option or the Plan made by the Committee shall be final and conclusive and, insofar as possible, shall be consistent with the intention expressed in this Paragraph 11.</w:t>
      </w:r>
    </w:p>
    <w:p>
      <w:pPr>
        <w:spacing w:after="0" w:line="185" w:lineRule="exact"/>
        <w:rPr>
          <w:rFonts w:ascii="Courier New" w:cs="Courier New" w:eastAsia="Courier New" w:hAnsi="Courier New"/>
          <w:sz w:val="16"/>
          <w:szCs w:val="16"/>
          <w:color w:val="auto"/>
        </w:rPr>
      </w:pPr>
    </w:p>
    <w:p>
      <w:pPr>
        <w:ind w:left="-956" w:right="1779" w:firstLine="956"/>
        <w:spacing w:after="0" w:line="236" w:lineRule="auto"/>
        <w:tabs>
          <w:tab w:leader="none" w:pos="413"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Not to Affect Employment. The Option granted hereunder shall not confer upon the Optionee any right to continue in service as an employee, officer or director of the Sponsor or any subsidiary of the Sponsor.</w:t>
      </w:r>
    </w:p>
    <w:p>
      <w:pPr>
        <w:spacing w:after="0" w:line="203" w:lineRule="exact"/>
        <w:rPr>
          <w:rFonts w:ascii="Courier New" w:cs="Courier New" w:eastAsia="Courier New" w:hAnsi="Courier New"/>
          <w:sz w:val="18"/>
          <w:szCs w:val="18"/>
          <w:color w:val="auto"/>
        </w:rPr>
      </w:pPr>
    </w:p>
    <w:p>
      <w:pPr>
        <w:ind w:left="424" w:hanging="424"/>
        <w:spacing w:after="0"/>
        <w:tabs>
          <w:tab w:leader="none" w:pos="424"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left="-956" w:right="1879" w:firstLine="1904"/>
        <w:spacing w:after="0" w:line="237" w:lineRule="auto"/>
        <w:tabs>
          <w:tab w:leader="none" w:pos="1361"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for the Optionee to which notice, demands and other communications to be given or delivered under or by reason of the provisions hereof shall be the address contained in the Company's personnel records, or such other address as the Optionee may provide to the Company by written notice.</w:t>
      </w:r>
    </w:p>
    <w:p>
      <w:pPr>
        <w:spacing w:after="0" w:line="208" w:lineRule="exact"/>
        <w:rPr>
          <w:rFonts w:ascii="Courier New" w:cs="Courier New" w:eastAsia="Courier New" w:hAnsi="Courier New"/>
          <w:sz w:val="18"/>
          <w:szCs w:val="18"/>
          <w:color w:val="auto"/>
        </w:rPr>
      </w:pPr>
    </w:p>
    <w:p>
      <w:pPr>
        <w:ind w:left="-956" w:right="1779" w:firstLine="1904"/>
        <w:spacing w:after="0" w:line="235" w:lineRule="auto"/>
        <w:tabs>
          <w:tab w:leader="none" w:pos="1361"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Award may be executed in one or more counterparts all of which taken together will constitute one and the same instrument.</w:t>
      </w:r>
    </w:p>
    <w:p>
      <w:pPr>
        <w:spacing w:after="0" w:line="208" w:lineRule="exact"/>
        <w:rPr>
          <w:rFonts w:ascii="Courier New" w:cs="Courier New" w:eastAsia="Courier New" w:hAnsi="Courier New"/>
          <w:sz w:val="18"/>
          <w:szCs w:val="18"/>
          <w:color w:val="auto"/>
        </w:rPr>
      </w:pPr>
    </w:p>
    <w:p>
      <w:pPr>
        <w:jc w:val="both"/>
        <w:ind w:left="-956" w:right="1779" w:firstLine="1904"/>
        <w:spacing w:after="0" w:line="236" w:lineRule="auto"/>
        <w:tabs>
          <w:tab w:leader="none" w:pos="1361"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validity, performance, construction and effect of this Award shall be governed by the laws of the Commonwealth of Pennsylvania, without giving effect to principles of conflicts of law.</w:t>
      </w:r>
    </w:p>
    <w:p>
      <w:pPr>
        <w:spacing w:after="0" w:line="208" w:lineRule="exact"/>
        <w:rPr>
          <w:rFonts w:ascii="Courier New" w:cs="Courier New" w:eastAsia="Courier New" w:hAnsi="Courier New"/>
          <w:sz w:val="18"/>
          <w:szCs w:val="18"/>
          <w:color w:val="auto"/>
        </w:rPr>
      </w:pPr>
    </w:p>
    <w:p>
      <w:pPr>
        <w:ind w:left="-956" w:right="1999" w:firstLine="1904"/>
        <w:spacing w:after="0" w:line="270" w:lineRule="auto"/>
        <w:tabs>
          <w:tab w:leader="none" w:pos="1361"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Optionee hereby irrevocably and unconditionally consents to submit to the exclusive jurisdiction of the courts of the Commonwealth of Pennsylvania and of the United States of America, in each case located in Philadelphia, Pennsylvania, for any actions, suits or proceedings arising out of or relating to this Award and the transactions contemplated hereby ("Litigation") and agrees not to commence any Litigation except in any such court, and further agrees that service of process, summons, notice or document by U.S. registered mail to his respective address shall be effective service of process for any Litigation brought against him in any such court. Each party hereby irrevocably and unconditionally waives any objection to the laying of venue of any Litigation in the courts of the Commonwealth of Pennsylvania or of the United States of America, in each case located in Philadelphia, Pennsylvania, and hereby</w:t>
      </w:r>
    </w:p>
    <w:p>
      <w:pPr>
        <w:spacing w:after="0" w:line="200" w:lineRule="exact"/>
        <w:rPr>
          <w:sz w:val="20"/>
          <w:szCs w:val="20"/>
          <w:color w:val="auto"/>
        </w:rPr>
      </w:pPr>
    </w:p>
    <w:p>
      <w:pPr>
        <w:spacing w:after="0" w:line="386"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263"/>
          </w:cols>
          <w:pgMar w:left="1196" w:top="925" w:right="1440" w:bottom="1440" w:gutter="0" w:footer="0" w:header="0"/>
        </w:sectPr>
      </w:pPr>
    </w:p>
    <w:bookmarkStart w:id="57" w:name="page58"/>
    <w:bookmarkEnd w:id="57"/>
    <w:p>
      <w:pPr>
        <w:ind w:right="1779"/>
        <w:spacing w:after="0" w:line="236" w:lineRule="auto"/>
        <w:rPr>
          <w:sz w:val="20"/>
          <w:szCs w:val="20"/>
          <w:color w:val="auto"/>
        </w:rPr>
      </w:pPr>
      <w:r>
        <w:rPr>
          <w:rFonts w:ascii="Courier New" w:cs="Courier New" w:eastAsia="Courier New" w:hAnsi="Courier New"/>
          <w:sz w:val="18"/>
          <w:szCs w:val="18"/>
          <w:color w:val="auto"/>
        </w:rPr>
        <w:t>further irrevocably and unconditionally waives and agrees not to plead or claim in any such court that any Litigation brought in any such court has been brought in an inconvenient forum.</w:t>
      </w:r>
    </w:p>
    <w:p>
      <w:pPr>
        <w:spacing w:after="0" w:line="209" w:lineRule="exact"/>
        <w:rPr>
          <w:sz w:val="20"/>
          <w:szCs w:val="20"/>
          <w:color w:val="auto"/>
        </w:rPr>
      </w:pPr>
    </w:p>
    <w:p>
      <w:pPr>
        <w:ind w:right="1779" w:firstLine="956"/>
        <w:spacing w:after="0" w:line="237" w:lineRule="auto"/>
        <w:tabs>
          <w:tab w:leader="none" w:pos="1369"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of Taxes. Whenever the Sponsor proposes or is required to deliver or transfer Shares in connection with the exercise of the Option, the Sponsor shall have the right to (a) require the Optionee to remit to the Sponsor an amount sufficient to satisfy any federal, state and/or local withholding tax requirements prior to the delivery or transfer of any certificate or certificates for such Shares or (b) take whatever action it deems necessary to protect its interests with respect to tax liabilities.</w:t>
      </w:r>
    </w:p>
    <w:p>
      <w:pPr>
        <w:spacing w:after="0" w:line="211"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IN WITNESS WHEREOF, the Sponsor has granted this Award on the day and year first above written.</w:t>
      </w:r>
    </w:p>
    <w:p>
      <w:pPr>
        <w:spacing w:after="0" w:line="203"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BY: /s/ Lawrence S. Smith</w:t>
      </w:r>
    </w:p>
    <w:p>
      <w:pPr>
        <w:ind w:left="6320"/>
        <w:spacing w:after="0" w:line="238" w:lineRule="auto"/>
        <w:rPr>
          <w:sz w:val="20"/>
          <w:szCs w:val="20"/>
          <w:color w:val="auto"/>
        </w:rPr>
      </w:pPr>
      <w:r>
        <w:rPr>
          <w:rFonts w:ascii="Courier New" w:cs="Courier New" w:eastAsia="Courier New" w:hAnsi="Courier New"/>
          <w:sz w:val="18"/>
          <w:szCs w:val="18"/>
          <w:color w:val="auto"/>
        </w:rPr>
        <w:t>-----------------</w:t>
      </w:r>
    </w:p>
    <w:p>
      <w:pPr>
        <w:ind w:left="6320"/>
        <w:spacing w:after="0"/>
        <w:rPr>
          <w:sz w:val="20"/>
          <w:szCs w:val="20"/>
          <w:color w:val="auto"/>
        </w:rPr>
      </w:pPr>
      <w:r>
        <w:rPr>
          <w:rFonts w:ascii="Courier New" w:cs="Courier New" w:eastAsia="Courier New" w:hAnsi="Courier New"/>
          <w:sz w:val="18"/>
          <w:szCs w:val="18"/>
          <w:color w:val="auto"/>
        </w:rPr>
        <w:t>Lawrence S. Smith</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ATTEST: /s/ Arthur R. Block</w:t>
      </w:r>
    </w:p>
    <w:p>
      <w:pPr>
        <w:ind w:left="6540"/>
        <w:spacing w:after="0" w:line="238" w:lineRule="auto"/>
        <w:rPr>
          <w:sz w:val="20"/>
          <w:szCs w:val="20"/>
          <w:color w:val="auto"/>
        </w:rPr>
      </w:pPr>
      <w:r>
        <w:rPr>
          <w:rFonts w:ascii="Courier New" w:cs="Courier New" w:eastAsia="Courier New" w:hAnsi="Courier New"/>
          <w:sz w:val="18"/>
          <w:szCs w:val="18"/>
          <w:color w:val="auto"/>
        </w:rPr>
        <w:t>---------------</w:t>
      </w:r>
    </w:p>
    <w:p>
      <w:pPr>
        <w:ind w:left="6540"/>
        <w:spacing w:after="0"/>
        <w:rPr>
          <w:sz w:val="20"/>
          <w:szCs w:val="20"/>
          <w:color w:val="auto"/>
        </w:rPr>
      </w:pPr>
      <w:r>
        <w:rPr>
          <w:rFonts w:ascii="Courier New" w:cs="Courier New" w:eastAsia="Courier New" w:hAnsi="Courier New"/>
          <w:sz w:val="18"/>
          <w:szCs w:val="18"/>
          <w:color w:val="auto"/>
        </w:rPr>
        <w:t>Arthur R. Block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128" w:right="1440" w:bottom="1440" w:gutter="0" w:footer="0" w:header="0"/>
        </w:sectPr>
      </w:pPr>
    </w:p>
    <w:bookmarkStart w:id="58" w:name="page59"/>
    <w:bookmarkEnd w:id="58"/>
    <w:p>
      <w:pPr>
        <w:spacing w:after="0"/>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t>REPORT OF INDEPENDENT REGISTERED PUBLIC ACCOUNTING FIRM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Board of Directors and Stockholders</w:t>
      </w:r>
    </w:p>
    <w:p>
      <w:pPr>
        <w:spacing w:after="0" w:line="238" w:lineRule="auto"/>
        <w:rPr>
          <w:sz w:val="20"/>
          <w:szCs w:val="20"/>
          <w:color w:val="auto"/>
        </w:rPr>
      </w:pPr>
      <w:r>
        <w:rPr>
          <w:rFonts w:ascii="Arial" w:cs="Arial" w:eastAsia="Arial" w:hAnsi="Arial"/>
          <w:sz w:val="22"/>
          <w:szCs w:val="22"/>
          <w:color w:val="auto"/>
        </w:rPr>
        <w:t>Comcast Corporation</w:t>
      </w:r>
    </w:p>
    <w:p>
      <w:pPr>
        <w:spacing w:after="0"/>
        <w:rPr>
          <w:sz w:val="20"/>
          <w:szCs w:val="20"/>
          <w:color w:val="auto"/>
        </w:rPr>
      </w:pPr>
      <w:r>
        <w:rPr>
          <w:rFonts w:ascii="Arial" w:cs="Arial" w:eastAsia="Arial" w:hAnsi="Arial"/>
          <w:sz w:val="22"/>
          <w:szCs w:val="22"/>
          <w:color w:val="auto"/>
        </w:rPr>
        <w:t>Philadelphia, Pennsylvania</w:t>
      </w:r>
    </w:p>
    <w:p>
      <w:pPr>
        <w:spacing w:after="0" w:line="188"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We have audited the accompanying consolidated balance sheet of Comcast Corporation and its subsidiaries (the “Company”) as of December 31, 2003 and 2002, and the related consolidated statements of operations, stockholders’ equity and cash flows for each of the three years in the period ended December 31, 2003.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In our opinion, such consolidated financial statements present fairly, in all material respects, the financial position of Comcast Corporation and its subsidiaries as of December 31, 2003 and 2002, and the results of their operations and their cash flows for each of the three years in the period ended December 31, 2003, in conformity with accounting principles generally accepted in the United States of America.</w:t>
      </w:r>
    </w:p>
    <w:p>
      <w:pPr>
        <w:spacing w:after="0" w:line="185" w:lineRule="exact"/>
        <w:rPr>
          <w:sz w:val="20"/>
          <w:szCs w:val="20"/>
          <w:color w:val="auto"/>
        </w:rPr>
      </w:pPr>
    </w:p>
    <w:p>
      <w:pPr>
        <w:ind w:right="220"/>
        <w:spacing w:after="0" w:line="297" w:lineRule="auto"/>
        <w:rPr>
          <w:rFonts w:ascii="Arial" w:cs="Arial" w:eastAsia="Arial" w:hAnsi="Arial"/>
          <w:sz w:val="19"/>
          <w:szCs w:val="19"/>
          <w:color w:val="auto"/>
        </w:rPr>
      </w:pPr>
      <w:r>
        <w:rPr>
          <w:rFonts w:ascii="Arial" w:cs="Arial" w:eastAsia="Arial" w:hAnsi="Arial"/>
          <w:sz w:val="19"/>
          <w:szCs w:val="19"/>
          <w:color w:val="auto"/>
        </w:rPr>
        <w:t xml:space="preserve">As discussed in </w:t>
      </w:r>
      <w:hyperlink w:anchor="page64">
        <w:r>
          <w:rPr>
            <w:rFonts w:ascii="Arial" w:cs="Arial" w:eastAsia="Arial" w:hAnsi="Arial"/>
            <w:sz w:val="19"/>
            <w:szCs w:val="19"/>
            <w:u w:val="single" w:color="auto"/>
            <w:color w:val="0000EE"/>
          </w:rPr>
          <w:t>Note 2</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to the consolidated financial statements, the Company adopted Statement of Financial Accounting Standards No. 133, “Accounting for Derivative Instruments and Hedging Activities,” as amended, effective January 1, 2001, and Statement of Financial Accounting Standards No. 142, “Goodwill and Other Intangible Assets,” effective January 1, 2002.</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Deloitte &amp; Touche LLP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Philadelphia, Pennsylvania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11, 2004 (August 31, 2004 as to Notes 14 and 16)</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160" w:type="dxa"/>
            <w:vAlign w:val="bottom"/>
            <w:gridSpan w:val="3"/>
          </w:tcPr>
          <w:p>
            <w:pPr>
              <w:spacing w:after="0"/>
              <w:rPr>
                <w:sz w:val="20"/>
                <w:szCs w:val="20"/>
                <w:color w:val="auto"/>
              </w:rPr>
            </w:pPr>
            <w:r>
              <w:rPr>
                <w:rFonts w:ascii="Arial" w:cs="Arial" w:eastAsia="Arial" w:hAnsi="Arial"/>
                <w:sz w:val="22"/>
                <w:szCs w:val="22"/>
                <w:color w:val="auto"/>
              </w:rPr>
              <w:t>COMCAST CORPORATION AND SUBSIDIARIES</w:t>
            </w: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466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CONSOLIDATED BALANCE SHEET</w:t>
            </w:r>
          </w:p>
        </w:tc>
        <w:tc>
          <w:tcPr>
            <w:tcW w:w="3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160" w:type="dxa"/>
            <w:vAlign w:val="bottom"/>
            <w:gridSpan w:val="3"/>
          </w:tcPr>
          <w:p>
            <w:pPr>
              <w:spacing w:after="0"/>
              <w:rPr>
                <w:sz w:val="20"/>
                <w:szCs w:val="20"/>
                <w:color w:val="auto"/>
              </w:rPr>
            </w:pPr>
            <w:r>
              <w:rPr>
                <w:rFonts w:ascii="Arial" w:cs="Arial" w:eastAsia="Arial" w:hAnsi="Arial"/>
                <w:sz w:val="22"/>
                <w:szCs w:val="22"/>
                <w:color w:val="auto"/>
              </w:rPr>
              <w:t>(Dollars in millions, except share data)</w:t>
            </w: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7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900" w:type="dxa"/>
            <w:vAlign w:val="bottom"/>
            <w:gridSpan w:val="3"/>
          </w:tcPr>
          <w:p>
            <w:pPr>
              <w:jc w:val="right"/>
              <w:ind w:right="240"/>
              <w:spacing w:after="0"/>
              <w:rPr>
                <w:sz w:val="20"/>
                <w:szCs w:val="20"/>
                <w:color w:val="auto"/>
              </w:rPr>
            </w:pPr>
            <w:r>
              <w:rPr>
                <w:rFonts w:ascii="Arial" w:cs="Arial" w:eastAsia="Arial" w:hAnsi="Arial"/>
                <w:sz w:val="22"/>
                <w:szCs w:val="22"/>
                <w:color w:val="auto"/>
              </w:rPr>
              <w:t>December 31,</w:t>
            </w:r>
          </w:p>
        </w:tc>
        <w:tc>
          <w:tcPr>
            <w:tcW w:w="0" w:type="dxa"/>
            <w:vAlign w:val="bottom"/>
          </w:tcPr>
          <w:p>
            <w:pPr>
              <w:spacing w:after="0"/>
              <w:rPr>
                <w:sz w:val="1"/>
                <w:szCs w:val="1"/>
                <w:color w:val="auto"/>
              </w:rPr>
            </w:pPr>
          </w:p>
        </w:tc>
      </w:tr>
      <w:tr>
        <w:trPr>
          <w:trHeight w:val="275"/>
        </w:trPr>
        <w:tc>
          <w:tcPr>
            <w:tcW w:w="78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22"/>
                <w:szCs w:val="22"/>
                <w:color w:val="auto"/>
              </w:rPr>
              <w:t>2003</w:t>
            </w:r>
          </w:p>
        </w:tc>
        <w:tc>
          <w:tcPr>
            <w:tcW w:w="1100" w:type="dxa"/>
            <w:vAlign w:val="bottom"/>
            <w:gridSpan w:val="2"/>
          </w:tcPr>
          <w:p>
            <w:pPr>
              <w:jc w:val="right"/>
              <w:ind w:right="180"/>
              <w:spacing w:after="0"/>
              <w:rPr>
                <w:sz w:val="20"/>
                <w:szCs w:val="20"/>
                <w:color w:val="auto"/>
              </w:rPr>
            </w:pPr>
            <w:r>
              <w:rPr>
                <w:rFonts w:ascii="Arial" w:cs="Arial" w:eastAsia="Arial" w:hAnsi="Arial"/>
                <w:sz w:val="22"/>
                <w:szCs w:val="22"/>
                <w:color w:val="auto"/>
              </w:rPr>
              <w:t>2002</w:t>
            </w:r>
          </w:p>
        </w:tc>
        <w:tc>
          <w:tcPr>
            <w:tcW w:w="0" w:type="dxa"/>
            <w:vAlign w:val="bottom"/>
          </w:tcPr>
          <w:p>
            <w:pPr>
              <w:spacing w:after="0"/>
              <w:rPr>
                <w:sz w:val="1"/>
                <w:szCs w:val="1"/>
                <w:color w:val="auto"/>
              </w:rPr>
            </w:pPr>
          </w:p>
        </w:tc>
      </w:tr>
      <w:tr>
        <w:trPr>
          <w:trHeight w:val="98"/>
        </w:trPr>
        <w:tc>
          <w:tcPr>
            <w:tcW w:w="8160" w:type="dxa"/>
            <w:vAlign w:val="bottom"/>
            <w:gridSpan w:val="3"/>
            <w:vMerge w:val="restart"/>
          </w:tcPr>
          <w:p>
            <w:pPr>
              <w:spacing w:after="0"/>
              <w:rPr>
                <w:sz w:val="20"/>
                <w:szCs w:val="20"/>
                <w:color w:val="auto"/>
              </w:rPr>
            </w:pPr>
            <w:r>
              <w:rPr>
                <w:rFonts w:ascii="Arial" w:cs="Arial" w:eastAsia="Arial" w:hAnsi="Arial"/>
                <w:sz w:val="22"/>
                <w:szCs w:val="22"/>
                <w:color w:val="auto"/>
              </w:rPr>
              <w:t>ASSETS</w:t>
            </w:r>
          </w:p>
        </w:tc>
        <w:tc>
          <w:tcPr>
            <w:tcW w:w="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816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8160" w:type="dxa"/>
            <w:vAlign w:val="bottom"/>
            <w:gridSpan w:val="3"/>
          </w:tcPr>
          <w:p>
            <w:pPr>
              <w:spacing w:after="0" w:line="242" w:lineRule="exact"/>
              <w:rPr>
                <w:sz w:val="20"/>
                <w:szCs w:val="20"/>
                <w:color w:val="auto"/>
              </w:rPr>
            </w:pPr>
            <w:r>
              <w:rPr>
                <w:rFonts w:ascii="Arial" w:cs="Arial" w:eastAsia="Arial" w:hAnsi="Arial"/>
                <w:sz w:val="22"/>
                <w:szCs w:val="22"/>
                <w:color w:val="auto"/>
              </w:rPr>
              <w:t>CURRENT ASSETS</w:t>
            </w: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60" w:type="dxa"/>
            <w:vAlign w:val="bottom"/>
            <w:gridSpan w:val="3"/>
          </w:tcPr>
          <w:p>
            <w:pPr>
              <w:ind w:left="180"/>
              <w:spacing w:after="0" w:line="243" w:lineRule="exact"/>
              <w:rPr>
                <w:sz w:val="20"/>
                <w:szCs w:val="20"/>
                <w:color w:val="auto"/>
              </w:rPr>
            </w:pPr>
            <w:r>
              <w:rPr>
                <w:rFonts w:ascii="Arial" w:cs="Arial" w:eastAsia="Arial" w:hAnsi="Arial"/>
                <w:sz w:val="22"/>
                <w:szCs w:val="22"/>
                <w:color w:val="auto"/>
              </w:rPr>
              <w:t>Cash and cash equivalents</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$1,550</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$505</w:t>
            </w:r>
          </w:p>
        </w:tc>
        <w:tc>
          <w:tcPr>
            <w:tcW w:w="0" w:type="dxa"/>
            <w:vAlign w:val="bottom"/>
          </w:tcPr>
          <w:p>
            <w:pPr>
              <w:spacing w:after="0"/>
              <w:rPr>
                <w:sz w:val="1"/>
                <w:szCs w:val="1"/>
                <w:color w:val="auto"/>
              </w:rPr>
            </w:pPr>
          </w:p>
        </w:tc>
      </w:tr>
      <w:tr>
        <w:trPr>
          <w:trHeight w:val="243"/>
        </w:trPr>
        <w:tc>
          <w:tcPr>
            <w:tcW w:w="8160" w:type="dxa"/>
            <w:vAlign w:val="bottom"/>
            <w:gridSpan w:val="3"/>
          </w:tcPr>
          <w:p>
            <w:pPr>
              <w:ind w:left="180"/>
              <w:spacing w:after="0" w:line="243" w:lineRule="exact"/>
              <w:rPr>
                <w:sz w:val="20"/>
                <w:szCs w:val="20"/>
                <w:color w:val="auto"/>
              </w:rPr>
            </w:pPr>
            <w:r>
              <w:rPr>
                <w:rFonts w:ascii="Arial" w:cs="Arial" w:eastAsia="Arial" w:hAnsi="Arial"/>
                <w:sz w:val="22"/>
                <w:szCs w:val="22"/>
                <w:color w:val="auto"/>
              </w:rPr>
              <w:t>Investments</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2,493</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3,258</w:t>
            </w:r>
          </w:p>
        </w:tc>
        <w:tc>
          <w:tcPr>
            <w:tcW w:w="0" w:type="dxa"/>
            <w:vAlign w:val="bottom"/>
          </w:tcPr>
          <w:p>
            <w:pPr>
              <w:spacing w:after="0"/>
              <w:rPr>
                <w:sz w:val="1"/>
                <w:szCs w:val="1"/>
                <w:color w:val="auto"/>
              </w:rPr>
            </w:pPr>
          </w:p>
        </w:tc>
      </w:tr>
      <w:tr>
        <w:trPr>
          <w:trHeight w:val="243"/>
        </w:trPr>
        <w:tc>
          <w:tcPr>
            <w:tcW w:w="816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Accounts receivable, less allowance for doubtful accounts of $146 and $172</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907</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862</w:t>
            </w:r>
          </w:p>
        </w:tc>
        <w:tc>
          <w:tcPr>
            <w:tcW w:w="0" w:type="dxa"/>
            <w:vAlign w:val="bottom"/>
          </w:tcPr>
          <w:p>
            <w:pPr>
              <w:spacing w:after="0"/>
              <w:rPr>
                <w:sz w:val="1"/>
                <w:szCs w:val="1"/>
                <w:color w:val="auto"/>
              </w:rPr>
            </w:pPr>
          </w:p>
        </w:tc>
      </w:tr>
      <w:tr>
        <w:trPr>
          <w:trHeight w:val="243"/>
        </w:trPr>
        <w:tc>
          <w:tcPr>
            <w:tcW w:w="8160" w:type="dxa"/>
            <w:vAlign w:val="bottom"/>
            <w:gridSpan w:val="3"/>
          </w:tcPr>
          <w:p>
            <w:pPr>
              <w:ind w:left="180"/>
              <w:spacing w:after="0" w:line="243" w:lineRule="exact"/>
              <w:rPr>
                <w:sz w:val="20"/>
                <w:szCs w:val="20"/>
                <w:color w:val="auto"/>
              </w:rPr>
            </w:pPr>
            <w:r>
              <w:rPr>
                <w:rFonts w:ascii="Arial" w:cs="Arial" w:eastAsia="Arial" w:hAnsi="Arial"/>
                <w:sz w:val="22"/>
                <w:szCs w:val="22"/>
                <w:color w:val="auto"/>
              </w:rPr>
              <w:t>Other current assets</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453</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380</w:t>
            </w:r>
          </w:p>
        </w:tc>
        <w:tc>
          <w:tcPr>
            <w:tcW w:w="0" w:type="dxa"/>
            <w:vAlign w:val="bottom"/>
          </w:tcPr>
          <w:p>
            <w:pPr>
              <w:spacing w:after="0"/>
              <w:rPr>
                <w:sz w:val="1"/>
                <w:szCs w:val="1"/>
                <w:color w:val="auto"/>
              </w:rPr>
            </w:pPr>
          </w:p>
        </w:tc>
      </w:tr>
      <w:tr>
        <w:trPr>
          <w:trHeight w:val="243"/>
        </w:trPr>
        <w:tc>
          <w:tcPr>
            <w:tcW w:w="8160" w:type="dxa"/>
            <w:vAlign w:val="bottom"/>
            <w:gridSpan w:val="3"/>
          </w:tcPr>
          <w:p>
            <w:pPr>
              <w:ind w:left="180"/>
              <w:spacing w:after="0" w:line="243" w:lineRule="exact"/>
              <w:rPr>
                <w:sz w:val="20"/>
                <w:szCs w:val="20"/>
                <w:color w:val="auto"/>
              </w:rPr>
            </w:pPr>
            <w:r>
              <w:rPr>
                <w:rFonts w:ascii="Arial" w:cs="Arial" w:eastAsia="Arial" w:hAnsi="Arial"/>
                <w:sz w:val="22"/>
                <w:szCs w:val="22"/>
                <w:color w:val="auto"/>
              </w:rPr>
              <w:t>Current assets of discontinued operations</w:t>
            </w:r>
          </w:p>
        </w:tc>
        <w:tc>
          <w:tcPr>
            <w:tcW w:w="800" w:type="dxa"/>
            <w:vAlign w:val="bottom"/>
          </w:tcPr>
          <w:p>
            <w:pPr>
              <w:spacing w:after="0"/>
              <w:rPr>
                <w:sz w:val="21"/>
                <w:szCs w:val="21"/>
                <w:color w:val="auto"/>
              </w:rPr>
            </w:pP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1,481</w:t>
            </w:r>
          </w:p>
        </w:tc>
        <w:tc>
          <w:tcPr>
            <w:tcW w:w="0" w:type="dxa"/>
            <w:vAlign w:val="bottom"/>
          </w:tcPr>
          <w:p>
            <w:pPr>
              <w:spacing w:after="0"/>
              <w:rPr>
                <w:sz w:val="1"/>
                <w:szCs w:val="1"/>
                <w:color w:val="auto"/>
              </w:rPr>
            </w:pPr>
          </w:p>
        </w:tc>
      </w:tr>
      <w:tr>
        <w:trPr>
          <w:trHeight w:val="275"/>
        </w:trPr>
        <w:tc>
          <w:tcPr>
            <w:tcW w:w="8160" w:type="dxa"/>
            <w:vAlign w:val="bottom"/>
            <w:gridSpan w:val="3"/>
          </w:tcPr>
          <w:p>
            <w:pPr>
              <w:ind w:left="180"/>
              <w:spacing w:after="0"/>
              <w:rPr>
                <w:sz w:val="20"/>
                <w:szCs w:val="20"/>
                <w:color w:val="auto"/>
              </w:rPr>
            </w:pPr>
            <w:r>
              <w:rPr>
                <w:rFonts w:ascii="Arial" w:cs="Arial" w:eastAsia="Arial" w:hAnsi="Arial"/>
                <w:sz w:val="22"/>
                <w:szCs w:val="22"/>
                <w:color w:val="auto"/>
              </w:rPr>
              <w:t>Current assets held for sale</w:t>
            </w:r>
          </w:p>
        </w:tc>
        <w:tc>
          <w:tcPr>
            <w:tcW w:w="80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613</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8160" w:type="dxa"/>
            <w:vAlign w:val="bottom"/>
            <w:gridSpan w:val="3"/>
          </w:tcPr>
          <w:p>
            <w:pPr>
              <w:ind w:left="380"/>
              <w:spacing w:after="0"/>
              <w:rPr>
                <w:sz w:val="20"/>
                <w:szCs w:val="20"/>
                <w:color w:val="auto"/>
              </w:rPr>
            </w:pPr>
            <w:r>
              <w:rPr>
                <w:rFonts w:ascii="Arial" w:cs="Arial" w:eastAsia="Arial" w:hAnsi="Arial"/>
                <w:sz w:val="22"/>
                <w:szCs w:val="22"/>
                <w:color w:val="auto"/>
              </w:rPr>
              <w:t>Total current assets</w:t>
            </w:r>
          </w:p>
        </w:tc>
        <w:tc>
          <w:tcPr>
            <w:tcW w:w="800" w:type="dxa"/>
            <w:vAlign w:val="bottom"/>
          </w:tcPr>
          <w:p>
            <w:pPr>
              <w:jc w:val="right"/>
              <w:spacing w:after="0"/>
              <w:rPr>
                <w:sz w:val="20"/>
                <w:szCs w:val="20"/>
                <w:color w:val="auto"/>
              </w:rPr>
            </w:pPr>
            <w:r>
              <w:rPr>
                <w:rFonts w:ascii="Arial" w:cs="Arial" w:eastAsia="Arial" w:hAnsi="Arial"/>
                <w:sz w:val="22"/>
                <w:szCs w:val="22"/>
                <w:color w:val="auto"/>
              </w:rPr>
              <w:t>5,403</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7,099</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35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8160" w:type="dxa"/>
            <w:vAlign w:val="bottom"/>
            <w:gridSpan w:val="3"/>
          </w:tcPr>
          <w:p>
            <w:pPr>
              <w:spacing w:after="0"/>
              <w:rPr>
                <w:sz w:val="20"/>
                <w:szCs w:val="20"/>
                <w:color w:val="auto"/>
              </w:rPr>
            </w:pPr>
            <w:r>
              <w:rPr>
                <w:rFonts w:ascii="Arial" w:cs="Arial" w:eastAsia="Arial" w:hAnsi="Arial"/>
                <w:sz w:val="22"/>
                <w:szCs w:val="22"/>
                <w:color w:val="auto"/>
              </w:rPr>
              <w:t>INVESTMENTS</w:t>
            </w:r>
          </w:p>
        </w:tc>
        <w:tc>
          <w:tcPr>
            <w:tcW w:w="800" w:type="dxa"/>
            <w:vAlign w:val="bottom"/>
          </w:tcPr>
          <w:p>
            <w:pPr>
              <w:jc w:val="right"/>
              <w:spacing w:after="0"/>
              <w:rPr>
                <w:sz w:val="20"/>
                <w:szCs w:val="20"/>
                <w:color w:val="auto"/>
              </w:rPr>
            </w:pPr>
            <w:r>
              <w:rPr>
                <w:rFonts w:ascii="Arial" w:cs="Arial" w:eastAsia="Arial" w:hAnsi="Arial"/>
                <w:sz w:val="22"/>
                <w:szCs w:val="22"/>
                <w:color w:val="auto"/>
              </w:rPr>
              <w:t>14,818</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15,174</w:t>
            </w:r>
          </w:p>
        </w:tc>
        <w:tc>
          <w:tcPr>
            <w:tcW w:w="0" w:type="dxa"/>
            <w:vAlign w:val="bottom"/>
          </w:tcPr>
          <w:p>
            <w:pPr>
              <w:spacing w:after="0"/>
              <w:rPr>
                <w:sz w:val="1"/>
                <w:szCs w:val="1"/>
                <w:color w:val="auto"/>
              </w:rPr>
            </w:pPr>
          </w:p>
        </w:tc>
      </w:tr>
      <w:tr>
        <w:trPr>
          <w:trHeight w:val="486"/>
        </w:trPr>
        <w:tc>
          <w:tcPr>
            <w:tcW w:w="8160" w:type="dxa"/>
            <w:vAlign w:val="bottom"/>
            <w:gridSpan w:val="3"/>
          </w:tcPr>
          <w:p>
            <w:pPr>
              <w:spacing w:after="0"/>
              <w:rPr>
                <w:sz w:val="20"/>
                <w:szCs w:val="20"/>
                <w:color w:val="auto"/>
              </w:rPr>
            </w:pPr>
            <w:r>
              <w:rPr>
                <w:rFonts w:ascii="Arial" w:cs="Arial" w:eastAsia="Arial" w:hAnsi="Arial"/>
                <w:sz w:val="22"/>
                <w:szCs w:val="22"/>
                <w:color w:val="auto"/>
                <w:w w:val="94"/>
              </w:rPr>
              <w:t>PROPERTY AND EQUIPMENT, net of accumulated depreciation of $6,563 and $3,855 .</w:t>
            </w:r>
          </w:p>
        </w:tc>
        <w:tc>
          <w:tcPr>
            <w:tcW w:w="800" w:type="dxa"/>
            <w:vAlign w:val="bottom"/>
          </w:tcPr>
          <w:p>
            <w:pPr>
              <w:jc w:val="right"/>
              <w:spacing w:after="0"/>
              <w:rPr>
                <w:sz w:val="20"/>
                <w:szCs w:val="20"/>
                <w:color w:val="auto"/>
              </w:rPr>
            </w:pPr>
            <w:r>
              <w:rPr>
                <w:rFonts w:ascii="Arial" w:cs="Arial" w:eastAsia="Arial" w:hAnsi="Arial"/>
                <w:sz w:val="22"/>
                <w:szCs w:val="22"/>
                <w:color w:val="auto"/>
              </w:rPr>
              <w:t>18,473</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18,381</w:t>
            </w:r>
          </w:p>
        </w:tc>
        <w:tc>
          <w:tcPr>
            <w:tcW w:w="0" w:type="dxa"/>
            <w:vAlign w:val="bottom"/>
          </w:tcPr>
          <w:p>
            <w:pPr>
              <w:spacing w:after="0"/>
              <w:rPr>
                <w:sz w:val="1"/>
                <w:szCs w:val="1"/>
                <w:color w:val="auto"/>
              </w:rPr>
            </w:pPr>
          </w:p>
        </w:tc>
      </w:tr>
      <w:tr>
        <w:trPr>
          <w:trHeight w:val="486"/>
        </w:trPr>
        <w:tc>
          <w:tcPr>
            <w:tcW w:w="8160" w:type="dxa"/>
            <w:vAlign w:val="bottom"/>
            <w:gridSpan w:val="3"/>
          </w:tcPr>
          <w:p>
            <w:pPr>
              <w:spacing w:after="0"/>
              <w:rPr>
                <w:sz w:val="20"/>
                <w:szCs w:val="20"/>
                <w:color w:val="auto"/>
              </w:rPr>
            </w:pPr>
            <w:r>
              <w:rPr>
                <w:rFonts w:ascii="Arial" w:cs="Arial" w:eastAsia="Arial" w:hAnsi="Arial"/>
                <w:sz w:val="22"/>
                <w:szCs w:val="22"/>
                <w:color w:val="auto"/>
              </w:rPr>
              <w:t>FRANCHISE RIGHTS</w:t>
            </w:r>
          </w:p>
        </w:tc>
        <w:tc>
          <w:tcPr>
            <w:tcW w:w="800" w:type="dxa"/>
            <w:vAlign w:val="bottom"/>
          </w:tcPr>
          <w:p>
            <w:pPr>
              <w:jc w:val="right"/>
              <w:spacing w:after="0"/>
              <w:rPr>
                <w:sz w:val="20"/>
                <w:szCs w:val="20"/>
                <w:color w:val="auto"/>
              </w:rPr>
            </w:pPr>
            <w:r>
              <w:rPr>
                <w:rFonts w:ascii="Arial" w:cs="Arial" w:eastAsia="Arial" w:hAnsi="Arial"/>
                <w:sz w:val="22"/>
                <w:szCs w:val="22"/>
                <w:color w:val="auto"/>
              </w:rPr>
              <w:t>51,050</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48,222</w:t>
            </w:r>
          </w:p>
        </w:tc>
        <w:tc>
          <w:tcPr>
            <w:tcW w:w="0" w:type="dxa"/>
            <w:vAlign w:val="bottom"/>
          </w:tcPr>
          <w:p>
            <w:pPr>
              <w:spacing w:after="0"/>
              <w:rPr>
                <w:sz w:val="1"/>
                <w:szCs w:val="1"/>
                <w:color w:val="auto"/>
              </w:rPr>
            </w:pPr>
          </w:p>
        </w:tc>
      </w:tr>
      <w:tr>
        <w:trPr>
          <w:trHeight w:val="486"/>
        </w:trPr>
        <w:tc>
          <w:tcPr>
            <w:tcW w:w="8160" w:type="dxa"/>
            <w:vAlign w:val="bottom"/>
            <w:gridSpan w:val="3"/>
          </w:tcPr>
          <w:p>
            <w:pPr>
              <w:spacing w:after="0"/>
              <w:rPr>
                <w:sz w:val="20"/>
                <w:szCs w:val="20"/>
                <w:color w:val="auto"/>
              </w:rPr>
            </w:pPr>
            <w:r>
              <w:rPr>
                <w:rFonts w:ascii="Arial" w:cs="Arial" w:eastAsia="Arial" w:hAnsi="Arial"/>
                <w:sz w:val="22"/>
                <w:szCs w:val="22"/>
                <w:color w:val="auto"/>
              </w:rPr>
              <w:t>GOODWILL</w:t>
            </w:r>
          </w:p>
        </w:tc>
        <w:tc>
          <w:tcPr>
            <w:tcW w:w="800" w:type="dxa"/>
            <w:vAlign w:val="bottom"/>
          </w:tcPr>
          <w:p>
            <w:pPr>
              <w:jc w:val="right"/>
              <w:spacing w:after="0"/>
              <w:rPr>
                <w:sz w:val="20"/>
                <w:szCs w:val="20"/>
                <w:color w:val="auto"/>
              </w:rPr>
            </w:pPr>
            <w:r>
              <w:rPr>
                <w:rFonts w:ascii="Arial" w:cs="Arial" w:eastAsia="Arial" w:hAnsi="Arial"/>
                <w:sz w:val="22"/>
                <w:szCs w:val="22"/>
                <w:color w:val="auto"/>
              </w:rPr>
              <w:t>14,841</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16,562</w:t>
            </w:r>
          </w:p>
        </w:tc>
        <w:tc>
          <w:tcPr>
            <w:tcW w:w="0" w:type="dxa"/>
            <w:vAlign w:val="bottom"/>
          </w:tcPr>
          <w:p>
            <w:pPr>
              <w:spacing w:after="0"/>
              <w:rPr>
                <w:sz w:val="1"/>
                <w:szCs w:val="1"/>
                <w:color w:val="auto"/>
              </w:rPr>
            </w:pPr>
          </w:p>
        </w:tc>
      </w:tr>
      <w:tr>
        <w:trPr>
          <w:trHeight w:val="486"/>
        </w:trPr>
        <w:tc>
          <w:tcPr>
            <w:tcW w:w="8160" w:type="dxa"/>
            <w:vAlign w:val="bottom"/>
            <w:gridSpan w:val="3"/>
          </w:tcPr>
          <w:p>
            <w:pPr>
              <w:spacing w:after="0"/>
              <w:rPr>
                <w:sz w:val="20"/>
                <w:szCs w:val="20"/>
                <w:color w:val="auto"/>
              </w:rPr>
            </w:pPr>
            <w:r>
              <w:rPr>
                <w:rFonts w:ascii="Arial" w:cs="Arial" w:eastAsia="Arial" w:hAnsi="Arial"/>
                <w:sz w:val="22"/>
                <w:szCs w:val="22"/>
                <w:color w:val="auto"/>
                <w:w w:val="98"/>
              </w:rPr>
              <w:t>OTHER INTANGIBLE ASSETS, net of accumulated amortization of $2,182 and $735</w:t>
            </w:r>
          </w:p>
        </w:tc>
        <w:tc>
          <w:tcPr>
            <w:tcW w:w="800" w:type="dxa"/>
            <w:vAlign w:val="bottom"/>
          </w:tcPr>
          <w:p>
            <w:pPr>
              <w:jc w:val="right"/>
              <w:spacing w:after="0"/>
              <w:rPr>
                <w:sz w:val="20"/>
                <w:szCs w:val="20"/>
                <w:color w:val="auto"/>
              </w:rPr>
            </w:pPr>
            <w:r>
              <w:rPr>
                <w:rFonts w:ascii="Arial" w:cs="Arial" w:eastAsia="Arial" w:hAnsi="Arial"/>
                <w:sz w:val="22"/>
                <w:szCs w:val="22"/>
                <w:color w:val="auto"/>
              </w:rPr>
              <w:t>3,859</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5,429</w:t>
            </w:r>
          </w:p>
        </w:tc>
        <w:tc>
          <w:tcPr>
            <w:tcW w:w="0" w:type="dxa"/>
            <w:vAlign w:val="bottom"/>
          </w:tcPr>
          <w:p>
            <w:pPr>
              <w:spacing w:after="0"/>
              <w:rPr>
                <w:sz w:val="1"/>
                <w:szCs w:val="1"/>
                <w:color w:val="auto"/>
              </w:rPr>
            </w:pPr>
          </w:p>
        </w:tc>
      </w:tr>
      <w:tr>
        <w:trPr>
          <w:trHeight w:val="486"/>
        </w:trPr>
        <w:tc>
          <w:tcPr>
            <w:tcW w:w="8160" w:type="dxa"/>
            <w:vAlign w:val="bottom"/>
            <w:gridSpan w:val="3"/>
          </w:tcPr>
          <w:p>
            <w:pPr>
              <w:spacing w:after="0"/>
              <w:rPr>
                <w:sz w:val="20"/>
                <w:szCs w:val="20"/>
                <w:color w:val="auto"/>
              </w:rPr>
            </w:pPr>
            <w:r>
              <w:rPr>
                <w:rFonts w:ascii="Arial" w:cs="Arial" w:eastAsia="Arial" w:hAnsi="Arial"/>
                <w:sz w:val="22"/>
                <w:szCs w:val="22"/>
                <w:color w:val="auto"/>
              </w:rPr>
              <w:t>OTHER NONCURRENT ASSETS, net</w:t>
            </w:r>
          </w:p>
        </w:tc>
        <w:tc>
          <w:tcPr>
            <w:tcW w:w="800" w:type="dxa"/>
            <w:vAlign w:val="bottom"/>
          </w:tcPr>
          <w:p>
            <w:pPr>
              <w:jc w:val="right"/>
              <w:spacing w:after="0"/>
              <w:rPr>
                <w:sz w:val="20"/>
                <w:szCs w:val="20"/>
                <w:color w:val="auto"/>
              </w:rPr>
            </w:pPr>
            <w:r>
              <w:rPr>
                <w:rFonts w:ascii="Arial" w:cs="Arial" w:eastAsia="Arial" w:hAnsi="Arial"/>
                <w:sz w:val="22"/>
                <w:szCs w:val="22"/>
                <w:color w:val="auto"/>
              </w:rPr>
              <w:t>715</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666</w:t>
            </w:r>
          </w:p>
        </w:tc>
        <w:tc>
          <w:tcPr>
            <w:tcW w:w="0" w:type="dxa"/>
            <w:vAlign w:val="bottom"/>
          </w:tcPr>
          <w:p>
            <w:pPr>
              <w:spacing w:after="0"/>
              <w:rPr>
                <w:sz w:val="1"/>
                <w:szCs w:val="1"/>
                <w:color w:val="auto"/>
              </w:rPr>
            </w:pPr>
          </w:p>
        </w:tc>
      </w:tr>
    </w:tbl>
    <w:p>
      <w:pPr>
        <w:sectPr>
          <w:pgSz w:w="11900" w:h="16838" w:orient="portrait"/>
          <w:cols w:equalWidth="0" w:num="1">
            <w:col w:w="11360"/>
          </w:cols>
          <w:pgMar w:left="240" w:top="699" w:right="299" w:bottom="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520" w:type="dxa"/>
            <w:vAlign w:val="bottom"/>
            <w:gridSpan w:val="4"/>
          </w:tcPr>
          <w:p>
            <w:pPr>
              <w:spacing w:after="0"/>
              <w:rPr>
                <w:sz w:val="20"/>
                <w:szCs w:val="20"/>
                <w:color w:val="auto"/>
              </w:rPr>
            </w:pPr>
            <w:r>
              <w:rPr>
                <w:rFonts w:ascii="Arial" w:cs="Arial" w:eastAsia="Arial" w:hAnsi="Arial"/>
                <w:sz w:val="22"/>
                <w:szCs w:val="22"/>
                <w:color w:val="auto"/>
              </w:rPr>
              <w:t>NONCURRENT ASSETS OF DISCONTINUED OPERATIONS</w:t>
            </w:r>
          </w:p>
        </w:tc>
        <w:tc>
          <w:tcPr>
            <w:tcW w:w="6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1,595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80" w:type="dxa"/>
            <w:vAlign w:val="bottom"/>
          </w:tcPr>
          <w:p>
            <w:pPr>
              <w:spacing w:after="0"/>
              <w:rPr>
                <w:sz w:val="8"/>
                <w:szCs w:val="8"/>
                <w:color w:val="auto"/>
              </w:rPr>
            </w:pPr>
          </w:p>
        </w:tc>
        <w:tc>
          <w:tcPr>
            <w:tcW w:w="3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3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22"/>
                <w:szCs w:val="22"/>
                <w:color w:val="auto"/>
              </w:rPr>
              <w:t>$109,159</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w w:val="84"/>
              </w:rPr>
              <w:t>$113,128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420" w:type="dxa"/>
            <w:vAlign w:val="bottom"/>
            <w:gridSpan w:val="3"/>
            <w:vMerge w:val="restart"/>
          </w:tcPr>
          <w:p>
            <w:pPr>
              <w:spacing w:after="0"/>
              <w:rPr>
                <w:sz w:val="20"/>
                <w:szCs w:val="20"/>
                <w:color w:val="auto"/>
              </w:rPr>
            </w:pPr>
            <w:r>
              <w:rPr>
                <w:rFonts w:ascii="Arial" w:cs="Arial" w:eastAsia="Arial" w:hAnsi="Arial"/>
                <w:sz w:val="22"/>
                <w:szCs w:val="22"/>
                <w:color w:val="auto"/>
                <w:w w:val="96"/>
              </w:rPr>
              <w:t>LIABILITIES AND STOCKHOLDERS' EQUITY</w:t>
            </w:r>
          </w:p>
        </w:tc>
        <w:tc>
          <w:tcPr>
            <w:tcW w:w="310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5"/>
        </w:trPr>
        <w:tc>
          <w:tcPr>
            <w:tcW w:w="4420" w:type="dxa"/>
            <w:vAlign w:val="bottom"/>
            <w:tcBorders>
              <w:bottom w:val="single" w:sz="8" w:color="auto"/>
            </w:tcBorders>
            <w:gridSpan w:val="3"/>
            <w:vMerge w:val="continue"/>
          </w:tcPr>
          <w:p>
            <w:pPr>
              <w:spacing w:after="0"/>
              <w:rPr>
                <w:sz w:val="24"/>
                <w:szCs w:val="24"/>
                <w:color w:val="auto"/>
              </w:rPr>
            </w:pPr>
          </w:p>
        </w:tc>
        <w:tc>
          <w:tcPr>
            <w:tcW w:w="31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520" w:type="dxa"/>
            <w:vAlign w:val="bottom"/>
            <w:gridSpan w:val="4"/>
          </w:tcPr>
          <w:p>
            <w:pPr>
              <w:spacing w:after="0" w:line="242" w:lineRule="exact"/>
              <w:rPr>
                <w:sz w:val="20"/>
                <w:szCs w:val="20"/>
                <w:color w:val="auto"/>
              </w:rPr>
            </w:pPr>
            <w:r>
              <w:rPr>
                <w:rFonts w:ascii="Arial" w:cs="Arial" w:eastAsia="Arial" w:hAnsi="Arial"/>
                <w:sz w:val="22"/>
                <w:szCs w:val="22"/>
                <w:color w:val="auto"/>
              </w:rPr>
              <w:t>CURRENT LIABILITIES</w:t>
            </w: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Accounts payable</w:t>
            </w:r>
          </w:p>
        </w:tc>
        <w:tc>
          <w:tcPr>
            <w:tcW w:w="14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$1,251</w:t>
            </w: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$1,296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Accrued expenses and other current liabilities</w:t>
            </w:r>
          </w:p>
        </w:tc>
        <w:tc>
          <w:tcPr>
            <w:tcW w:w="14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4,563</w:t>
            </w: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5,236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Deferred income taxes</w:t>
            </w:r>
          </w:p>
        </w:tc>
        <w:tc>
          <w:tcPr>
            <w:tcW w:w="14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679</w:t>
            </w: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1,105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Short-term debt</w:t>
            </w: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3,750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Current portion of long-term debt</w:t>
            </w:r>
          </w:p>
        </w:tc>
        <w:tc>
          <w:tcPr>
            <w:tcW w:w="14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3,161</w:t>
            </w: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3,203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520" w:type="dxa"/>
            <w:vAlign w:val="bottom"/>
            <w:gridSpan w:val="4"/>
          </w:tcPr>
          <w:p>
            <w:pPr>
              <w:ind w:left="180"/>
              <w:spacing w:after="0"/>
              <w:rPr>
                <w:sz w:val="20"/>
                <w:szCs w:val="20"/>
                <w:color w:val="auto"/>
              </w:rPr>
            </w:pPr>
            <w:r>
              <w:rPr>
                <w:rFonts w:ascii="Arial" w:cs="Arial" w:eastAsia="Arial" w:hAnsi="Arial"/>
                <w:sz w:val="22"/>
                <w:szCs w:val="22"/>
                <w:color w:val="auto"/>
              </w:rPr>
              <w:t>Current liabilities of discontinued operations</w:t>
            </w:r>
          </w:p>
        </w:tc>
        <w:tc>
          <w:tcPr>
            <w:tcW w:w="6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816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80" w:type="dxa"/>
            <w:vAlign w:val="bottom"/>
          </w:tcPr>
          <w:p>
            <w:pPr>
              <w:spacing w:after="0"/>
              <w:rPr>
                <w:sz w:val="8"/>
                <w:szCs w:val="8"/>
                <w:color w:val="auto"/>
              </w:rPr>
            </w:pPr>
          </w:p>
        </w:tc>
        <w:tc>
          <w:tcPr>
            <w:tcW w:w="3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80" w:type="dxa"/>
            <w:vAlign w:val="bottom"/>
          </w:tcPr>
          <w:p>
            <w:pPr>
              <w:spacing w:after="0"/>
              <w:rPr>
                <w:sz w:val="24"/>
                <w:szCs w:val="24"/>
                <w:color w:val="auto"/>
              </w:rPr>
            </w:pPr>
          </w:p>
        </w:tc>
        <w:tc>
          <w:tcPr>
            <w:tcW w:w="7140" w:type="dxa"/>
            <w:vAlign w:val="bottom"/>
            <w:gridSpan w:val="3"/>
          </w:tcPr>
          <w:p>
            <w:pPr>
              <w:spacing w:after="0"/>
              <w:rPr>
                <w:sz w:val="20"/>
                <w:szCs w:val="20"/>
                <w:color w:val="auto"/>
              </w:rPr>
            </w:pPr>
            <w:r>
              <w:rPr>
                <w:rFonts w:ascii="Arial" w:cs="Arial" w:eastAsia="Arial" w:hAnsi="Arial"/>
                <w:sz w:val="22"/>
                <w:szCs w:val="22"/>
                <w:color w:val="auto"/>
              </w:rPr>
              <w:t>Total current liabilities</w:t>
            </w:r>
          </w:p>
        </w:tc>
        <w:tc>
          <w:tcPr>
            <w:tcW w:w="1440" w:type="dxa"/>
            <w:vAlign w:val="bottom"/>
            <w:gridSpan w:val="2"/>
          </w:tcPr>
          <w:p>
            <w:pPr>
              <w:jc w:val="right"/>
              <w:spacing w:after="0"/>
              <w:rPr>
                <w:sz w:val="20"/>
                <w:szCs w:val="20"/>
                <w:color w:val="auto"/>
              </w:rPr>
            </w:pPr>
            <w:r>
              <w:rPr>
                <w:rFonts w:ascii="Arial" w:cs="Arial" w:eastAsia="Arial" w:hAnsi="Arial"/>
                <w:sz w:val="22"/>
                <w:szCs w:val="22"/>
                <w:color w:val="auto"/>
              </w:rPr>
              <w:t>9,654</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15,406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80" w:type="dxa"/>
            <w:vAlign w:val="bottom"/>
          </w:tcPr>
          <w:p>
            <w:pPr>
              <w:spacing w:after="0"/>
              <w:rPr>
                <w:sz w:val="8"/>
                <w:szCs w:val="8"/>
                <w:color w:val="auto"/>
              </w:rPr>
            </w:pPr>
          </w:p>
        </w:tc>
        <w:tc>
          <w:tcPr>
            <w:tcW w:w="3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7520" w:type="dxa"/>
            <w:vAlign w:val="bottom"/>
            <w:gridSpan w:val="4"/>
          </w:tcPr>
          <w:p>
            <w:pPr>
              <w:spacing w:after="0"/>
              <w:rPr>
                <w:sz w:val="20"/>
                <w:szCs w:val="20"/>
                <w:color w:val="auto"/>
              </w:rPr>
            </w:pPr>
            <w:r>
              <w:rPr>
                <w:rFonts w:ascii="Arial" w:cs="Arial" w:eastAsia="Arial" w:hAnsi="Arial"/>
                <w:sz w:val="22"/>
                <w:szCs w:val="22"/>
                <w:color w:val="auto"/>
              </w:rPr>
              <w:t>LONG-TERM DEBT, less current portion</w:t>
            </w:r>
          </w:p>
        </w:tc>
        <w:tc>
          <w:tcPr>
            <w:tcW w:w="1440" w:type="dxa"/>
            <w:vAlign w:val="bottom"/>
            <w:gridSpan w:val="2"/>
          </w:tcPr>
          <w:p>
            <w:pPr>
              <w:jc w:val="right"/>
              <w:spacing w:after="0"/>
              <w:rPr>
                <w:sz w:val="20"/>
                <w:szCs w:val="20"/>
                <w:color w:val="auto"/>
              </w:rPr>
            </w:pPr>
            <w:r>
              <w:rPr>
                <w:rFonts w:ascii="Arial" w:cs="Arial" w:eastAsia="Arial" w:hAnsi="Arial"/>
                <w:sz w:val="22"/>
                <w:szCs w:val="22"/>
                <w:color w:val="auto"/>
              </w:rPr>
              <w:t>23,835</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27,956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80" w:type="dxa"/>
            <w:vAlign w:val="bottom"/>
          </w:tcPr>
          <w:p>
            <w:pPr>
              <w:spacing w:after="0"/>
              <w:rPr>
                <w:sz w:val="8"/>
                <w:szCs w:val="8"/>
                <w:color w:val="auto"/>
              </w:rPr>
            </w:pPr>
          </w:p>
        </w:tc>
        <w:tc>
          <w:tcPr>
            <w:tcW w:w="3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7520" w:type="dxa"/>
            <w:vAlign w:val="bottom"/>
            <w:gridSpan w:val="4"/>
          </w:tcPr>
          <w:p>
            <w:pPr>
              <w:spacing w:after="0"/>
              <w:rPr>
                <w:sz w:val="20"/>
                <w:szCs w:val="20"/>
                <w:color w:val="auto"/>
              </w:rPr>
            </w:pPr>
            <w:r>
              <w:rPr>
                <w:rFonts w:ascii="Arial" w:cs="Arial" w:eastAsia="Arial" w:hAnsi="Arial"/>
                <w:sz w:val="22"/>
                <w:szCs w:val="22"/>
                <w:color w:val="auto"/>
              </w:rPr>
              <w:t>DEFERRED INCOME TAXES</w:t>
            </w:r>
          </w:p>
        </w:tc>
        <w:tc>
          <w:tcPr>
            <w:tcW w:w="1440" w:type="dxa"/>
            <w:vAlign w:val="bottom"/>
            <w:gridSpan w:val="2"/>
          </w:tcPr>
          <w:p>
            <w:pPr>
              <w:jc w:val="right"/>
              <w:spacing w:after="0"/>
              <w:rPr>
                <w:sz w:val="20"/>
                <w:szCs w:val="20"/>
                <w:color w:val="auto"/>
              </w:rPr>
            </w:pPr>
            <w:r>
              <w:rPr>
                <w:rFonts w:ascii="Arial" w:cs="Arial" w:eastAsia="Arial" w:hAnsi="Arial"/>
                <w:sz w:val="22"/>
                <w:szCs w:val="22"/>
                <w:color w:val="auto"/>
              </w:rPr>
              <w:t>25,900</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23,104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80" w:type="dxa"/>
            <w:vAlign w:val="bottom"/>
          </w:tcPr>
          <w:p>
            <w:pPr>
              <w:spacing w:after="0"/>
              <w:rPr>
                <w:sz w:val="8"/>
                <w:szCs w:val="8"/>
                <w:color w:val="auto"/>
              </w:rPr>
            </w:pPr>
          </w:p>
        </w:tc>
        <w:tc>
          <w:tcPr>
            <w:tcW w:w="3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7520" w:type="dxa"/>
            <w:vAlign w:val="bottom"/>
            <w:gridSpan w:val="4"/>
          </w:tcPr>
          <w:p>
            <w:pPr>
              <w:spacing w:after="0"/>
              <w:rPr>
                <w:sz w:val="20"/>
                <w:szCs w:val="20"/>
                <w:color w:val="auto"/>
              </w:rPr>
            </w:pPr>
            <w:r>
              <w:rPr>
                <w:rFonts w:ascii="Arial" w:cs="Arial" w:eastAsia="Arial" w:hAnsi="Arial"/>
                <w:sz w:val="22"/>
                <w:szCs w:val="22"/>
                <w:color w:val="auto"/>
              </w:rPr>
              <w:t>OTHER NONCURRENT LIABILITIES</w:t>
            </w:r>
          </w:p>
        </w:tc>
        <w:tc>
          <w:tcPr>
            <w:tcW w:w="1440" w:type="dxa"/>
            <w:vAlign w:val="bottom"/>
            <w:gridSpan w:val="2"/>
          </w:tcPr>
          <w:p>
            <w:pPr>
              <w:jc w:val="right"/>
              <w:spacing w:after="0"/>
              <w:rPr>
                <w:sz w:val="20"/>
                <w:szCs w:val="20"/>
                <w:color w:val="auto"/>
              </w:rPr>
            </w:pPr>
            <w:r>
              <w:rPr>
                <w:rFonts w:ascii="Arial" w:cs="Arial" w:eastAsia="Arial" w:hAnsi="Arial"/>
                <w:sz w:val="22"/>
                <w:szCs w:val="22"/>
                <w:color w:val="auto"/>
              </w:rPr>
              <w:t>7,816</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7,161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80" w:type="dxa"/>
            <w:vAlign w:val="bottom"/>
          </w:tcPr>
          <w:p>
            <w:pPr>
              <w:spacing w:after="0"/>
              <w:rPr>
                <w:sz w:val="8"/>
                <w:szCs w:val="8"/>
                <w:color w:val="auto"/>
              </w:rPr>
            </w:pPr>
          </w:p>
        </w:tc>
        <w:tc>
          <w:tcPr>
            <w:tcW w:w="3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7520" w:type="dxa"/>
            <w:vAlign w:val="bottom"/>
            <w:gridSpan w:val="4"/>
          </w:tcPr>
          <w:p>
            <w:pPr>
              <w:spacing w:after="0"/>
              <w:rPr>
                <w:sz w:val="20"/>
                <w:szCs w:val="20"/>
                <w:color w:val="auto"/>
              </w:rPr>
            </w:pPr>
            <w:r>
              <w:rPr>
                <w:rFonts w:ascii="Arial" w:cs="Arial" w:eastAsia="Arial" w:hAnsi="Arial"/>
                <w:sz w:val="22"/>
                <w:szCs w:val="22"/>
                <w:color w:val="auto"/>
              </w:rPr>
              <w:t>MINORITY INTEREST</w:t>
            </w:r>
          </w:p>
        </w:tc>
        <w:tc>
          <w:tcPr>
            <w:tcW w:w="1440" w:type="dxa"/>
            <w:vAlign w:val="bottom"/>
            <w:gridSpan w:val="2"/>
          </w:tcPr>
          <w:p>
            <w:pPr>
              <w:jc w:val="right"/>
              <w:spacing w:after="0"/>
              <w:rPr>
                <w:sz w:val="20"/>
                <w:szCs w:val="20"/>
                <w:color w:val="auto"/>
              </w:rPr>
            </w:pPr>
            <w:r>
              <w:rPr>
                <w:rFonts w:ascii="Arial" w:cs="Arial" w:eastAsia="Arial" w:hAnsi="Arial"/>
                <w:sz w:val="22"/>
                <w:szCs w:val="22"/>
                <w:color w:val="auto"/>
              </w:rPr>
              <w:t>292</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249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520" w:type="dxa"/>
            <w:vAlign w:val="bottom"/>
            <w:gridSpan w:val="4"/>
            <w:vMerge w:val="restart"/>
          </w:tcPr>
          <w:p>
            <w:pPr>
              <w:spacing w:after="0"/>
              <w:rPr>
                <w:sz w:val="20"/>
                <w:szCs w:val="20"/>
                <w:color w:val="auto"/>
              </w:rPr>
            </w:pPr>
            <w:r>
              <w:rPr>
                <w:rFonts w:ascii="Arial" w:cs="Arial" w:eastAsia="Arial" w:hAnsi="Arial"/>
                <w:sz w:val="22"/>
                <w:szCs w:val="22"/>
                <w:color w:val="auto"/>
              </w:rPr>
              <w:t>NON-CURRENT LIABILITIES AND MINORITY INTEREST OF</w:t>
            </w:r>
          </w:p>
        </w:tc>
        <w:tc>
          <w:tcPr>
            <w:tcW w:w="6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752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520" w:type="dxa"/>
            <w:vAlign w:val="bottom"/>
            <w:gridSpan w:val="4"/>
          </w:tcPr>
          <w:p>
            <w:pPr>
              <w:ind w:left="180"/>
              <w:spacing w:after="0"/>
              <w:rPr>
                <w:sz w:val="20"/>
                <w:szCs w:val="20"/>
                <w:color w:val="auto"/>
              </w:rPr>
            </w:pPr>
            <w:r>
              <w:rPr>
                <w:rFonts w:ascii="Arial" w:cs="Arial" w:eastAsia="Arial" w:hAnsi="Arial"/>
                <w:sz w:val="22"/>
                <w:szCs w:val="22"/>
                <w:color w:val="auto"/>
              </w:rPr>
              <w:t>DISCONTINUED OPERATIONS</w:t>
            </w:r>
          </w:p>
        </w:tc>
        <w:tc>
          <w:tcPr>
            <w:tcW w:w="6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923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7520" w:type="dxa"/>
            <w:vAlign w:val="bottom"/>
            <w:gridSpan w:val="4"/>
            <w:vMerge w:val="restart"/>
          </w:tcPr>
          <w:p>
            <w:pPr>
              <w:spacing w:after="0"/>
              <w:rPr>
                <w:sz w:val="20"/>
                <w:szCs w:val="20"/>
                <w:color w:val="auto"/>
              </w:rPr>
            </w:pPr>
            <w:r>
              <w:rPr>
                <w:rFonts w:ascii="Arial" w:cs="Arial" w:eastAsia="Arial" w:hAnsi="Arial"/>
                <w:sz w:val="22"/>
                <w:szCs w:val="22"/>
                <w:color w:val="auto"/>
              </w:rPr>
              <w:t>COMMITMENTS AND CONTINGENCIES (NOTE 13)</w:t>
            </w:r>
          </w:p>
        </w:tc>
        <w:tc>
          <w:tcPr>
            <w:tcW w:w="6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752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7520" w:type="dxa"/>
            <w:vAlign w:val="bottom"/>
            <w:gridSpan w:val="4"/>
          </w:tcPr>
          <w:p>
            <w:pPr>
              <w:spacing w:after="0"/>
              <w:rPr>
                <w:sz w:val="20"/>
                <w:szCs w:val="20"/>
                <w:color w:val="auto"/>
              </w:rPr>
            </w:pPr>
            <w:r>
              <w:rPr>
                <w:rFonts w:ascii="Arial" w:cs="Arial" w:eastAsia="Arial" w:hAnsi="Arial"/>
                <w:sz w:val="22"/>
                <w:szCs w:val="22"/>
                <w:color w:val="auto"/>
              </w:rPr>
              <w:t>STOCKHOLDERS' EQUITY</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52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Preferred stock - authorized 20,000,000 shares; issued, zero</w:t>
            </w: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Class A common stock, $0.01 par value - authorized,</w:t>
            </w: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7,500,000,000 shares; issued, 1,601,161,057 and 1,599,014,148;</w:t>
            </w: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outstanding, 1,357,520,557 and 1,355,373,648</w:t>
            </w:r>
          </w:p>
        </w:tc>
        <w:tc>
          <w:tcPr>
            <w:tcW w:w="14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w:t>
            </w: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Class A special common stock, $0.01 par value - authorized,</w:t>
            </w: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7,500,000,000 shares; issued 931,732,876 and 930,633,433; outstanding,</w:t>
            </w: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884,443,033 and 883,343,590</w:t>
            </w:r>
          </w:p>
        </w:tc>
        <w:tc>
          <w:tcPr>
            <w:tcW w:w="14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w:t>
            </w: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Class B common stock, $0.01 par value - authorized, 75,000,000 shares;</w:t>
            </w: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issued, 9,444,375</w:t>
            </w: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Additional capital</w:t>
            </w:r>
          </w:p>
        </w:tc>
        <w:tc>
          <w:tcPr>
            <w:tcW w:w="14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44,742</w:t>
            </w: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44,620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Retained earnings</w:t>
            </w:r>
          </w:p>
        </w:tc>
        <w:tc>
          <w:tcPr>
            <w:tcW w:w="14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4,552</w:t>
            </w: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1,340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gridSpan w:val="4"/>
          </w:tcPr>
          <w:p>
            <w:pPr>
              <w:ind w:left="160"/>
              <w:spacing w:after="0" w:line="243" w:lineRule="exact"/>
              <w:rPr>
                <w:sz w:val="20"/>
                <w:szCs w:val="20"/>
                <w:color w:val="auto"/>
              </w:rPr>
            </w:pPr>
            <w:r>
              <w:rPr>
                <w:rFonts w:ascii="Arial" w:cs="Arial" w:eastAsia="Arial" w:hAnsi="Arial"/>
                <w:sz w:val="22"/>
                <w:szCs w:val="22"/>
                <w:color w:val="auto"/>
                <w:w w:val="96"/>
              </w:rPr>
              <w:t>Treasury stock, 243,640,500 Class A common shares and 47,289,843 Class A</w:t>
            </w: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gridSpan w:val="4"/>
          </w:tcPr>
          <w:p>
            <w:pPr>
              <w:ind w:left="340"/>
              <w:spacing w:after="0" w:line="243" w:lineRule="exact"/>
              <w:rPr>
                <w:sz w:val="20"/>
                <w:szCs w:val="20"/>
                <w:color w:val="auto"/>
              </w:rPr>
            </w:pPr>
            <w:r>
              <w:rPr>
                <w:rFonts w:ascii="Arial" w:cs="Arial" w:eastAsia="Arial" w:hAnsi="Arial"/>
                <w:sz w:val="22"/>
                <w:szCs w:val="22"/>
                <w:color w:val="auto"/>
              </w:rPr>
              <w:t>special common shares</w:t>
            </w:r>
          </w:p>
        </w:tc>
        <w:tc>
          <w:tcPr>
            <w:tcW w:w="174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(7,517)</w:t>
            </w: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(7,517)</w:t>
            </w:r>
          </w:p>
        </w:tc>
        <w:tc>
          <w:tcPr>
            <w:tcW w:w="0" w:type="dxa"/>
            <w:vAlign w:val="bottom"/>
          </w:tcPr>
          <w:p>
            <w:pPr>
              <w:spacing w:after="0"/>
              <w:rPr>
                <w:sz w:val="1"/>
                <w:szCs w:val="1"/>
                <w:color w:val="auto"/>
              </w:rPr>
            </w:pPr>
          </w:p>
        </w:tc>
      </w:tr>
      <w:tr>
        <w:trPr>
          <w:trHeight w:val="275"/>
        </w:trPr>
        <w:tc>
          <w:tcPr>
            <w:tcW w:w="7520" w:type="dxa"/>
            <w:vAlign w:val="bottom"/>
            <w:gridSpan w:val="4"/>
          </w:tcPr>
          <w:p>
            <w:pPr>
              <w:ind w:left="160"/>
              <w:spacing w:after="0"/>
              <w:rPr>
                <w:sz w:val="20"/>
                <w:szCs w:val="20"/>
                <w:color w:val="auto"/>
              </w:rPr>
            </w:pPr>
            <w:r>
              <w:rPr>
                <w:rFonts w:ascii="Arial" w:cs="Arial" w:eastAsia="Arial" w:hAnsi="Arial"/>
                <w:sz w:val="22"/>
                <w:szCs w:val="22"/>
                <w:color w:val="auto"/>
              </w:rPr>
              <w:t>Accumulated other comprehensive loss</w:t>
            </w:r>
          </w:p>
        </w:tc>
        <w:tc>
          <w:tcPr>
            <w:tcW w:w="1740" w:type="dxa"/>
            <w:vAlign w:val="bottom"/>
            <w:gridSpan w:val="3"/>
          </w:tcPr>
          <w:p>
            <w:pPr>
              <w:jc w:val="right"/>
              <w:ind w:right="220"/>
              <w:spacing w:after="0"/>
              <w:rPr>
                <w:sz w:val="20"/>
                <w:szCs w:val="20"/>
                <w:color w:val="auto"/>
              </w:rPr>
            </w:pPr>
            <w:r>
              <w:rPr>
                <w:rFonts w:ascii="Arial" w:cs="Arial" w:eastAsia="Arial" w:hAnsi="Arial"/>
                <w:sz w:val="22"/>
                <w:szCs w:val="22"/>
                <w:color w:val="auto"/>
              </w:rPr>
              <w:t>(140)</w:t>
            </w:r>
          </w:p>
        </w:tc>
        <w:tc>
          <w:tcPr>
            <w:tcW w:w="880" w:type="dxa"/>
            <w:vAlign w:val="bottom"/>
            <w:gridSpan w:val="2"/>
          </w:tcPr>
          <w:p>
            <w:pPr>
              <w:jc w:val="right"/>
              <w:spacing w:after="0"/>
              <w:rPr>
                <w:sz w:val="20"/>
                <w:szCs w:val="20"/>
                <w:color w:val="auto"/>
              </w:rPr>
            </w:pPr>
            <w:r>
              <w:rPr>
                <w:rFonts w:ascii="Arial" w:cs="Arial" w:eastAsia="Arial" w:hAnsi="Arial"/>
                <w:sz w:val="22"/>
                <w:szCs w:val="22"/>
                <w:color w:val="auto"/>
              </w:rPr>
              <w:t>(139)</w:t>
            </w:r>
          </w:p>
        </w:tc>
        <w:tc>
          <w:tcPr>
            <w:tcW w:w="0" w:type="dxa"/>
            <w:vAlign w:val="bottom"/>
          </w:tcPr>
          <w:p>
            <w:pPr>
              <w:spacing w:after="0"/>
              <w:rPr>
                <w:sz w:val="1"/>
                <w:szCs w:val="1"/>
                <w:color w:val="auto"/>
              </w:rPr>
            </w:pPr>
          </w:p>
        </w:tc>
      </w:tr>
      <w:tr>
        <w:trPr>
          <w:trHeight w:val="98"/>
        </w:trPr>
        <w:tc>
          <w:tcPr>
            <w:tcW w:w="380" w:type="dxa"/>
            <w:vAlign w:val="bottom"/>
          </w:tcPr>
          <w:p>
            <w:pPr>
              <w:spacing w:after="0"/>
              <w:rPr>
                <w:sz w:val="8"/>
                <w:szCs w:val="8"/>
                <w:color w:val="auto"/>
              </w:rPr>
            </w:pPr>
          </w:p>
        </w:tc>
        <w:tc>
          <w:tcPr>
            <w:tcW w:w="3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380" w:type="dxa"/>
            <w:vAlign w:val="bottom"/>
          </w:tcPr>
          <w:p>
            <w:pPr>
              <w:spacing w:after="0"/>
              <w:rPr>
                <w:sz w:val="24"/>
                <w:szCs w:val="24"/>
                <w:color w:val="auto"/>
              </w:rPr>
            </w:pPr>
          </w:p>
        </w:tc>
        <w:tc>
          <w:tcPr>
            <w:tcW w:w="7140" w:type="dxa"/>
            <w:vAlign w:val="bottom"/>
            <w:gridSpan w:val="3"/>
          </w:tcPr>
          <w:p>
            <w:pPr>
              <w:spacing w:after="0"/>
              <w:rPr>
                <w:sz w:val="20"/>
                <w:szCs w:val="20"/>
                <w:color w:val="auto"/>
              </w:rPr>
            </w:pPr>
            <w:r>
              <w:rPr>
                <w:rFonts w:ascii="Arial" w:cs="Arial" w:eastAsia="Arial" w:hAnsi="Arial"/>
                <w:sz w:val="22"/>
                <w:szCs w:val="22"/>
                <w:color w:val="auto"/>
              </w:rPr>
              <w:t>Total stockholders' equity</w:t>
            </w:r>
          </w:p>
        </w:tc>
        <w:tc>
          <w:tcPr>
            <w:tcW w:w="1440" w:type="dxa"/>
            <w:vAlign w:val="bottom"/>
            <w:gridSpan w:val="2"/>
          </w:tcPr>
          <w:p>
            <w:pPr>
              <w:jc w:val="right"/>
              <w:spacing w:after="0"/>
              <w:rPr>
                <w:sz w:val="20"/>
                <w:szCs w:val="20"/>
                <w:color w:val="auto"/>
              </w:rPr>
            </w:pPr>
            <w:r>
              <w:rPr>
                <w:rFonts w:ascii="Arial" w:cs="Arial" w:eastAsia="Arial" w:hAnsi="Arial"/>
                <w:sz w:val="22"/>
                <w:szCs w:val="22"/>
                <w:color w:val="auto"/>
              </w:rPr>
              <w:t>41,662</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38,329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80" w:type="dxa"/>
            <w:vAlign w:val="bottom"/>
          </w:tcPr>
          <w:p>
            <w:pPr>
              <w:spacing w:after="0"/>
              <w:rPr>
                <w:sz w:val="8"/>
                <w:szCs w:val="8"/>
                <w:color w:val="auto"/>
              </w:rPr>
            </w:pPr>
          </w:p>
        </w:tc>
        <w:tc>
          <w:tcPr>
            <w:tcW w:w="3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3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22"/>
                <w:szCs w:val="22"/>
                <w:color w:val="auto"/>
              </w:rPr>
              <w:t>$109,159</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w w:val="84"/>
              </w:rPr>
              <w:t>$113,128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520" w:type="dxa"/>
            <w:vAlign w:val="bottom"/>
            <w:gridSpan w:val="4"/>
            <w:vMerge w:val="restart"/>
          </w:tcPr>
          <w:p>
            <w:pPr>
              <w:spacing w:after="0"/>
              <w:rPr>
                <w:rFonts w:ascii="Arial" w:cs="Arial" w:eastAsia="Arial" w:hAnsi="Arial"/>
                <w:sz w:val="22"/>
                <w:szCs w:val="22"/>
                <w:color w:val="auto"/>
              </w:rPr>
            </w:pPr>
            <w:r>
              <w:rPr>
                <w:rFonts w:ascii="Arial" w:cs="Arial" w:eastAsia="Arial" w:hAnsi="Arial"/>
                <w:sz w:val="22"/>
                <w:szCs w:val="22"/>
                <w:color w:val="auto"/>
              </w:rPr>
              <w:t xml:space="preserve">See </w:t>
            </w:r>
            <w:hyperlink w:anchor="page64">
              <w:r>
                <w:rPr>
                  <w:rFonts w:ascii="Arial" w:cs="Arial" w:eastAsia="Arial" w:hAnsi="Arial"/>
                  <w:sz w:val="22"/>
                  <w:szCs w:val="22"/>
                  <w:color w:val="0000EE"/>
                </w:rPr>
                <w:t>notes to consolidated financial statements</w:t>
              </w:r>
            </w:hyperlink>
            <w:r>
              <w:rPr>
                <w:rFonts w:ascii="Arial" w:cs="Arial" w:eastAsia="Arial" w:hAnsi="Arial"/>
                <w:sz w:val="22"/>
                <w:szCs w:val="22"/>
                <w:color w:val="auto"/>
              </w:rPr>
              <w:t>.</w:t>
            </w:r>
          </w:p>
        </w:tc>
        <w:tc>
          <w:tcPr>
            <w:tcW w:w="6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3"/>
        </w:trPr>
        <w:tc>
          <w:tcPr>
            <w:tcW w:w="752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380" w:type="dxa"/>
            <w:vAlign w:val="bottom"/>
          </w:tcPr>
          <w:p>
            <w:pPr>
              <w:spacing w:after="0"/>
              <w:rPr>
                <w:sz w:val="24"/>
                <w:szCs w:val="24"/>
                <w:color w:val="auto"/>
              </w:rPr>
            </w:pPr>
          </w:p>
        </w:tc>
        <w:tc>
          <w:tcPr>
            <w:tcW w:w="3600" w:type="dxa"/>
            <w:vAlign w:val="bottom"/>
            <w:tcBorders>
              <w:top w:val="single" w:sz="8" w:color="0000EE"/>
            </w:tcBorders>
          </w:tcPr>
          <w:p>
            <w:pPr>
              <w:spacing w:after="0"/>
              <w:rPr>
                <w:sz w:val="24"/>
                <w:szCs w:val="24"/>
                <w:color w:val="auto"/>
              </w:rPr>
            </w:pPr>
          </w:p>
        </w:tc>
        <w:tc>
          <w:tcPr>
            <w:tcW w:w="3540" w:type="dxa"/>
            <w:vAlign w:val="bottom"/>
            <w:gridSpan w:val="2"/>
          </w:tcPr>
          <w:p>
            <w:pPr>
              <w:jc w:val="right"/>
              <w:ind w:right="1620"/>
              <w:spacing w:after="0"/>
              <w:rPr>
                <w:sz w:val="20"/>
                <w:szCs w:val="20"/>
                <w:color w:val="auto"/>
              </w:rPr>
            </w:pPr>
            <w:r>
              <w:rPr>
                <w:rFonts w:ascii="Arial" w:cs="Arial" w:eastAsia="Arial" w:hAnsi="Arial"/>
                <w:sz w:val="22"/>
                <w:szCs w:val="22"/>
                <w:color w:val="auto"/>
              </w:rPr>
              <w:t>- 2 -</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-8774430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-8774430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-8774430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-8774430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-670560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-670560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-670560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-670560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(Amounts in millions, except per share data)</w:t>
      </w:r>
    </w:p>
    <w:p>
      <w:pPr>
        <w:sectPr>
          <w:pgSz w:w="11900" w:h="16838" w:orient="portrait"/>
          <w:cols w:equalWidth="0" w:num="1">
            <w:col w:w="10219"/>
          </w:cols>
          <w:pgMar w:left="240" w:top="118" w:right="1440" w:bottom="0" w:gutter="0" w:footer="0" w:header="0"/>
        </w:sectPr>
      </w:pPr>
    </w:p>
    <w:bookmarkStart w:id="60" w:name="page61"/>
    <w:bookmarkEnd w:id="60"/>
    <w:p>
      <w:pPr>
        <w:jc w:val="center"/>
        <w:ind w:left="6160"/>
        <w:spacing w:after="0"/>
        <w:rPr>
          <w:sz w:val="20"/>
          <w:szCs w:val="20"/>
          <w:color w:val="auto"/>
        </w:rPr>
      </w:pPr>
      <w:r>
        <w:rPr>
          <w:rFonts w:ascii="Arial" w:cs="Arial" w:eastAsia="Arial" w:hAnsi="Arial"/>
          <w:sz w:val="19"/>
          <w:szCs w:val="19"/>
          <w:color w:val="auto"/>
        </w:rPr>
        <w:t>Year Ended December 31,</w:t>
      </w:r>
    </w:p>
    <w:p>
      <w:pPr>
        <w:spacing w:after="0" w:line="43" w:lineRule="exact"/>
        <w:rPr>
          <w:sz w:val="20"/>
          <w:szCs w:val="20"/>
          <w:color w:val="auto"/>
        </w:rPr>
      </w:pPr>
    </w:p>
    <w:p>
      <w:pPr>
        <w:ind w:left="7560"/>
        <w:spacing w:after="0"/>
        <w:tabs>
          <w:tab w:leader="none" w:pos="8580" w:val="left"/>
          <w:tab w:leader="none" w:pos="9580" w:val="left"/>
        </w:tabs>
        <w:rPr>
          <w:sz w:val="20"/>
          <w:szCs w:val="20"/>
          <w:color w:val="auto"/>
        </w:rPr>
      </w:pPr>
      <w:r>
        <w:rPr>
          <w:rFonts w:ascii="Arial" w:cs="Arial" w:eastAsia="Arial" w:hAnsi="Arial"/>
          <w:sz w:val="22"/>
          <w:szCs w:val="22"/>
          <w:color w:val="auto"/>
        </w:rPr>
        <w:t>2003</w:t>
      </w:r>
      <w:r>
        <w:rPr>
          <w:sz w:val="20"/>
          <w:szCs w:val="20"/>
          <w:color w:val="auto"/>
        </w:rPr>
        <w:tab/>
      </w:r>
      <w:r>
        <w:rPr>
          <w:rFonts w:ascii="Arial" w:cs="Arial" w:eastAsia="Arial" w:hAnsi="Arial"/>
          <w:sz w:val="22"/>
          <w:szCs w:val="22"/>
          <w:color w:val="auto"/>
        </w:rPr>
        <w:t>2002</w:t>
      </w:r>
      <w:r>
        <w:rPr>
          <w:sz w:val="20"/>
          <w:szCs w:val="20"/>
          <w:color w:val="auto"/>
        </w:rPr>
        <w:tab/>
      </w:r>
      <w:r>
        <w:rPr>
          <w:rFonts w:ascii="Arial" w:cs="Arial" w:eastAsia="Arial" w:hAnsi="Arial"/>
          <w:sz w:val="19"/>
          <w:szCs w:val="19"/>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64770</wp:posOffset>
            </wp:positionV>
            <wp:extent cx="17583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ectPr>
          <w:pgSz w:w="11900" w:h="16838" w:orient="portrait"/>
          <w:cols w:equalWidth="0" w:num="1">
            <w:col w:w="10240"/>
          </w:cols>
          <w:pgMar w:left="240" w:top="118" w:right="1419" w:bottom="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REVENUES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COSTS AND EXPENSES</w:t>
      </w:r>
    </w:p>
    <w:p>
      <w:pPr>
        <w:ind w:left="180"/>
        <w:spacing w:after="0" w:line="238" w:lineRule="auto"/>
        <w:rPr>
          <w:sz w:val="20"/>
          <w:szCs w:val="20"/>
          <w:color w:val="auto"/>
        </w:rPr>
      </w:pPr>
      <w:r>
        <w:rPr>
          <w:rFonts w:ascii="Arial" w:cs="Arial" w:eastAsia="Arial" w:hAnsi="Arial"/>
          <w:sz w:val="22"/>
          <w:szCs w:val="22"/>
          <w:color w:val="auto"/>
        </w:rPr>
        <w:t>Operating (excluding depreciation)</w:t>
      </w:r>
    </w:p>
    <w:p>
      <w:pPr>
        <w:ind w:left="180"/>
        <w:spacing w:after="0" w:line="230" w:lineRule="auto"/>
        <w:rPr>
          <w:sz w:val="20"/>
          <w:szCs w:val="20"/>
          <w:color w:val="auto"/>
        </w:rPr>
      </w:pPr>
      <w:r>
        <w:rPr>
          <w:rFonts w:ascii="Arial" w:cs="Arial" w:eastAsia="Arial" w:hAnsi="Arial"/>
          <w:sz w:val="22"/>
          <w:szCs w:val="22"/>
          <w:color w:val="auto"/>
        </w:rPr>
        <w:t>Selling, general and administrative</w:t>
      </w:r>
    </w:p>
    <w:p>
      <w:pPr>
        <w:ind w:left="180"/>
        <w:spacing w:after="0" w:line="231" w:lineRule="auto"/>
        <w:rPr>
          <w:sz w:val="20"/>
          <w:szCs w:val="20"/>
          <w:color w:val="auto"/>
        </w:rPr>
      </w:pPr>
      <w:r>
        <w:rPr>
          <w:rFonts w:ascii="Arial" w:cs="Arial" w:eastAsia="Arial" w:hAnsi="Arial"/>
          <w:sz w:val="22"/>
          <w:szCs w:val="22"/>
          <w:color w:val="auto"/>
        </w:rPr>
        <w:t>Depreciation</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OPERATING INCOME (LOSS)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OTHER INCOME (EXPENSE)</w:t>
      </w:r>
    </w:p>
    <w:p>
      <w:pPr>
        <w:ind w:left="180"/>
        <w:spacing w:after="0" w:line="238" w:lineRule="auto"/>
        <w:rPr>
          <w:sz w:val="20"/>
          <w:szCs w:val="20"/>
          <w:color w:val="auto"/>
        </w:rPr>
      </w:pPr>
      <w:r>
        <w:rPr>
          <w:rFonts w:ascii="Arial" w:cs="Arial" w:eastAsia="Arial" w:hAnsi="Arial"/>
          <w:sz w:val="22"/>
          <w:szCs w:val="22"/>
          <w:color w:val="auto"/>
        </w:rPr>
        <w:t>Interest expense</w:t>
      </w:r>
    </w:p>
    <w:p>
      <w:pPr>
        <w:ind w:left="180"/>
        <w:spacing w:after="0" w:line="230" w:lineRule="auto"/>
        <w:rPr>
          <w:sz w:val="20"/>
          <w:szCs w:val="20"/>
          <w:color w:val="auto"/>
        </w:rPr>
      </w:pPr>
      <w:r>
        <w:rPr>
          <w:rFonts w:ascii="Arial" w:cs="Arial" w:eastAsia="Arial" w:hAnsi="Arial"/>
          <w:sz w:val="22"/>
          <w:szCs w:val="22"/>
          <w:color w:val="auto"/>
        </w:rPr>
        <w:t>Investment income (loss), net</w:t>
      </w:r>
    </w:p>
    <w:p>
      <w:pPr>
        <w:ind w:left="180"/>
        <w:spacing w:after="0" w:line="231" w:lineRule="auto"/>
        <w:rPr>
          <w:sz w:val="20"/>
          <w:szCs w:val="20"/>
          <w:color w:val="auto"/>
        </w:rPr>
      </w:pPr>
      <w:r>
        <w:rPr>
          <w:rFonts w:ascii="Arial" w:cs="Arial" w:eastAsia="Arial" w:hAnsi="Arial"/>
          <w:sz w:val="22"/>
          <w:szCs w:val="22"/>
          <w:color w:val="auto"/>
        </w:rPr>
        <w:t>Equity in net losses of affiliates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Other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80"/>
        <w:spacing w:after="0" w:line="239" w:lineRule="auto"/>
        <w:rPr>
          <w:sz w:val="20"/>
          <w:szCs w:val="20"/>
          <w:color w:val="auto"/>
        </w:rPr>
      </w:pPr>
      <w:r>
        <w:rPr>
          <w:rFonts w:ascii="Arial" w:cs="Arial" w:eastAsia="Arial" w:hAnsi="Arial"/>
          <w:sz w:val="22"/>
          <w:szCs w:val="22"/>
          <w:color w:val="auto"/>
        </w:rPr>
        <w:t>INCOME (LOSS) FROM CONTINUING OPERATIONS BEFORE INCOME TAXES,</w:t>
      </w:r>
    </w:p>
    <w:p>
      <w:pPr>
        <w:ind w:right="340" w:firstLine="162"/>
        <w:spacing w:after="0" w:line="237" w:lineRule="auto"/>
        <w:rPr>
          <w:sz w:val="20"/>
          <w:szCs w:val="20"/>
          <w:color w:val="auto"/>
        </w:rPr>
      </w:pPr>
      <w:r>
        <w:rPr>
          <w:rFonts w:ascii="Arial" w:cs="Arial" w:eastAsia="Arial" w:hAnsi="Arial"/>
          <w:sz w:val="22"/>
          <w:szCs w:val="22"/>
          <w:color w:val="auto"/>
        </w:rPr>
        <w:t>MINORITY INTEREST AND CUMULATIVE EFFECT OF ACCOUNTING CHANGE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INCOME TAX BENEFIT (EXPENSE)</w:t>
      </w:r>
    </w:p>
    <w:p>
      <w:pPr>
        <w:spacing w:after="0" w:line="200" w:lineRule="exact"/>
        <w:rPr>
          <w:sz w:val="20"/>
          <w:szCs w:val="20"/>
          <w:color w:val="auto"/>
        </w:rPr>
      </w:pPr>
    </w:p>
    <w:p>
      <w:pPr>
        <w:spacing w:after="0" w:line="263" w:lineRule="exact"/>
        <w:rPr>
          <w:sz w:val="20"/>
          <w:szCs w:val="20"/>
          <w:color w:val="auto"/>
        </w:rPr>
      </w:pPr>
    </w:p>
    <w:p>
      <w:pPr>
        <w:ind w:left="180" w:right="240" w:hanging="161"/>
        <w:spacing w:after="0" w:line="328" w:lineRule="auto"/>
        <w:rPr>
          <w:sz w:val="20"/>
          <w:szCs w:val="20"/>
          <w:color w:val="auto"/>
        </w:rPr>
      </w:pPr>
      <w:r>
        <w:rPr>
          <w:rFonts w:ascii="Arial" w:cs="Arial" w:eastAsia="Arial" w:hAnsi="Arial"/>
          <w:sz w:val="19"/>
          <w:szCs w:val="19"/>
          <w:color w:val="auto"/>
        </w:rPr>
        <w:t>INCOME (LOSS) FROM CONTINUING OPERATIONS BEFORE MINORITY INTEREST AND CUMULATIVE EFFECT OF ACCOUNTING CHANGE</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MINORITY INTEREST</w:t>
      </w:r>
    </w:p>
    <w:p>
      <w:pPr>
        <w:spacing w:after="0" w:line="200" w:lineRule="exact"/>
        <w:rPr>
          <w:sz w:val="20"/>
          <w:szCs w:val="20"/>
          <w:color w:val="auto"/>
        </w:rPr>
      </w:pPr>
    </w:p>
    <w:p>
      <w:pPr>
        <w:spacing w:after="0" w:line="263" w:lineRule="exact"/>
        <w:rPr>
          <w:sz w:val="20"/>
          <w:szCs w:val="20"/>
          <w:color w:val="auto"/>
        </w:rPr>
      </w:pPr>
    </w:p>
    <w:p>
      <w:pPr>
        <w:ind w:right="1380"/>
        <w:spacing w:after="0" w:line="239" w:lineRule="auto"/>
        <w:rPr>
          <w:sz w:val="20"/>
          <w:szCs w:val="20"/>
          <w:color w:val="auto"/>
        </w:rPr>
      </w:pPr>
      <w:r>
        <w:rPr>
          <w:rFonts w:ascii="Arial" w:cs="Arial" w:eastAsia="Arial" w:hAnsi="Arial"/>
          <w:sz w:val="22"/>
          <w:szCs w:val="22"/>
          <w:color w:val="auto"/>
        </w:rPr>
        <w:t>INCOME (LOSS) FROM CONTINUING OPERATIONS BEFORE CUMULATIVE EFFECT</w:t>
      </w:r>
    </w:p>
    <w:p>
      <w:pPr>
        <w:ind w:left="220"/>
        <w:spacing w:after="0"/>
        <w:rPr>
          <w:sz w:val="20"/>
          <w:szCs w:val="20"/>
          <w:color w:val="auto"/>
        </w:rPr>
      </w:pPr>
      <w:r>
        <w:rPr>
          <w:rFonts w:ascii="Arial" w:cs="Arial" w:eastAsia="Arial" w:hAnsi="Arial"/>
          <w:sz w:val="22"/>
          <w:szCs w:val="22"/>
          <w:color w:val="auto"/>
        </w:rPr>
        <w:t>OF ACCOUNTING CHANGE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INCOME FROM DISCONTINUED OPERATIONS, net of tax</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GAIN ON DISCONTINUED OPERATIONS, net of tax</w:t>
      </w:r>
    </w:p>
    <w:p>
      <w:pPr>
        <w:spacing w:after="0" w:line="200" w:lineRule="exact"/>
        <w:rPr>
          <w:sz w:val="20"/>
          <w:szCs w:val="20"/>
          <w:color w:val="auto"/>
        </w:rPr>
      </w:pPr>
    </w:p>
    <w:p>
      <w:pPr>
        <w:spacing w:after="0" w:line="263" w:lineRule="exact"/>
        <w:rPr>
          <w:sz w:val="20"/>
          <w:szCs w:val="20"/>
          <w:color w:val="auto"/>
        </w:rPr>
      </w:pPr>
    </w:p>
    <w:p>
      <w:pPr>
        <w:ind w:right="720"/>
        <w:spacing w:after="0" w:line="251" w:lineRule="auto"/>
        <w:rPr>
          <w:sz w:val="20"/>
          <w:szCs w:val="20"/>
          <w:color w:val="auto"/>
        </w:rPr>
      </w:pPr>
      <w:r>
        <w:rPr>
          <w:rFonts w:ascii="Arial" w:cs="Arial" w:eastAsia="Arial" w:hAnsi="Arial"/>
          <w:sz w:val="22"/>
          <w:szCs w:val="22"/>
          <w:color w:val="auto"/>
        </w:rPr>
        <w:t>INCOME (LOSS) BEFORE CUMULATIVE EFFECT OF ACCOUNTING CHANGE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CUMULATIVE EFFECT OF ACCOUNTING CHANGE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NET INCOME (LOSS)</w:t>
      </w:r>
    </w:p>
    <w:p>
      <w:pPr>
        <w:spacing w:after="0" w:line="200" w:lineRule="exact"/>
        <w:rPr>
          <w:sz w:val="20"/>
          <w:szCs w:val="20"/>
          <w:color w:val="auto"/>
        </w:rPr>
      </w:pPr>
    </w:p>
    <w:p>
      <w:pPr>
        <w:spacing w:after="0" w:line="276"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BASIC EARNINGS (LOSS) FOR COMMON STOCKHOLDERS PER COMMON SHARE</w:t>
      </w:r>
    </w:p>
    <w:p>
      <w:pPr>
        <w:ind w:left="280" w:right="1140" w:hanging="107"/>
        <w:spacing w:after="0" w:line="230" w:lineRule="auto"/>
        <w:rPr>
          <w:sz w:val="20"/>
          <w:szCs w:val="20"/>
          <w:color w:val="auto"/>
        </w:rPr>
      </w:pPr>
      <w:r>
        <w:rPr>
          <w:rFonts w:ascii="Arial" w:cs="Arial" w:eastAsia="Arial" w:hAnsi="Arial"/>
          <w:sz w:val="22"/>
          <w:szCs w:val="22"/>
          <w:color w:val="auto"/>
        </w:rPr>
        <w:t>Income (loss) from continuing operations before cumulative effect of accounting change</w:t>
      </w:r>
    </w:p>
    <w:p>
      <w:pPr>
        <w:ind w:left="180"/>
        <w:spacing w:after="0" w:line="231" w:lineRule="auto"/>
        <w:rPr>
          <w:sz w:val="20"/>
          <w:szCs w:val="20"/>
          <w:color w:val="auto"/>
        </w:rPr>
      </w:pPr>
      <w:r>
        <w:rPr>
          <w:rFonts w:ascii="Arial" w:cs="Arial" w:eastAsia="Arial" w:hAnsi="Arial"/>
          <w:sz w:val="22"/>
          <w:szCs w:val="22"/>
          <w:color w:val="auto"/>
        </w:rPr>
        <w:t>Income from discontinued operations</w:t>
      </w:r>
    </w:p>
    <w:p>
      <w:pPr>
        <w:ind w:left="180"/>
        <w:spacing w:after="0" w:line="231" w:lineRule="auto"/>
        <w:rPr>
          <w:sz w:val="20"/>
          <w:szCs w:val="20"/>
          <w:color w:val="auto"/>
        </w:rPr>
      </w:pPr>
      <w:r>
        <w:rPr>
          <w:rFonts w:ascii="Arial" w:cs="Arial" w:eastAsia="Arial" w:hAnsi="Arial"/>
          <w:sz w:val="22"/>
          <w:szCs w:val="22"/>
          <w:color w:val="auto"/>
        </w:rPr>
        <w:t>Gain on discontinued operations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Cumulative effect of accounting change</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Net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740" w:type="dxa"/>
            <w:vAlign w:val="bottom"/>
          </w:tcPr>
          <w:p>
            <w:pPr>
              <w:jc w:val="right"/>
              <w:spacing w:after="0"/>
              <w:rPr>
                <w:sz w:val="20"/>
                <w:szCs w:val="20"/>
                <w:color w:val="auto"/>
              </w:rPr>
            </w:pPr>
            <w:r>
              <w:rPr>
                <w:rFonts w:ascii="Arial" w:cs="Arial" w:eastAsia="Arial" w:hAnsi="Arial"/>
                <w:sz w:val="22"/>
                <w:szCs w:val="22"/>
                <w:color w:val="auto"/>
                <w:w w:val="90"/>
              </w:rPr>
              <w:t>$18,348</w:t>
            </w:r>
          </w:p>
        </w:tc>
        <w:tc>
          <w:tcPr>
            <w:tcW w:w="300" w:type="dxa"/>
            <w:vAlign w:val="bottom"/>
          </w:tcPr>
          <w:p>
            <w:pPr>
              <w:spacing w:after="0"/>
              <w:rPr>
                <w:sz w:val="23"/>
                <w:szCs w:val="2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22"/>
                <w:szCs w:val="22"/>
                <w:color w:val="auto"/>
              </w:rPr>
              <w:t>$8,102</w:t>
            </w:r>
          </w:p>
        </w:tc>
        <w:tc>
          <w:tcPr>
            <w:tcW w:w="720" w:type="dxa"/>
            <w:vAlign w:val="bottom"/>
          </w:tcPr>
          <w:p>
            <w:pPr>
              <w:jc w:val="right"/>
              <w:spacing w:after="0"/>
              <w:rPr>
                <w:sz w:val="20"/>
                <w:szCs w:val="20"/>
                <w:color w:val="auto"/>
              </w:rPr>
            </w:pPr>
            <w:r>
              <w:rPr>
                <w:rFonts w:ascii="Arial" w:cs="Arial" w:eastAsia="Arial" w:hAnsi="Arial"/>
                <w:sz w:val="22"/>
                <w:szCs w:val="22"/>
                <w:color w:val="auto"/>
              </w:rPr>
              <w:t>$5,937</w:t>
            </w:r>
          </w:p>
        </w:tc>
        <w:tc>
          <w:tcPr>
            <w:tcW w:w="60" w:type="dxa"/>
            <w:vAlign w:val="bottom"/>
          </w:tcPr>
          <w:p>
            <w:pPr>
              <w:spacing w:after="0"/>
              <w:rPr>
                <w:sz w:val="23"/>
                <w:szCs w:val="23"/>
                <w:color w:val="auto"/>
              </w:rPr>
            </w:pPr>
          </w:p>
        </w:tc>
      </w:tr>
      <w:tr>
        <w:trPr>
          <w:trHeight w:val="698"/>
        </w:trPr>
        <w:tc>
          <w:tcPr>
            <w:tcW w:w="740" w:type="dxa"/>
            <w:vAlign w:val="bottom"/>
          </w:tcPr>
          <w:p>
            <w:pPr>
              <w:jc w:val="right"/>
              <w:spacing w:after="0"/>
              <w:rPr>
                <w:sz w:val="20"/>
                <w:szCs w:val="20"/>
                <w:color w:val="auto"/>
              </w:rPr>
            </w:pPr>
            <w:r>
              <w:rPr>
                <w:rFonts w:ascii="Arial" w:cs="Arial" w:eastAsia="Arial" w:hAnsi="Arial"/>
                <w:sz w:val="22"/>
                <w:szCs w:val="22"/>
                <w:color w:val="auto"/>
              </w:rPr>
              <w:t>7,041</w:t>
            </w:r>
          </w:p>
        </w:tc>
        <w:tc>
          <w:tcPr>
            <w:tcW w:w="3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22"/>
                <w:szCs w:val="22"/>
                <w:color w:val="auto"/>
              </w:rPr>
              <w:t>3,012</w:t>
            </w:r>
          </w:p>
        </w:tc>
        <w:tc>
          <w:tcPr>
            <w:tcW w:w="720" w:type="dxa"/>
            <w:vAlign w:val="bottom"/>
          </w:tcPr>
          <w:p>
            <w:pPr>
              <w:jc w:val="right"/>
              <w:spacing w:after="0"/>
              <w:rPr>
                <w:sz w:val="20"/>
                <w:szCs w:val="20"/>
                <w:color w:val="auto"/>
              </w:rPr>
            </w:pPr>
            <w:r>
              <w:rPr>
                <w:rFonts w:ascii="Arial" w:cs="Arial" w:eastAsia="Arial" w:hAnsi="Arial"/>
                <w:sz w:val="22"/>
                <w:szCs w:val="22"/>
                <w:color w:val="auto"/>
              </w:rPr>
              <w:t>2,446</w:t>
            </w:r>
          </w:p>
        </w:tc>
        <w:tc>
          <w:tcPr>
            <w:tcW w:w="60" w:type="dxa"/>
            <w:vAlign w:val="bottom"/>
          </w:tcPr>
          <w:p>
            <w:pPr>
              <w:spacing w:after="0"/>
              <w:rPr>
                <w:sz w:val="24"/>
                <w:szCs w:val="24"/>
                <w:color w:val="auto"/>
              </w:rPr>
            </w:pPr>
          </w:p>
        </w:tc>
      </w:tr>
      <w:tr>
        <w:trPr>
          <w:trHeight w:val="243"/>
        </w:trPr>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4,915</w:t>
            </w:r>
          </w:p>
        </w:tc>
        <w:tc>
          <w:tcPr>
            <w:tcW w:w="300" w:type="dxa"/>
            <w:vAlign w:val="bottom"/>
          </w:tcPr>
          <w:p>
            <w:pPr>
              <w:spacing w:after="0"/>
              <w:rPr>
                <w:sz w:val="21"/>
                <w:szCs w:val="21"/>
                <w:color w:val="auto"/>
              </w:rPr>
            </w:pPr>
          </w:p>
        </w:tc>
        <w:tc>
          <w:tcPr>
            <w:tcW w:w="10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2,254</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1,543</w:t>
            </w:r>
          </w:p>
        </w:tc>
        <w:tc>
          <w:tcPr>
            <w:tcW w:w="60" w:type="dxa"/>
            <w:vAlign w:val="bottom"/>
          </w:tcPr>
          <w:p>
            <w:pPr>
              <w:spacing w:after="0"/>
              <w:rPr>
                <w:sz w:val="21"/>
                <w:szCs w:val="21"/>
                <w:color w:val="auto"/>
              </w:rPr>
            </w:pPr>
          </w:p>
        </w:tc>
      </w:tr>
      <w:tr>
        <w:trPr>
          <w:trHeight w:val="243"/>
        </w:trPr>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3,166</w:t>
            </w:r>
          </w:p>
        </w:tc>
        <w:tc>
          <w:tcPr>
            <w:tcW w:w="300" w:type="dxa"/>
            <w:vAlign w:val="bottom"/>
          </w:tcPr>
          <w:p>
            <w:pPr>
              <w:spacing w:after="0"/>
              <w:rPr>
                <w:sz w:val="21"/>
                <w:szCs w:val="21"/>
                <w:color w:val="auto"/>
              </w:rPr>
            </w:pPr>
          </w:p>
        </w:tc>
        <w:tc>
          <w:tcPr>
            <w:tcW w:w="10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1,694</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1,130</w:t>
            </w:r>
          </w:p>
        </w:tc>
        <w:tc>
          <w:tcPr>
            <w:tcW w:w="60" w:type="dxa"/>
            <w:vAlign w:val="bottom"/>
          </w:tcPr>
          <w:p>
            <w:pPr>
              <w:spacing w:after="0"/>
              <w:rPr>
                <w:sz w:val="21"/>
                <w:szCs w:val="21"/>
                <w:color w:val="auto"/>
              </w:rPr>
            </w:pPr>
          </w:p>
        </w:tc>
      </w:tr>
      <w:tr>
        <w:trPr>
          <w:trHeight w:val="275"/>
        </w:trPr>
        <w:tc>
          <w:tcPr>
            <w:tcW w:w="740" w:type="dxa"/>
            <w:vAlign w:val="bottom"/>
          </w:tcPr>
          <w:p>
            <w:pPr>
              <w:jc w:val="right"/>
              <w:spacing w:after="0"/>
              <w:rPr>
                <w:sz w:val="20"/>
                <w:szCs w:val="20"/>
                <w:color w:val="auto"/>
              </w:rPr>
            </w:pPr>
            <w:r>
              <w:rPr>
                <w:rFonts w:ascii="Arial" w:cs="Arial" w:eastAsia="Arial" w:hAnsi="Arial"/>
                <w:sz w:val="22"/>
                <w:szCs w:val="22"/>
                <w:color w:val="auto"/>
              </w:rPr>
              <w:t>1,272</w:t>
            </w:r>
          </w:p>
        </w:tc>
        <w:tc>
          <w:tcPr>
            <w:tcW w:w="300" w:type="dxa"/>
            <w:vAlign w:val="bottom"/>
          </w:tcPr>
          <w:p>
            <w:pPr>
              <w:spacing w:after="0"/>
              <w:rPr>
                <w:sz w:val="23"/>
                <w:szCs w:val="2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22"/>
                <w:szCs w:val="22"/>
                <w:color w:val="auto"/>
              </w:rPr>
              <w:t>221</w:t>
            </w:r>
          </w:p>
        </w:tc>
        <w:tc>
          <w:tcPr>
            <w:tcW w:w="720" w:type="dxa"/>
            <w:vAlign w:val="bottom"/>
          </w:tcPr>
          <w:p>
            <w:pPr>
              <w:jc w:val="right"/>
              <w:spacing w:after="0"/>
              <w:rPr>
                <w:sz w:val="20"/>
                <w:szCs w:val="20"/>
                <w:color w:val="auto"/>
              </w:rPr>
            </w:pPr>
            <w:r>
              <w:rPr>
                <w:rFonts w:ascii="Arial" w:cs="Arial" w:eastAsia="Arial" w:hAnsi="Arial"/>
                <w:sz w:val="22"/>
                <w:szCs w:val="22"/>
                <w:color w:val="auto"/>
              </w:rPr>
              <w:t>2,143</w:t>
            </w:r>
          </w:p>
        </w:tc>
        <w:tc>
          <w:tcPr>
            <w:tcW w:w="60" w:type="dxa"/>
            <w:vAlign w:val="bottom"/>
          </w:tcPr>
          <w:p>
            <w:pPr>
              <w:spacing w:after="0"/>
              <w:rPr>
                <w:sz w:val="23"/>
                <w:szCs w:val="23"/>
                <w:color w:val="auto"/>
              </w:rPr>
            </w:pPr>
          </w:p>
        </w:tc>
      </w:tr>
      <w:tr>
        <w:trPr>
          <w:trHeight w:val="98"/>
        </w:trPr>
        <w:tc>
          <w:tcPr>
            <w:tcW w:w="7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r>
      <w:tr>
        <w:trPr>
          <w:trHeight w:val="355"/>
        </w:trPr>
        <w:tc>
          <w:tcPr>
            <w:tcW w:w="740" w:type="dxa"/>
            <w:vAlign w:val="bottom"/>
          </w:tcPr>
          <w:p>
            <w:pPr>
              <w:jc w:val="right"/>
              <w:spacing w:after="0"/>
              <w:rPr>
                <w:sz w:val="20"/>
                <w:szCs w:val="20"/>
                <w:color w:val="auto"/>
              </w:rPr>
            </w:pPr>
            <w:r>
              <w:rPr>
                <w:rFonts w:ascii="Arial" w:cs="Arial" w:eastAsia="Arial" w:hAnsi="Arial"/>
                <w:sz w:val="22"/>
                <w:szCs w:val="22"/>
                <w:color w:val="auto"/>
              </w:rPr>
              <w:t>16,394</w:t>
            </w:r>
          </w:p>
        </w:tc>
        <w:tc>
          <w:tcPr>
            <w:tcW w:w="3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22"/>
                <w:szCs w:val="22"/>
                <w:color w:val="auto"/>
              </w:rPr>
              <w:t>7,181</w:t>
            </w:r>
          </w:p>
        </w:tc>
        <w:tc>
          <w:tcPr>
            <w:tcW w:w="720" w:type="dxa"/>
            <w:vAlign w:val="bottom"/>
          </w:tcPr>
          <w:p>
            <w:pPr>
              <w:jc w:val="right"/>
              <w:spacing w:after="0"/>
              <w:rPr>
                <w:sz w:val="20"/>
                <w:szCs w:val="20"/>
                <w:color w:val="auto"/>
              </w:rPr>
            </w:pPr>
            <w:r>
              <w:rPr>
                <w:rFonts w:ascii="Arial" w:cs="Arial" w:eastAsia="Arial" w:hAnsi="Arial"/>
                <w:sz w:val="22"/>
                <w:szCs w:val="22"/>
                <w:color w:val="auto"/>
              </w:rPr>
              <w:t>7,262</w:t>
            </w:r>
          </w:p>
        </w:tc>
        <w:tc>
          <w:tcPr>
            <w:tcW w:w="60" w:type="dxa"/>
            <w:vAlign w:val="bottom"/>
          </w:tcPr>
          <w:p>
            <w:pPr>
              <w:spacing w:after="0"/>
              <w:rPr>
                <w:sz w:val="24"/>
                <w:szCs w:val="24"/>
                <w:color w:val="auto"/>
              </w:rPr>
            </w:pPr>
          </w:p>
        </w:tc>
      </w:tr>
      <w:tr>
        <w:trPr>
          <w:trHeight w:val="98"/>
        </w:trPr>
        <w:tc>
          <w:tcPr>
            <w:tcW w:w="7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r>
      <w:tr>
        <w:trPr>
          <w:trHeight w:val="598"/>
        </w:trPr>
        <w:tc>
          <w:tcPr>
            <w:tcW w:w="740" w:type="dxa"/>
            <w:vAlign w:val="bottom"/>
          </w:tcPr>
          <w:p>
            <w:pPr>
              <w:jc w:val="right"/>
              <w:spacing w:after="0"/>
              <w:rPr>
                <w:sz w:val="20"/>
                <w:szCs w:val="20"/>
                <w:color w:val="auto"/>
              </w:rPr>
            </w:pPr>
            <w:r>
              <w:rPr>
                <w:rFonts w:ascii="Arial" w:cs="Arial" w:eastAsia="Arial" w:hAnsi="Arial"/>
                <w:sz w:val="22"/>
                <w:szCs w:val="22"/>
                <w:color w:val="auto"/>
              </w:rPr>
              <w:t>1,954</w:t>
            </w:r>
          </w:p>
        </w:tc>
        <w:tc>
          <w:tcPr>
            <w:tcW w:w="3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22"/>
                <w:szCs w:val="22"/>
                <w:color w:val="auto"/>
              </w:rPr>
              <w:t>921</w:t>
            </w:r>
          </w:p>
        </w:tc>
        <w:tc>
          <w:tcPr>
            <w:tcW w:w="780" w:type="dxa"/>
            <w:vAlign w:val="bottom"/>
            <w:gridSpan w:val="2"/>
          </w:tcPr>
          <w:p>
            <w:pPr>
              <w:jc w:val="right"/>
              <w:spacing w:after="0"/>
              <w:rPr>
                <w:sz w:val="20"/>
                <w:szCs w:val="20"/>
                <w:color w:val="auto"/>
              </w:rPr>
            </w:pPr>
            <w:r>
              <w:rPr>
                <w:rFonts w:ascii="Arial" w:cs="Arial" w:eastAsia="Arial" w:hAnsi="Arial"/>
                <w:sz w:val="22"/>
                <w:szCs w:val="22"/>
                <w:color w:val="auto"/>
              </w:rPr>
              <w:t>(1,325)</w:t>
            </w:r>
          </w:p>
        </w:tc>
      </w:tr>
      <w:tr>
        <w:trPr>
          <w:trHeight w:val="698"/>
        </w:trPr>
        <w:tc>
          <w:tcPr>
            <w:tcW w:w="1040" w:type="dxa"/>
            <w:vAlign w:val="bottom"/>
            <w:gridSpan w:val="2"/>
          </w:tcPr>
          <w:p>
            <w:pPr>
              <w:jc w:val="right"/>
              <w:ind w:right="220"/>
              <w:spacing w:after="0"/>
              <w:rPr>
                <w:sz w:val="20"/>
                <w:szCs w:val="20"/>
                <w:color w:val="auto"/>
              </w:rPr>
            </w:pPr>
            <w:r>
              <w:rPr>
                <w:rFonts w:ascii="Arial" w:cs="Arial" w:eastAsia="Arial" w:hAnsi="Arial"/>
                <w:sz w:val="22"/>
                <w:szCs w:val="22"/>
                <w:color w:val="auto"/>
              </w:rPr>
              <w:t>(2,018)</w:t>
            </w:r>
          </w:p>
        </w:tc>
        <w:tc>
          <w:tcPr>
            <w:tcW w:w="1020" w:type="dxa"/>
            <w:vAlign w:val="bottom"/>
            <w:gridSpan w:val="2"/>
          </w:tcPr>
          <w:p>
            <w:pPr>
              <w:jc w:val="right"/>
              <w:ind w:right="220"/>
              <w:spacing w:after="0"/>
              <w:rPr>
                <w:sz w:val="20"/>
                <w:szCs w:val="20"/>
                <w:color w:val="auto"/>
              </w:rPr>
            </w:pPr>
            <w:r>
              <w:rPr>
                <w:rFonts w:ascii="Arial" w:cs="Arial" w:eastAsia="Arial" w:hAnsi="Arial"/>
                <w:sz w:val="22"/>
                <w:szCs w:val="22"/>
                <w:color w:val="auto"/>
              </w:rPr>
              <w:t>(870)</w:t>
            </w:r>
          </w:p>
        </w:tc>
        <w:tc>
          <w:tcPr>
            <w:tcW w:w="780" w:type="dxa"/>
            <w:vAlign w:val="bottom"/>
            <w:gridSpan w:val="2"/>
          </w:tcPr>
          <w:p>
            <w:pPr>
              <w:jc w:val="right"/>
              <w:spacing w:after="0"/>
              <w:rPr>
                <w:sz w:val="20"/>
                <w:szCs w:val="20"/>
                <w:color w:val="auto"/>
              </w:rPr>
            </w:pPr>
            <w:r>
              <w:rPr>
                <w:rFonts w:ascii="Arial" w:cs="Arial" w:eastAsia="Arial" w:hAnsi="Arial"/>
                <w:sz w:val="22"/>
                <w:szCs w:val="22"/>
                <w:color w:val="auto"/>
              </w:rPr>
              <w:t>(708)</w:t>
            </w:r>
          </w:p>
        </w:tc>
      </w:tr>
      <w:tr>
        <w:trPr>
          <w:trHeight w:val="243"/>
        </w:trPr>
        <w:tc>
          <w:tcPr>
            <w:tcW w:w="10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(84)</w:t>
            </w:r>
          </w:p>
        </w:tc>
        <w:tc>
          <w:tcPr>
            <w:tcW w:w="10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(543)</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986</w:t>
            </w:r>
          </w:p>
        </w:tc>
        <w:tc>
          <w:tcPr>
            <w:tcW w:w="60" w:type="dxa"/>
            <w:vAlign w:val="bottom"/>
          </w:tcPr>
          <w:p>
            <w:pPr>
              <w:spacing w:after="0"/>
              <w:rPr>
                <w:sz w:val="21"/>
                <w:szCs w:val="21"/>
                <w:color w:val="auto"/>
              </w:rPr>
            </w:pPr>
          </w:p>
        </w:tc>
      </w:tr>
      <w:tr>
        <w:trPr>
          <w:trHeight w:val="243"/>
        </w:trPr>
        <w:tc>
          <w:tcPr>
            <w:tcW w:w="10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(60)</w:t>
            </w:r>
          </w:p>
        </w:tc>
        <w:tc>
          <w:tcPr>
            <w:tcW w:w="10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(63)</w:t>
            </w:r>
          </w:p>
        </w:tc>
        <w:tc>
          <w:tcPr>
            <w:tcW w:w="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75"/>
        </w:trPr>
        <w:tc>
          <w:tcPr>
            <w:tcW w:w="740" w:type="dxa"/>
            <w:vAlign w:val="bottom"/>
          </w:tcPr>
          <w:p>
            <w:pPr>
              <w:jc w:val="right"/>
              <w:spacing w:after="0"/>
              <w:rPr>
                <w:sz w:val="20"/>
                <w:szCs w:val="20"/>
                <w:color w:val="auto"/>
              </w:rPr>
            </w:pPr>
            <w:r>
              <w:rPr>
                <w:rFonts w:ascii="Arial" w:cs="Arial" w:eastAsia="Arial" w:hAnsi="Arial"/>
                <w:sz w:val="22"/>
                <w:szCs w:val="22"/>
                <w:color w:val="auto"/>
              </w:rPr>
              <w:t>71</w:t>
            </w:r>
          </w:p>
        </w:tc>
        <w:tc>
          <w:tcPr>
            <w:tcW w:w="300" w:type="dxa"/>
            <w:vAlign w:val="bottom"/>
          </w:tcPr>
          <w:p>
            <w:pPr>
              <w:spacing w:after="0"/>
              <w:rPr>
                <w:sz w:val="23"/>
                <w:szCs w:val="2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22"/>
                <w:szCs w:val="22"/>
                <w:color w:val="auto"/>
              </w:rPr>
              <w:t>1</w:t>
            </w:r>
          </w:p>
        </w:tc>
        <w:tc>
          <w:tcPr>
            <w:tcW w:w="720" w:type="dxa"/>
            <w:vAlign w:val="bottom"/>
          </w:tcPr>
          <w:p>
            <w:pPr>
              <w:jc w:val="right"/>
              <w:spacing w:after="0"/>
              <w:rPr>
                <w:sz w:val="20"/>
                <w:szCs w:val="20"/>
                <w:color w:val="auto"/>
              </w:rPr>
            </w:pPr>
            <w:r>
              <w:rPr>
                <w:rFonts w:ascii="Arial" w:cs="Arial" w:eastAsia="Arial" w:hAnsi="Arial"/>
                <w:sz w:val="22"/>
                <w:szCs w:val="22"/>
                <w:color w:val="auto"/>
              </w:rPr>
              <w:t>1,290</w:t>
            </w:r>
          </w:p>
        </w:tc>
        <w:tc>
          <w:tcPr>
            <w:tcW w:w="60" w:type="dxa"/>
            <w:vAlign w:val="bottom"/>
          </w:tcPr>
          <w:p>
            <w:pPr>
              <w:spacing w:after="0"/>
              <w:rPr>
                <w:sz w:val="23"/>
                <w:szCs w:val="23"/>
                <w:color w:val="auto"/>
              </w:rPr>
            </w:pPr>
          </w:p>
        </w:tc>
      </w:tr>
      <w:tr>
        <w:trPr>
          <w:trHeight w:val="98"/>
        </w:trPr>
        <w:tc>
          <w:tcPr>
            <w:tcW w:w="7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r>
      <w:tr>
        <w:trPr>
          <w:trHeight w:val="355"/>
        </w:trPr>
        <w:tc>
          <w:tcPr>
            <w:tcW w:w="1040" w:type="dxa"/>
            <w:vAlign w:val="bottom"/>
            <w:gridSpan w:val="2"/>
          </w:tcPr>
          <w:p>
            <w:pPr>
              <w:jc w:val="right"/>
              <w:ind w:right="220"/>
              <w:spacing w:after="0"/>
              <w:rPr>
                <w:sz w:val="20"/>
                <w:szCs w:val="20"/>
                <w:color w:val="auto"/>
              </w:rPr>
            </w:pPr>
            <w:r>
              <w:rPr>
                <w:rFonts w:ascii="Arial" w:cs="Arial" w:eastAsia="Arial" w:hAnsi="Arial"/>
                <w:sz w:val="22"/>
                <w:szCs w:val="22"/>
                <w:color w:val="auto"/>
              </w:rPr>
              <w:t>(2,091)</w:t>
            </w:r>
          </w:p>
        </w:tc>
        <w:tc>
          <w:tcPr>
            <w:tcW w:w="1020" w:type="dxa"/>
            <w:vAlign w:val="bottom"/>
            <w:gridSpan w:val="2"/>
          </w:tcPr>
          <w:p>
            <w:pPr>
              <w:jc w:val="right"/>
              <w:ind w:right="220"/>
              <w:spacing w:after="0"/>
              <w:rPr>
                <w:sz w:val="20"/>
                <w:szCs w:val="20"/>
                <w:color w:val="auto"/>
              </w:rPr>
            </w:pPr>
            <w:r>
              <w:rPr>
                <w:rFonts w:ascii="Arial" w:cs="Arial" w:eastAsia="Arial" w:hAnsi="Arial"/>
                <w:sz w:val="22"/>
                <w:szCs w:val="22"/>
                <w:color w:val="auto"/>
              </w:rPr>
              <w:t>(1,475)</w:t>
            </w:r>
          </w:p>
        </w:tc>
        <w:tc>
          <w:tcPr>
            <w:tcW w:w="720" w:type="dxa"/>
            <w:vAlign w:val="bottom"/>
          </w:tcPr>
          <w:p>
            <w:pPr>
              <w:jc w:val="right"/>
              <w:spacing w:after="0"/>
              <w:rPr>
                <w:sz w:val="20"/>
                <w:szCs w:val="20"/>
                <w:color w:val="auto"/>
              </w:rPr>
            </w:pPr>
            <w:r>
              <w:rPr>
                <w:rFonts w:ascii="Arial" w:cs="Arial" w:eastAsia="Arial" w:hAnsi="Arial"/>
                <w:sz w:val="22"/>
                <w:szCs w:val="22"/>
                <w:color w:val="auto"/>
              </w:rPr>
              <w:t>1,552</w:t>
            </w:r>
          </w:p>
        </w:tc>
        <w:tc>
          <w:tcPr>
            <w:tcW w:w="60" w:type="dxa"/>
            <w:vAlign w:val="bottom"/>
          </w:tcPr>
          <w:p>
            <w:pPr>
              <w:spacing w:after="0"/>
              <w:rPr>
                <w:sz w:val="24"/>
                <w:szCs w:val="24"/>
                <w:color w:val="auto"/>
              </w:rPr>
            </w:pPr>
          </w:p>
        </w:tc>
      </w:tr>
      <w:tr>
        <w:trPr>
          <w:trHeight w:val="98"/>
        </w:trPr>
        <w:tc>
          <w:tcPr>
            <w:tcW w:w="7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tabs>
          <w:tab w:leader="none" w:pos="1340" w:val="left"/>
          <w:tab w:leader="none" w:pos="244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22"/>
          <w:szCs w:val="22"/>
          <w:color w:val="auto"/>
        </w:rPr>
        <w:t>(554)</w:t>
      </w:r>
      <w:r>
        <w:rPr>
          <w:sz w:val="20"/>
          <w:szCs w:val="20"/>
          <w:color w:val="auto"/>
        </w:rPr>
        <w:tab/>
      </w:r>
      <w:r>
        <w:rPr>
          <w:rFonts w:ascii="Arial" w:cs="Arial" w:eastAsia="Arial" w:hAnsi="Arial"/>
          <w:sz w:val="19"/>
          <w:szCs w:val="19"/>
          <w:color w:val="auto"/>
        </w:rPr>
        <w:t>227</w:t>
      </w:r>
    </w:p>
    <w:p>
      <w:pPr>
        <w:spacing w:after="0" w:line="233" w:lineRule="exact"/>
        <w:rPr>
          <w:sz w:val="20"/>
          <w:szCs w:val="20"/>
          <w:color w:val="auto"/>
        </w:rPr>
      </w:pPr>
    </w:p>
    <w:p>
      <w:pPr>
        <w:jc w:val="both"/>
        <w:ind w:left="520"/>
        <w:spacing w:after="0"/>
        <w:tabs>
          <w:tab w:leader="none" w:pos="1420" w:val="left"/>
          <w:tab w:leader="none" w:pos="236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22"/>
          <w:szCs w:val="22"/>
          <w:color w:val="auto"/>
        </w:rPr>
        <w:t>128</w:t>
      </w:r>
      <w:r>
        <w:rPr>
          <w:sz w:val="20"/>
          <w:szCs w:val="20"/>
          <w:color w:val="auto"/>
        </w:rPr>
        <w:tab/>
      </w:r>
      <w:r>
        <w:rPr>
          <w:rFonts w:ascii="Arial" w:cs="Arial" w:eastAsia="Arial" w:hAnsi="Arial"/>
          <w:sz w:val="19"/>
          <w:szCs w:val="19"/>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76200</wp:posOffset>
            </wp:positionV>
            <wp:extent cx="17583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0"/>
        <w:spacing w:after="0"/>
        <w:tabs>
          <w:tab w:leader="none" w:pos="1340" w:val="left"/>
          <w:tab w:leader="none" w:pos="25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22"/>
          <w:szCs w:val="22"/>
          <w:color w:val="auto"/>
        </w:rPr>
        <w:t>(426)</w:t>
      </w:r>
      <w:r>
        <w:rPr>
          <w:sz w:val="20"/>
          <w:szCs w:val="20"/>
          <w:color w:val="auto"/>
        </w:rPr>
        <w:tab/>
      </w:r>
      <w:r>
        <w:rPr>
          <w:rFonts w:ascii="Arial" w:cs="Arial" w:eastAsia="Arial" w:hAnsi="Arial"/>
          <w:sz w:val="19"/>
          <w:szCs w:val="19"/>
          <w:color w:val="auto"/>
        </w:rPr>
        <w:t>11</w:t>
      </w:r>
    </w:p>
    <w:p>
      <w:pPr>
        <w:spacing w:after="0" w:line="233" w:lineRule="exact"/>
        <w:rPr>
          <w:sz w:val="20"/>
          <w:szCs w:val="20"/>
          <w:color w:val="auto"/>
        </w:rPr>
      </w:pPr>
    </w:p>
    <w:p>
      <w:pPr>
        <w:jc w:val="both"/>
        <w:ind w:left="460"/>
        <w:spacing w:after="0"/>
        <w:tabs>
          <w:tab w:leader="none" w:pos="1460" w:val="left"/>
          <w:tab w:leader="none" w:pos="258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spacing w:after="0"/>
        <w:tabs>
          <w:tab w:leader="none" w:pos="1340" w:val="left"/>
          <w:tab w:leader="none" w:pos="2640"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22"/>
          <w:szCs w:val="22"/>
          <w:color w:val="auto"/>
        </w:rPr>
        <w:t>(469)</w:t>
      </w:r>
      <w:r>
        <w:rPr>
          <w:sz w:val="20"/>
          <w:szCs w:val="20"/>
          <w:color w:val="auto"/>
        </w:rPr>
        <w:tab/>
      </w:r>
      <w:r>
        <w:rPr>
          <w:rFonts w:ascii="Arial" w:cs="Arial" w:eastAsia="Arial" w:hAnsi="Arial"/>
          <w:sz w:val="21"/>
          <w:szCs w:val="21"/>
          <w:color w:val="auto"/>
        </w:rPr>
        <w:t>4</w:t>
      </w:r>
    </w:p>
    <w:p>
      <w:pPr>
        <w:spacing w:after="0" w:line="233" w:lineRule="exact"/>
        <w:rPr>
          <w:sz w:val="20"/>
          <w:szCs w:val="20"/>
          <w:color w:val="auto"/>
        </w:rPr>
      </w:pPr>
    </w:p>
    <w:p>
      <w:pPr>
        <w:ind w:left="420"/>
        <w:spacing w:after="0"/>
        <w:tabs>
          <w:tab w:leader="none" w:pos="1420" w:val="left"/>
          <w:tab w:leader="none" w:pos="2440" w:val="left"/>
        </w:tabs>
        <w:rPr>
          <w:sz w:val="20"/>
          <w:szCs w:val="20"/>
          <w:color w:val="auto"/>
        </w:rPr>
      </w:pPr>
      <w:r>
        <w:rPr>
          <w:rFonts w:ascii="Arial" w:cs="Arial" w:eastAsia="Arial" w:hAnsi="Arial"/>
          <w:sz w:val="22"/>
          <w:szCs w:val="22"/>
          <w:color w:val="auto"/>
        </w:rPr>
        <w:t>168</w:t>
      </w:r>
      <w:r>
        <w:rPr>
          <w:sz w:val="20"/>
          <w:szCs w:val="20"/>
          <w:color w:val="auto"/>
        </w:rPr>
        <w:tab/>
      </w:r>
      <w:r>
        <w:rPr>
          <w:rFonts w:ascii="Arial" w:cs="Arial" w:eastAsia="Arial" w:hAnsi="Arial"/>
          <w:sz w:val="22"/>
          <w:szCs w:val="22"/>
          <w:color w:val="auto"/>
        </w:rPr>
        <w:t>195</w:t>
      </w:r>
      <w:r>
        <w:rPr>
          <w:sz w:val="20"/>
          <w:szCs w:val="20"/>
          <w:color w:val="auto"/>
        </w:rPr>
        <w:tab/>
      </w:r>
      <w:r>
        <w:rPr>
          <w:rFonts w:ascii="Arial" w:cs="Arial" w:eastAsia="Arial" w:hAnsi="Arial"/>
          <w:sz w:val="19"/>
          <w:szCs w:val="19"/>
          <w:color w:val="auto"/>
        </w:rPr>
        <w:t>220</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3,290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76200</wp:posOffset>
            </wp:positionV>
            <wp:extent cx="17583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60"/>
        <w:spacing w:after="0"/>
        <w:tabs>
          <w:tab w:leader="none" w:pos="1340" w:val="left"/>
          <w:tab w:leader="none" w:pos="2440" w:val="left"/>
        </w:tabs>
        <w:rPr>
          <w:sz w:val="20"/>
          <w:szCs w:val="20"/>
          <w:color w:val="auto"/>
        </w:rPr>
      </w:pPr>
      <w:r>
        <w:rPr>
          <w:rFonts w:ascii="Arial" w:cs="Arial" w:eastAsia="Arial" w:hAnsi="Arial"/>
          <w:sz w:val="22"/>
          <w:szCs w:val="22"/>
          <w:color w:val="auto"/>
        </w:rPr>
        <w:t>3,240</w:t>
      </w:r>
      <w:r>
        <w:rPr>
          <w:sz w:val="20"/>
          <w:szCs w:val="20"/>
          <w:color w:val="auto"/>
        </w:rPr>
        <w:tab/>
      </w:r>
      <w:r>
        <w:rPr>
          <w:rFonts w:ascii="Arial" w:cs="Arial" w:eastAsia="Arial" w:hAnsi="Arial"/>
          <w:sz w:val="22"/>
          <w:szCs w:val="22"/>
          <w:color w:val="auto"/>
        </w:rPr>
        <w:t>(274)</w:t>
      </w:r>
      <w:r>
        <w:rPr>
          <w:sz w:val="20"/>
          <w:szCs w:val="20"/>
          <w:color w:val="auto"/>
        </w:rPr>
        <w:tab/>
      </w:r>
      <w:r>
        <w:rPr>
          <w:rFonts w:ascii="Arial" w:cs="Arial" w:eastAsia="Arial" w:hAnsi="Arial"/>
          <w:sz w:val="19"/>
          <w:szCs w:val="19"/>
          <w:color w:val="auto"/>
        </w:rPr>
        <w:t>224</w:t>
      </w:r>
    </w:p>
    <w:p>
      <w:pPr>
        <w:spacing w:after="0" w:line="233"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76200</wp:posOffset>
            </wp:positionV>
            <wp:extent cx="17583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40"/>
        <w:spacing w:after="0"/>
        <w:tabs>
          <w:tab w:leader="none" w:pos="1240" w:val="left"/>
          <w:tab w:leader="none" w:pos="2320" w:val="left"/>
        </w:tabs>
        <w:rPr>
          <w:sz w:val="20"/>
          <w:szCs w:val="20"/>
          <w:color w:val="auto"/>
        </w:rPr>
      </w:pPr>
      <w:r>
        <w:rPr>
          <w:rFonts w:ascii="Arial" w:cs="Arial" w:eastAsia="Arial" w:hAnsi="Arial"/>
          <w:sz w:val="22"/>
          <w:szCs w:val="22"/>
          <w:color w:val="auto"/>
        </w:rPr>
        <w:t>$3,240</w:t>
      </w:r>
      <w:r>
        <w:rPr>
          <w:sz w:val="20"/>
          <w:szCs w:val="20"/>
          <w:color w:val="auto"/>
        </w:rPr>
        <w:tab/>
      </w:r>
      <w:r>
        <w:rPr>
          <w:rFonts w:ascii="Arial" w:cs="Arial" w:eastAsia="Arial" w:hAnsi="Arial"/>
          <w:sz w:val="22"/>
          <w:szCs w:val="22"/>
          <w:color w:val="auto"/>
        </w:rPr>
        <w:t>($274)</w:t>
      </w:r>
      <w:r>
        <w:rPr>
          <w:sz w:val="20"/>
          <w:szCs w:val="20"/>
          <w:color w:val="auto"/>
        </w:rPr>
        <w:tab/>
      </w:r>
      <w:r>
        <w:rPr>
          <w:rFonts w:ascii="Arial" w:cs="Arial" w:eastAsia="Arial" w:hAnsi="Arial"/>
          <w:sz w:val="19"/>
          <w:szCs w:val="19"/>
          <w:color w:val="auto"/>
        </w:rPr>
        <w:t>$609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176212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6212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80"/>
        <w:spacing w:after="0"/>
        <w:tabs>
          <w:tab w:leader="none" w:pos="1180" w:val="left"/>
          <w:tab w:leader="none" w:pos="2280" w:val="left"/>
        </w:tabs>
        <w:rPr>
          <w:sz w:val="20"/>
          <w:szCs w:val="20"/>
          <w:color w:val="auto"/>
        </w:rPr>
      </w:pPr>
      <w:r>
        <w:rPr>
          <w:rFonts w:ascii="Arial" w:cs="Arial" w:eastAsia="Arial" w:hAnsi="Arial"/>
          <w:sz w:val="22"/>
          <w:szCs w:val="22"/>
          <w:color w:val="auto"/>
        </w:rPr>
        <w:t>($0.10)</w:t>
      </w:r>
      <w:r>
        <w:rPr>
          <w:sz w:val="20"/>
          <w:szCs w:val="20"/>
          <w:color w:val="auto"/>
        </w:rPr>
        <w:tab/>
      </w:r>
      <w:r>
        <w:rPr>
          <w:rFonts w:ascii="Arial" w:cs="Arial" w:eastAsia="Arial" w:hAnsi="Arial"/>
          <w:sz w:val="22"/>
          <w:szCs w:val="22"/>
          <w:color w:val="auto"/>
        </w:rPr>
        <w:t>($0.42)</w:t>
      </w:r>
      <w:r>
        <w:rPr>
          <w:sz w:val="20"/>
          <w:szCs w:val="20"/>
          <w:color w:val="auto"/>
        </w:rPr>
        <w:tab/>
      </w:r>
      <w:r>
        <w:rPr>
          <w:rFonts w:ascii="Arial" w:cs="Arial" w:eastAsia="Arial" w:hAnsi="Arial"/>
          <w:sz w:val="19"/>
          <w:szCs w:val="19"/>
          <w:color w:val="auto"/>
        </w:rPr>
        <w:t>$0.00</w:t>
      </w:r>
    </w:p>
    <w:p>
      <w:pPr>
        <w:ind w:left="360"/>
        <w:spacing w:after="0"/>
        <w:tabs>
          <w:tab w:leader="none" w:pos="1360" w:val="left"/>
          <w:tab w:leader="none" w:pos="2380" w:val="left"/>
        </w:tabs>
        <w:rPr>
          <w:sz w:val="20"/>
          <w:szCs w:val="20"/>
          <w:color w:val="auto"/>
        </w:rPr>
      </w:pPr>
      <w:r>
        <w:rPr>
          <w:rFonts w:ascii="Arial" w:cs="Arial" w:eastAsia="Arial" w:hAnsi="Arial"/>
          <w:sz w:val="22"/>
          <w:szCs w:val="22"/>
          <w:color w:val="auto"/>
        </w:rPr>
        <w:t>0.08</w:t>
      </w:r>
      <w:r>
        <w:rPr>
          <w:sz w:val="20"/>
          <w:szCs w:val="20"/>
          <w:color w:val="auto"/>
        </w:rPr>
        <w:tab/>
      </w:r>
      <w:r>
        <w:rPr>
          <w:rFonts w:ascii="Arial" w:cs="Arial" w:eastAsia="Arial" w:hAnsi="Arial"/>
          <w:sz w:val="22"/>
          <w:szCs w:val="22"/>
          <w:color w:val="auto"/>
        </w:rPr>
        <w:t>0.17</w:t>
      </w:r>
      <w:r>
        <w:rPr>
          <w:sz w:val="20"/>
          <w:szCs w:val="20"/>
          <w:color w:val="auto"/>
        </w:rPr>
        <w:tab/>
      </w:r>
      <w:r>
        <w:rPr>
          <w:rFonts w:ascii="Arial" w:cs="Arial" w:eastAsia="Arial" w:hAnsi="Arial"/>
          <w:sz w:val="19"/>
          <w:szCs w:val="19"/>
          <w:color w:val="auto"/>
        </w:rPr>
        <w:t>0.24</w:t>
      </w:r>
    </w:p>
    <w:p>
      <w:pPr>
        <w:ind w:left="360"/>
        <w:spacing w:after="0" w:line="230" w:lineRule="auto"/>
        <w:rPr>
          <w:sz w:val="20"/>
          <w:szCs w:val="20"/>
          <w:color w:val="auto"/>
        </w:rPr>
      </w:pPr>
      <w:r>
        <w:rPr>
          <w:rFonts w:ascii="Arial" w:cs="Arial" w:eastAsia="Arial" w:hAnsi="Arial"/>
          <w:sz w:val="22"/>
          <w:szCs w:val="22"/>
          <w:color w:val="auto"/>
        </w:rPr>
        <w:t>1.46</w:t>
      </w:r>
    </w:p>
    <w:p>
      <w:pPr>
        <w:spacing w:after="0" w:line="1" w:lineRule="exact"/>
        <w:rPr>
          <w:sz w:val="20"/>
          <w:szCs w:val="20"/>
          <w:color w:val="auto"/>
        </w:rPr>
      </w:pPr>
    </w:p>
    <w:p>
      <w:pPr>
        <w:ind w:left="2400"/>
        <w:spacing w:after="0"/>
        <w:rPr>
          <w:sz w:val="20"/>
          <w:szCs w:val="20"/>
          <w:color w:val="auto"/>
        </w:rPr>
      </w:pPr>
      <w:r>
        <w:rPr>
          <w:rFonts w:ascii="Arial" w:cs="Arial" w:eastAsia="Arial" w:hAnsi="Arial"/>
          <w:sz w:val="22"/>
          <w:szCs w:val="22"/>
          <w:color w:val="auto"/>
        </w:rPr>
        <w:t>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64770</wp:posOffset>
            </wp:positionV>
            <wp:extent cx="17583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182" w:lineRule="exact"/>
        <w:rPr>
          <w:sz w:val="20"/>
          <w:szCs w:val="20"/>
          <w:color w:val="auto"/>
        </w:rPr>
      </w:pPr>
    </w:p>
    <w:p>
      <w:pPr>
        <w:ind w:left="260"/>
        <w:spacing w:after="0"/>
        <w:tabs>
          <w:tab w:leader="none" w:pos="1180" w:val="left"/>
          <w:tab w:leader="none" w:pos="228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22"/>
          <w:szCs w:val="22"/>
          <w:color w:val="auto"/>
        </w:rPr>
        <w:t>($0.25)</w:t>
      </w:r>
      <w:r>
        <w:rPr>
          <w:sz w:val="20"/>
          <w:szCs w:val="20"/>
          <w:color w:val="auto"/>
        </w:rPr>
        <w:tab/>
      </w:r>
      <w:r>
        <w:rPr>
          <w:rFonts w:ascii="Arial" w:cs="Arial" w:eastAsia="Arial" w:hAnsi="Arial"/>
          <w:sz w:val="19"/>
          <w:szCs w:val="19"/>
          <w:color w:val="auto"/>
        </w:rPr>
        <w:t>$0.64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176212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62125" cy="21590"/>
                    </a:xfrm>
                    <a:prstGeom prst="rect">
                      <a:avLst/>
                    </a:prstGeom>
                    <a:noFill/>
                  </pic:spPr>
                </pic:pic>
              </a:graphicData>
            </a:graphic>
          </wp:anchor>
        </w:drawing>
      </w:r>
    </w:p>
    <w:p>
      <w:pPr>
        <w:sectPr>
          <w:pgSz w:w="11900" w:h="16838" w:orient="portrait"/>
          <w:cols w:equalWidth="0" w:num="2">
            <w:col w:w="7300" w:space="100"/>
            <w:col w:w="2840"/>
          </w:cols>
          <w:pgMar w:left="240" w:top="118" w:right="1419" w:bottom="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53"/>
        </w:trPr>
        <w:tc>
          <w:tcPr>
            <w:tcW w:w="7400" w:type="dxa"/>
            <w:vAlign w:val="bottom"/>
            <w:gridSpan w:val="4"/>
          </w:tcPr>
          <w:p>
            <w:pPr>
              <w:spacing w:after="0"/>
              <w:rPr>
                <w:sz w:val="20"/>
                <w:szCs w:val="20"/>
                <w:color w:val="auto"/>
              </w:rPr>
            </w:pPr>
            <w:r>
              <w:rPr>
                <w:rFonts w:ascii="Arial" w:cs="Arial" w:eastAsia="Arial" w:hAnsi="Arial"/>
                <w:sz w:val="22"/>
                <w:szCs w:val="22"/>
                <w:color w:val="auto"/>
              </w:rPr>
              <w:t>DILUTED EARNINGS (LOSS) FOR COMMON STOCKHOLDERS PER</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spacing w:after="0" w:line="243" w:lineRule="exact"/>
              <w:rPr>
                <w:sz w:val="20"/>
                <w:szCs w:val="20"/>
                <w:color w:val="auto"/>
              </w:rPr>
            </w:pPr>
            <w:r>
              <w:rPr>
                <w:rFonts w:ascii="Arial" w:cs="Arial" w:eastAsia="Arial" w:hAnsi="Arial"/>
                <w:sz w:val="22"/>
                <w:szCs w:val="22"/>
                <w:color w:val="auto"/>
              </w:rPr>
              <w:t>COMMON SHARE</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Income (loss) from continuing operations before cumulative effect of</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accounting change</w:t>
            </w:r>
          </w:p>
        </w:tc>
        <w:tc>
          <w:tcPr>
            <w:tcW w:w="10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($0.10)</w:t>
            </w:r>
          </w:p>
        </w:tc>
        <w:tc>
          <w:tcPr>
            <w:tcW w:w="10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($0.42)</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$0.00</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Income from discontinued operations</w:t>
            </w:r>
          </w:p>
        </w:tc>
        <w:tc>
          <w:tcPr>
            <w:tcW w:w="10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0.08</w:t>
            </w:r>
          </w:p>
        </w:tc>
        <w:tc>
          <w:tcPr>
            <w:tcW w:w="10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0.17</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0.23</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Gain on discontinued operations</w:t>
            </w:r>
          </w:p>
        </w:tc>
        <w:tc>
          <w:tcPr>
            <w:tcW w:w="10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1.46</w:t>
            </w: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400" w:type="dxa"/>
            <w:vAlign w:val="bottom"/>
            <w:gridSpan w:val="4"/>
          </w:tcPr>
          <w:p>
            <w:pPr>
              <w:ind w:left="180"/>
              <w:spacing w:after="0"/>
              <w:rPr>
                <w:sz w:val="20"/>
                <w:szCs w:val="20"/>
                <w:color w:val="auto"/>
              </w:rPr>
            </w:pPr>
            <w:r>
              <w:rPr>
                <w:rFonts w:ascii="Arial" w:cs="Arial" w:eastAsia="Arial" w:hAnsi="Arial"/>
                <w:sz w:val="22"/>
                <w:szCs w:val="22"/>
                <w:color w:val="auto"/>
              </w:rPr>
              <w:t>Cumulative effect of accounting change</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0.40</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8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74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400" w:type="dxa"/>
            <w:vAlign w:val="bottom"/>
            <w:gridSpan w:val="4"/>
          </w:tcPr>
          <w:p>
            <w:pPr>
              <w:ind w:left="180"/>
              <w:spacing w:after="0"/>
              <w:rPr>
                <w:sz w:val="20"/>
                <w:szCs w:val="20"/>
                <w:color w:val="auto"/>
              </w:rPr>
            </w:pPr>
            <w:r>
              <w:rPr>
                <w:rFonts w:ascii="Arial" w:cs="Arial" w:eastAsia="Arial" w:hAnsi="Arial"/>
                <w:sz w:val="22"/>
                <w:szCs w:val="22"/>
                <w:color w:val="auto"/>
              </w:rPr>
              <w:t>Net income (loss)</w:t>
            </w:r>
          </w:p>
        </w:tc>
        <w:tc>
          <w:tcPr>
            <w:tcW w:w="1040" w:type="dxa"/>
            <w:vAlign w:val="bottom"/>
            <w:gridSpan w:val="2"/>
          </w:tcPr>
          <w:p>
            <w:pPr>
              <w:jc w:val="right"/>
              <w:ind w:right="300"/>
              <w:spacing w:after="0"/>
              <w:rPr>
                <w:sz w:val="20"/>
                <w:szCs w:val="20"/>
                <w:color w:val="auto"/>
              </w:rPr>
            </w:pPr>
            <w:r>
              <w:rPr>
                <w:rFonts w:ascii="Arial" w:cs="Arial" w:eastAsia="Arial" w:hAnsi="Arial"/>
                <w:sz w:val="22"/>
                <w:szCs w:val="22"/>
                <w:color w:val="auto"/>
              </w:rPr>
              <w:t>$1.44</w:t>
            </w:r>
          </w:p>
        </w:tc>
        <w:tc>
          <w:tcPr>
            <w:tcW w:w="1020" w:type="dxa"/>
            <w:vAlign w:val="bottom"/>
            <w:gridSpan w:val="2"/>
          </w:tcPr>
          <w:p>
            <w:pPr>
              <w:jc w:val="right"/>
              <w:ind w:right="220"/>
              <w:spacing w:after="0"/>
              <w:rPr>
                <w:sz w:val="20"/>
                <w:szCs w:val="20"/>
                <w:color w:val="auto"/>
              </w:rPr>
            </w:pPr>
            <w:r>
              <w:rPr>
                <w:rFonts w:ascii="Arial" w:cs="Arial" w:eastAsia="Arial" w:hAnsi="Arial"/>
                <w:sz w:val="22"/>
                <w:szCs w:val="22"/>
                <w:color w:val="auto"/>
              </w:rPr>
              <w:t>($0.25)</w:t>
            </w:r>
          </w:p>
        </w:tc>
        <w:tc>
          <w:tcPr>
            <w:tcW w:w="720" w:type="dxa"/>
            <w:vAlign w:val="bottom"/>
          </w:tcPr>
          <w:p>
            <w:pPr>
              <w:jc w:val="right"/>
              <w:spacing w:after="0"/>
              <w:rPr>
                <w:sz w:val="20"/>
                <w:szCs w:val="20"/>
                <w:color w:val="auto"/>
              </w:rPr>
            </w:pPr>
            <w:r>
              <w:rPr>
                <w:rFonts w:ascii="Arial" w:cs="Arial" w:eastAsia="Arial" w:hAnsi="Arial"/>
                <w:sz w:val="22"/>
                <w:szCs w:val="22"/>
                <w:color w:val="auto"/>
              </w:rPr>
              <w:t>$0.63</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400" w:type="dxa"/>
            <w:vAlign w:val="bottom"/>
            <w:gridSpan w:val="4"/>
            <w:vMerge w:val="restart"/>
          </w:tcPr>
          <w:p>
            <w:pPr>
              <w:spacing w:after="0"/>
              <w:rPr>
                <w:rFonts w:ascii="Arial" w:cs="Arial" w:eastAsia="Arial" w:hAnsi="Arial"/>
                <w:sz w:val="22"/>
                <w:szCs w:val="22"/>
                <w:color w:val="auto"/>
              </w:rPr>
            </w:pPr>
            <w:r>
              <w:rPr>
                <w:rFonts w:ascii="Arial" w:cs="Arial" w:eastAsia="Arial" w:hAnsi="Arial"/>
                <w:sz w:val="22"/>
                <w:szCs w:val="22"/>
                <w:color w:val="auto"/>
              </w:rPr>
              <w:t xml:space="preserve">See </w:t>
            </w:r>
            <w:hyperlink w:anchor="page64">
              <w:r>
                <w:rPr>
                  <w:rFonts w:ascii="Arial" w:cs="Arial" w:eastAsia="Arial" w:hAnsi="Arial"/>
                  <w:sz w:val="22"/>
                  <w:szCs w:val="22"/>
                  <w:color w:val="0000EE"/>
                </w:rPr>
                <w:t>notes to consolidated financial statements</w:t>
              </w:r>
            </w:hyperlink>
            <w:r>
              <w:rPr>
                <w:rFonts w:ascii="Arial" w:cs="Arial" w:eastAsia="Arial" w:hAnsi="Arial"/>
                <w:sz w:val="22"/>
                <w:szCs w:val="22"/>
                <w:color w:val="auto"/>
              </w:rPr>
              <w:t>.</w:t>
            </w:r>
          </w:p>
        </w:tc>
        <w:tc>
          <w:tcPr>
            <w:tcW w:w="7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3"/>
        </w:trPr>
        <w:tc>
          <w:tcPr>
            <w:tcW w:w="7400" w:type="dxa"/>
            <w:vAlign w:val="bottom"/>
            <w:gridSpan w:val="4"/>
            <w:vMerge w:val="continue"/>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380" w:type="dxa"/>
            <w:vAlign w:val="bottom"/>
          </w:tcPr>
          <w:p>
            <w:pPr>
              <w:spacing w:after="0"/>
              <w:rPr>
                <w:sz w:val="24"/>
                <w:szCs w:val="24"/>
                <w:color w:val="auto"/>
              </w:rPr>
            </w:pPr>
          </w:p>
        </w:tc>
        <w:tc>
          <w:tcPr>
            <w:tcW w:w="3600" w:type="dxa"/>
            <w:vAlign w:val="bottom"/>
            <w:tcBorders>
              <w:top w:val="single" w:sz="8" w:color="0000EE"/>
            </w:tcBorders>
          </w:tcPr>
          <w:p>
            <w:pPr>
              <w:spacing w:after="0"/>
              <w:rPr>
                <w:sz w:val="24"/>
                <w:szCs w:val="24"/>
                <w:color w:val="auto"/>
              </w:rPr>
            </w:pPr>
          </w:p>
        </w:tc>
        <w:tc>
          <w:tcPr>
            <w:tcW w:w="3420" w:type="dxa"/>
            <w:vAlign w:val="bottom"/>
            <w:gridSpan w:val="2"/>
          </w:tcPr>
          <w:p>
            <w:pPr>
              <w:jc w:val="right"/>
              <w:ind w:right="1500"/>
              <w:spacing w:after="0"/>
              <w:rPr>
                <w:sz w:val="20"/>
                <w:szCs w:val="20"/>
                <w:color w:val="auto"/>
              </w:rPr>
            </w:pPr>
            <w:r>
              <w:rPr>
                <w:rFonts w:ascii="Arial" w:cs="Arial" w:eastAsia="Arial" w:hAnsi="Arial"/>
                <w:sz w:val="22"/>
                <w:szCs w:val="22"/>
                <w:color w:val="auto"/>
              </w:rPr>
              <w:t>- 3 -</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0" w:type="dxa"/>
            <w:vAlign w:val="bottom"/>
            <w:tcBorders>
              <w:bottom w:val="single" w:sz="8" w:color="808080"/>
            </w:tcBorders>
          </w:tcPr>
          <w:p>
            <w:pPr>
              <w:spacing w:after="0"/>
              <w:rPr>
                <w:sz w:val="17"/>
                <w:szCs w:val="17"/>
                <w:color w:val="auto"/>
              </w:rPr>
            </w:pPr>
          </w:p>
        </w:tc>
        <w:tc>
          <w:tcPr>
            <w:tcW w:w="360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400" w:type="dxa"/>
            <w:vAlign w:val="bottom"/>
            <w:gridSpan w:val="4"/>
          </w:tcPr>
          <w:p>
            <w:pPr>
              <w:spacing w:after="0"/>
              <w:rPr>
                <w:sz w:val="20"/>
                <w:szCs w:val="20"/>
                <w:color w:val="auto"/>
              </w:rPr>
            </w:pPr>
            <w:r>
              <w:rPr>
                <w:rFonts w:ascii="Arial" w:cs="Arial" w:eastAsia="Arial" w:hAnsi="Arial"/>
                <w:sz w:val="22"/>
                <w:szCs w:val="22"/>
                <w:color w:val="auto"/>
              </w:rPr>
              <w:t>COMCAST CORPORATION AND SUBSIDIARIES</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60" w:type="dxa"/>
            <w:vAlign w:val="bottom"/>
            <w:gridSpan w:val="3"/>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7400" w:type="dxa"/>
            <w:vAlign w:val="bottom"/>
            <w:gridSpan w:val="4"/>
          </w:tcPr>
          <w:p>
            <w:pPr>
              <w:spacing w:after="0"/>
              <w:rPr>
                <w:sz w:val="20"/>
                <w:szCs w:val="20"/>
                <w:color w:val="auto"/>
              </w:rPr>
            </w:pPr>
            <w:r>
              <w:rPr>
                <w:rFonts w:ascii="Arial" w:cs="Arial" w:eastAsia="Arial" w:hAnsi="Arial"/>
                <w:sz w:val="22"/>
                <w:szCs w:val="22"/>
                <w:color w:val="auto"/>
              </w:rPr>
              <w:t>CONSOLIDATED STATEMENT OF CASH FLOWS</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400" w:type="dxa"/>
            <w:vAlign w:val="bottom"/>
            <w:gridSpan w:val="4"/>
          </w:tcPr>
          <w:p>
            <w:pPr>
              <w:spacing w:after="0"/>
              <w:rPr>
                <w:sz w:val="20"/>
                <w:szCs w:val="20"/>
                <w:color w:val="auto"/>
              </w:rPr>
            </w:pPr>
            <w:r>
              <w:rPr>
                <w:rFonts w:ascii="Arial" w:cs="Arial" w:eastAsia="Arial" w:hAnsi="Arial"/>
                <w:sz w:val="22"/>
                <w:szCs w:val="22"/>
                <w:color w:val="auto"/>
              </w:rPr>
              <w:t>(Dollars in millions)</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040" w:type="dxa"/>
            <w:vAlign w:val="bottom"/>
            <w:gridSpan w:val="6"/>
          </w:tcPr>
          <w:p>
            <w:pPr>
              <w:jc w:val="center"/>
              <w:ind w:right="1260"/>
              <w:spacing w:after="0"/>
              <w:rPr>
                <w:sz w:val="20"/>
                <w:szCs w:val="20"/>
                <w:color w:val="auto"/>
              </w:rPr>
            </w:pPr>
            <w:r>
              <w:rPr>
                <w:rFonts w:ascii="Arial" w:cs="Arial" w:eastAsia="Arial" w:hAnsi="Arial"/>
                <w:sz w:val="22"/>
                <w:szCs w:val="22"/>
                <w:color w:val="auto"/>
                <w:w w:val="86"/>
              </w:rPr>
              <w:t>Year Ended December 31,</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740" w:type="dxa"/>
            <w:vAlign w:val="bottom"/>
          </w:tcPr>
          <w:p>
            <w:pPr>
              <w:jc w:val="right"/>
              <w:ind w:right="52"/>
              <w:spacing w:after="0"/>
              <w:rPr>
                <w:sz w:val="20"/>
                <w:szCs w:val="20"/>
                <w:color w:val="auto"/>
              </w:rPr>
            </w:pPr>
            <w:r>
              <w:rPr>
                <w:rFonts w:ascii="Arial" w:cs="Arial" w:eastAsia="Arial" w:hAnsi="Arial"/>
                <w:sz w:val="22"/>
                <w:szCs w:val="22"/>
                <w:color w:val="auto"/>
              </w:rPr>
              <w:t>2003</w:t>
            </w:r>
          </w:p>
        </w:tc>
        <w:tc>
          <w:tcPr>
            <w:tcW w:w="3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22"/>
                <w:szCs w:val="22"/>
                <w:color w:val="auto"/>
              </w:rPr>
              <w:t>2002</w:t>
            </w:r>
          </w:p>
        </w:tc>
        <w:tc>
          <w:tcPr>
            <w:tcW w:w="300" w:type="dxa"/>
            <w:vAlign w:val="bottom"/>
          </w:tcPr>
          <w:p>
            <w:pPr>
              <w:spacing w:after="0"/>
              <w:rPr>
                <w:sz w:val="23"/>
                <w:szCs w:val="23"/>
                <w:color w:val="auto"/>
              </w:rPr>
            </w:pPr>
          </w:p>
        </w:tc>
        <w:tc>
          <w:tcPr>
            <w:tcW w:w="720" w:type="dxa"/>
            <w:vAlign w:val="bottom"/>
          </w:tcPr>
          <w:p>
            <w:pPr>
              <w:jc w:val="right"/>
              <w:ind w:right="32"/>
              <w:spacing w:after="0"/>
              <w:rPr>
                <w:sz w:val="20"/>
                <w:szCs w:val="20"/>
                <w:color w:val="auto"/>
              </w:rPr>
            </w:pPr>
            <w:r>
              <w:rPr>
                <w:rFonts w:ascii="Arial" w:cs="Arial" w:eastAsia="Arial" w:hAnsi="Arial"/>
                <w:sz w:val="22"/>
                <w:szCs w:val="22"/>
                <w:color w:val="auto"/>
              </w:rPr>
              <w:t>2001</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7400" w:type="dxa"/>
            <w:vAlign w:val="bottom"/>
            <w:gridSpan w:val="4"/>
            <w:vMerge w:val="restart"/>
          </w:tcPr>
          <w:p>
            <w:pPr>
              <w:spacing w:after="0"/>
              <w:rPr>
                <w:sz w:val="20"/>
                <w:szCs w:val="20"/>
                <w:color w:val="auto"/>
              </w:rPr>
            </w:pPr>
            <w:r>
              <w:rPr>
                <w:rFonts w:ascii="Arial" w:cs="Arial" w:eastAsia="Arial" w:hAnsi="Arial"/>
                <w:sz w:val="22"/>
                <w:szCs w:val="22"/>
                <w:color w:val="auto"/>
              </w:rPr>
              <w:t>OPERATING ACTIVITIES</w:t>
            </w:r>
          </w:p>
        </w:tc>
        <w:tc>
          <w:tcPr>
            <w:tcW w:w="7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7400" w:type="dxa"/>
            <w:vAlign w:val="bottom"/>
            <w:gridSpan w:val="4"/>
            <w:vMerge w:val="continue"/>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Net income (loss)</w:t>
            </w:r>
          </w:p>
        </w:tc>
        <w:tc>
          <w:tcPr>
            <w:tcW w:w="10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$3,240</w:t>
            </w:r>
          </w:p>
        </w:tc>
        <w:tc>
          <w:tcPr>
            <w:tcW w:w="10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($274)</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$609</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Income from discontinued operations</w:t>
            </w:r>
          </w:p>
        </w:tc>
        <w:tc>
          <w:tcPr>
            <w:tcW w:w="10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(168)</w:t>
            </w:r>
          </w:p>
        </w:tc>
        <w:tc>
          <w:tcPr>
            <w:tcW w:w="10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(195)</w:t>
            </w:r>
          </w:p>
        </w:tc>
        <w:tc>
          <w:tcPr>
            <w:tcW w:w="1980" w:type="dxa"/>
            <w:vAlign w:val="bottom"/>
            <w:gridSpan w:val="2"/>
          </w:tcPr>
          <w:p>
            <w:pPr>
              <w:jc w:val="right"/>
              <w:ind w:right="1200"/>
              <w:spacing w:after="0" w:line="243" w:lineRule="exact"/>
              <w:rPr>
                <w:sz w:val="20"/>
                <w:szCs w:val="20"/>
                <w:color w:val="auto"/>
              </w:rPr>
            </w:pPr>
            <w:r>
              <w:rPr>
                <w:rFonts w:ascii="Arial" w:cs="Arial" w:eastAsia="Arial" w:hAnsi="Arial"/>
                <w:sz w:val="22"/>
                <w:szCs w:val="22"/>
                <w:color w:val="auto"/>
              </w:rPr>
              <w:t>(220)</w:t>
            </w:r>
          </w:p>
        </w:tc>
        <w:tc>
          <w:tcPr>
            <w:tcW w:w="0" w:type="dxa"/>
            <w:vAlign w:val="bottom"/>
          </w:tcPr>
          <w:p>
            <w:pPr>
              <w:spacing w:after="0"/>
              <w:rPr>
                <w:sz w:val="1"/>
                <w:szCs w:val="1"/>
                <w:color w:val="auto"/>
              </w:rPr>
            </w:pPr>
          </w:p>
        </w:tc>
      </w:tr>
      <w:tr>
        <w:trPr>
          <w:trHeight w:val="275"/>
        </w:trPr>
        <w:tc>
          <w:tcPr>
            <w:tcW w:w="7400" w:type="dxa"/>
            <w:vAlign w:val="bottom"/>
            <w:gridSpan w:val="4"/>
          </w:tcPr>
          <w:p>
            <w:pPr>
              <w:ind w:left="180"/>
              <w:spacing w:after="0"/>
              <w:rPr>
                <w:sz w:val="20"/>
                <w:szCs w:val="20"/>
                <w:color w:val="auto"/>
              </w:rPr>
            </w:pPr>
            <w:r>
              <w:rPr>
                <w:rFonts w:ascii="Arial" w:cs="Arial" w:eastAsia="Arial" w:hAnsi="Arial"/>
                <w:sz w:val="22"/>
                <w:szCs w:val="22"/>
                <w:color w:val="auto"/>
              </w:rPr>
              <w:t>Gain on discontinued operations</w:t>
            </w:r>
          </w:p>
        </w:tc>
        <w:tc>
          <w:tcPr>
            <w:tcW w:w="1040" w:type="dxa"/>
            <w:vAlign w:val="bottom"/>
            <w:gridSpan w:val="2"/>
          </w:tcPr>
          <w:p>
            <w:pPr>
              <w:jc w:val="right"/>
              <w:ind w:right="220"/>
              <w:spacing w:after="0"/>
              <w:rPr>
                <w:sz w:val="20"/>
                <w:szCs w:val="20"/>
                <w:color w:val="auto"/>
              </w:rPr>
            </w:pPr>
            <w:r>
              <w:rPr>
                <w:rFonts w:ascii="Arial" w:cs="Arial" w:eastAsia="Arial" w:hAnsi="Arial"/>
                <w:sz w:val="22"/>
                <w:szCs w:val="22"/>
                <w:color w:val="auto"/>
              </w:rPr>
              <w:t>(3,290)</w:t>
            </w: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8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74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400" w:type="dxa"/>
            <w:vAlign w:val="bottom"/>
            <w:gridSpan w:val="4"/>
          </w:tcPr>
          <w:p>
            <w:pPr>
              <w:ind w:left="180"/>
              <w:spacing w:after="0"/>
              <w:rPr>
                <w:sz w:val="20"/>
                <w:szCs w:val="20"/>
                <w:color w:val="auto"/>
              </w:rPr>
            </w:pPr>
            <w:r>
              <w:rPr>
                <w:rFonts w:ascii="Arial" w:cs="Arial" w:eastAsia="Arial" w:hAnsi="Arial"/>
                <w:sz w:val="22"/>
                <w:szCs w:val="22"/>
                <w:color w:val="auto"/>
              </w:rPr>
              <w:t>Income (loss) from continuing operations</w:t>
            </w:r>
          </w:p>
        </w:tc>
        <w:tc>
          <w:tcPr>
            <w:tcW w:w="1040" w:type="dxa"/>
            <w:vAlign w:val="bottom"/>
            <w:gridSpan w:val="2"/>
          </w:tcPr>
          <w:p>
            <w:pPr>
              <w:jc w:val="right"/>
              <w:ind w:right="220"/>
              <w:spacing w:after="0"/>
              <w:rPr>
                <w:sz w:val="20"/>
                <w:szCs w:val="20"/>
                <w:color w:val="auto"/>
              </w:rPr>
            </w:pPr>
            <w:r>
              <w:rPr>
                <w:rFonts w:ascii="Arial" w:cs="Arial" w:eastAsia="Arial" w:hAnsi="Arial"/>
                <w:sz w:val="22"/>
                <w:szCs w:val="22"/>
                <w:color w:val="auto"/>
              </w:rPr>
              <w:t>(218)</w:t>
            </w:r>
          </w:p>
        </w:tc>
        <w:tc>
          <w:tcPr>
            <w:tcW w:w="1020" w:type="dxa"/>
            <w:vAlign w:val="bottom"/>
            <w:gridSpan w:val="2"/>
          </w:tcPr>
          <w:p>
            <w:pPr>
              <w:jc w:val="right"/>
              <w:ind w:right="220"/>
              <w:spacing w:after="0"/>
              <w:rPr>
                <w:sz w:val="20"/>
                <w:szCs w:val="20"/>
                <w:color w:val="auto"/>
              </w:rPr>
            </w:pPr>
            <w:r>
              <w:rPr>
                <w:rFonts w:ascii="Arial" w:cs="Arial" w:eastAsia="Arial" w:hAnsi="Arial"/>
                <w:sz w:val="22"/>
                <w:szCs w:val="22"/>
                <w:color w:val="auto"/>
              </w:rPr>
              <w:t>(469)</w:t>
            </w:r>
          </w:p>
        </w:tc>
        <w:tc>
          <w:tcPr>
            <w:tcW w:w="720" w:type="dxa"/>
            <w:vAlign w:val="bottom"/>
          </w:tcPr>
          <w:p>
            <w:pPr>
              <w:jc w:val="right"/>
              <w:spacing w:after="0"/>
              <w:rPr>
                <w:sz w:val="20"/>
                <w:szCs w:val="20"/>
                <w:color w:val="auto"/>
              </w:rPr>
            </w:pPr>
            <w:r>
              <w:rPr>
                <w:rFonts w:ascii="Arial" w:cs="Arial" w:eastAsia="Arial" w:hAnsi="Arial"/>
                <w:sz w:val="22"/>
                <w:szCs w:val="22"/>
                <w:color w:val="auto"/>
              </w:rPr>
              <w:t>389</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7400" w:type="dxa"/>
            <w:vAlign w:val="bottom"/>
            <w:gridSpan w:val="4"/>
          </w:tcPr>
          <w:p>
            <w:pPr>
              <w:ind w:left="160"/>
              <w:spacing w:after="0"/>
              <w:rPr>
                <w:sz w:val="20"/>
                <w:szCs w:val="20"/>
                <w:color w:val="auto"/>
              </w:rPr>
            </w:pPr>
            <w:r>
              <w:rPr>
                <w:rFonts w:ascii="Arial" w:cs="Arial" w:eastAsia="Arial" w:hAnsi="Arial"/>
                <w:sz w:val="22"/>
                <w:szCs w:val="22"/>
                <w:color w:val="auto"/>
              </w:rPr>
              <w:t>Adjustments to reconcile net income (loss) from continuing operations</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220"/>
              <w:spacing w:after="0" w:line="243" w:lineRule="exact"/>
              <w:rPr>
                <w:sz w:val="20"/>
                <w:szCs w:val="20"/>
                <w:color w:val="auto"/>
              </w:rPr>
            </w:pPr>
            <w:r>
              <w:rPr>
                <w:rFonts w:ascii="Arial" w:cs="Arial" w:eastAsia="Arial" w:hAnsi="Arial"/>
                <w:sz w:val="22"/>
                <w:szCs w:val="22"/>
                <w:color w:val="auto"/>
              </w:rPr>
              <w:t>to net cash provided by operating activities from continuing</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220"/>
              <w:spacing w:after="0" w:line="243" w:lineRule="exact"/>
              <w:rPr>
                <w:sz w:val="20"/>
                <w:szCs w:val="20"/>
                <w:color w:val="auto"/>
              </w:rPr>
            </w:pPr>
            <w:r>
              <w:rPr>
                <w:rFonts w:ascii="Arial" w:cs="Arial" w:eastAsia="Arial" w:hAnsi="Arial"/>
                <w:sz w:val="22"/>
                <w:szCs w:val="22"/>
                <w:color w:val="auto"/>
              </w:rPr>
              <w:t>operations:</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340"/>
              <w:spacing w:after="0" w:line="243" w:lineRule="exact"/>
              <w:rPr>
                <w:sz w:val="20"/>
                <w:szCs w:val="20"/>
                <w:color w:val="auto"/>
              </w:rPr>
            </w:pPr>
            <w:r>
              <w:rPr>
                <w:rFonts w:ascii="Arial" w:cs="Arial" w:eastAsia="Arial" w:hAnsi="Arial"/>
                <w:sz w:val="22"/>
                <w:szCs w:val="22"/>
                <w:color w:val="auto"/>
              </w:rPr>
              <w:t>Depreciation</w:t>
            </w:r>
          </w:p>
        </w:tc>
        <w:tc>
          <w:tcPr>
            <w:tcW w:w="10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3,166</w:t>
            </w:r>
          </w:p>
        </w:tc>
        <w:tc>
          <w:tcPr>
            <w:tcW w:w="10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1,694</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1,130</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320"/>
              <w:spacing w:after="0" w:line="243" w:lineRule="exact"/>
              <w:rPr>
                <w:sz w:val="20"/>
                <w:szCs w:val="20"/>
                <w:color w:val="auto"/>
              </w:rPr>
            </w:pPr>
            <w:r>
              <w:rPr>
                <w:rFonts w:ascii="Arial" w:cs="Arial" w:eastAsia="Arial" w:hAnsi="Arial"/>
                <w:sz w:val="22"/>
                <w:szCs w:val="22"/>
                <w:color w:val="auto"/>
              </w:rPr>
              <w:t>Amortization</w:t>
            </w:r>
          </w:p>
        </w:tc>
        <w:tc>
          <w:tcPr>
            <w:tcW w:w="10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1,272</w:t>
            </w:r>
          </w:p>
        </w:tc>
        <w:tc>
          <w:tcPr>
            <w:tcW w:w="10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221</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2,143</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340"/>
              <w:spacing w:after="0" w:line="243" w:lineRule="exact"/>
              <w:rPr>
                <w:sz w:val="20"/>
                <w:szCs w:val="20"/>
                <w:color w:val="auto"/>
              </w:rPr>
            </w:pPr>
            <w:r>
              <w:rPr>
                <w:rFonts w:ascii="Arial" w:cs="Arial" w:eastAsia="Arial" w:hAnsi="Arial"/>
                <w:sz w:val="22"/>
                <w:szCs w:val="22"/>
                <w:color w:val="auto"/>
              </w:rPr>
              <w:t>Non-cash interest (income) expense, net</w:t>
            </w:r>
          </w:p>
        </w:tc>
        <w:tc>
          <w:tcPr>
            <w:tcW w:w="10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(113)</w:t>
            </w:r>
          </w:p>
        </w:tc>
        <w:tc>
          <w:tcPr>
            <w:tcW w:w="10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10</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340"/>
              <w:spacing w:after="0" w:line="243" w:lineRule="exact"/>
              <w:rPr>
                <w:sz w:val="20"/>
                <w:szCs w:val="20"/>
                <w:color w:val="auto"/>
              </w:rPr>
            </w:pPr>
            <w:r>
              <w:rPr>
                <w:rFonts w:ascii="Arial" w:cs="Arial" w:eastAsia="Arial" w:hAnsi="Arial"/>
                <w:sz w:val="22"/>
                <w:szCs w:val="22"/>
                <w:color w:val="auto"/>
              </w:rPr>
              <w:t>Equity in net losses of affiliates</w:t>
            </w:r>
          </w:p>
        </w:tc>
        <w:tc>
          <w:tcPr>
            <w:tcW w:w="10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60</w:t>
            </w:r>
          </w:p>
        </w:tc>
        <w:tc>
          <w:tcPr>
            <w:tcW w:w="10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63</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340"/>
              <w:spacing w:after="0" w:line="243" w:lineRule="exact"/>
              <w:rPr>
                <w:sz w:val="20"/>
                <w:szCs w:val="20"/>
                <w:color w:val="auto"/>
              </w:rPr>
            </w:pPr>
            <w:r>
              <w:rPr>
                <w:rFonts w:ascii="Arial" w:cs="Arial" w:eastAsia="Arial" w:hAnsi="Arial"/>
                <w:sz w:val="22"/>
                <w:szCs w:val="22"/>
                <w:color w:val="auto"/>
              </w:rPr>
              <w:t>Losses (gains) on investments and other (income) expense, net</w:t>
            </w:r>
          </w:p>
        </w:tc>
        <w:tc>
          <w:tcPr>
            <w:tcW w:w="10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145</w:t>
            </w:r>
          </w:p>
        </w:tc>
        <w:tc>
          <w:tcPr>
            <w:tcW w:w="10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604</w:t>
            </w:r>
          </w:p>
        </w:tc>
        <w:tc>
          <w:tcPr>
            <w:tcW w:w="1980" w:type="dxa"/>
            <w:vAlign w:val="bottom"/>
            <w:gridSpan w:val="2"/>
          </w:tcPr>
          <w:p>
            <w:pPr>
              <w:jc w:val="right"/>
              <w:ind w:right="1200"/>
              <w:spacing w:after="0" w:line="243" w:lineRule="exact"/>
              <w:rPr>
                <w:sz w:val="20"/>
                <w:szCs w:val="20"/>
                <w:color w:val="auto"/>
              </w:rPr>
            </w:pPr>
            <w:r>
              <w:rPr>
                <w:rFonts w:ascii="Arial" w:cs="Arial" w:eastAsia="Arial" w:hAnsi="Arial"/>
                <w:sz w:val="22"/>
                <w:szCs w:val="22"/>
                <w:color w:val="auto"/>
              </w:rPr>
              <w:t>(2,229)</w:t>
            </w:r>
          </w:p>
        </w:tc>
        <w:tc>
          <w:tcPr>
            <w:tcW w:w="0" w:type="dxa"/>
            <w:vAlign w:val="bottom"/>
          </w:tcPr>
          <w:p>
            <w:pPr>
              <w:spacing w:after="0"/>
              <w:rPr>
                <w:sz w:val="1"/>
                <w:szCs w:val="1"/>
                <w:color w:val="auto"/>
              </w:rPr>
            </w:pPr>
          </w:p>
        </w:tc>
      </w:tr>
      <w:tr>
        <w:trPr>
          <w:trHeight w:val="243"/>
        </w:trPr>
        <w:tc>
          <w:tcPr>
            <w:tcW w:w="7400" w:type="dxa"/>
            <w:vAlign w:val="bottom"/>
            <w:gridSpan w:val="4"/>
          </w:tcPr>
          <w:p>
            <w:pPr>
              <w:ind w:left="340"/>
              <w:spacing w:after="0" w:line="243" w:lineRule="exact"/>
              <w:rPr>
                <w:sz w:val="20"/>
                <w:szCs w:val="20"/>
                <w:color w:val="auto"/>
              </w:rPr>
            </w:pPr>
            <w:r>
              <w:rPr>
                <w:rFonts w:ascii="Arial" w:cs="Arial" w:eastAsia="Arial" w:hAnsi="Arial"/>
                <w:sz w:val="22"/>
                <w:szCs w:val="22"/>
                <w:color w:val="auto"/>
              </w:rPr>
              <w:t>Minority interest</w:t>
            </w:r>
          </w:p>
        </w:tc>
        <w:tc>
          <w:tcPr>
            <w:tcW w:w="10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45</w:t>
            </w:r>
          </w:p>
        </w:tc>
        <w:tc>
          <w:tcPr>
            <w:tcW w:w="10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43</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340"/>
              <w:spacing w:after="0" w:line="243" w:lineRule="exact"/>
              <w:rPr>
                <w:sz w:val="20"/>
                <w:szCs w:val="20"/>
                <w:color w:val="auto"/>
              </w:rPr>
            </w:pPr>
            <w:r>
              <w:rPr>
                <w:rFonts w:ascii="Arial" w:cs="Arial" w:eastAsia="Arial" w:hAnsi="Arial"/>
                <w:sz w:val="22"/>
                <w:szCs w:val="22"/>
                <w:color w:val="auto"/>
              </w:rPr>
              <w:t>Cumulative effect of accounting change</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2"/>
          </w:tcPr>
          <w:p>
            <w:pPr>
              <w:jc w:val="right"/>
              <w:ind w:right="1200"/>
              <w:spacing w:after="0" w:line="243" w:lineRule="exact"/>
              <w:rPr>
                <w:sz w:val="20"/>
                <w:szCs w:val="20"/>
                <w:color w:val="auto"/>
              </w:rPr>
            </w:pPr>
            <w:r>
              <w:rPr>
                <w:rFonts w:ascii="Arial" w:cs="Arial" w:eastAsia="Arial" w:hAnsi="Arial"/>
                <w:sz w:val="22"/>
                <w:szCs w:val="22"/>
                <w:color w:val="auto"/>
              </w:rPr>
              <w:t>(385)</w:t>
            </w:r>
          </w:p>
        </w:tc>
        <w:tc>
          <w:tcPr>
            <w:tcW w:w="0" w:type="dxa"/>
            <w:vAlign w:val="bottom"/>
          </w:tcPr>
          <w:p>
            <w:pPr>
              <w:spacing w:after="0"/>
              <w:rPr>
                <w:sz w:val="1"/>
                <w:szCs w:val="1"/>
                <w:color w:val="auto"/>
              </w:rPr>
            </w:pPr>
          </w:p>
        </w:tc>
      </w:tr>
      <w:tr>
        <w:trPr>
          <w:trHeight w:val="243"/>
        </w:trPr>
        <w:tc>
          <w:tcPr>
            <w:tcW w:w="7400" w:type="dxa"/>
            <w:vAlign w:val="bottom"/>
            <w:gridSpan w:val="4"/>
          </w:tcPr>
          <w:p>
            <w:pPr>
              <w:ind w:left="340"/>
              <w:spacing w:after="0" w:line="243" w:lineRule="exact"/>
              <w:rPr>
                <w:sz w:val="20"/>
                <w:szCs w:val="20"/>
                <w:color w:val="auto"/>
              </w:rPr>
            </w:pPr>
            <w:r>
              <w:rPr>
                <w:rFonts w:ascii="Arial" w:cs="Arial" w:eastAsia="Arial" w:hAnsi="Arial"/>
                <w:sz w:val="22"/>
                <w:szCs w:val="22"/>
                <w:color w:val="auto"/>
              </w:rPr>
              <w:t>Deferred income taxes</w:t>
            </w:r>
          </w:p>
        </w:tc>
        <w:tc>
          <w:tcPr>
            <w:tcW w:w="10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820</w:t>
            </w:r>
          </w:p>
        </w:tc>
        <w:tc>
          <w:tcPr>
            <w:tcW w:w="10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(95)</w:t>
            </w:r>
          </w:p>
        </w:tc>
        <w:tc>
          <w:tcPr>
            <w:tcW w:w="1980" w:type="dxa"/>
            <w:vAlign w:val="bottom"/>
            <w:gridSpan w:val="2"/>
          </w:tcPr>
          <w:p>
            <w:pPr>
              <w:jc w:val="right"/>
              <w:ind w:right="1200"/>
              <w:spacing w:after="0" w:line="243" w:lineRule="exact"/>
              <w:rPr>
                <w:sz w:val="20"/>
                <w:szCs w:val="20"/>
                <w:color w:val="auto"/>
              </w:rPr>
            </w:pPr>
            <w:r>
              <w:rPr>
                <w:rFonts w:ascii="Arial" w:cs="Arial" w:eastAsia="Arial" w:hAnsi="Arial"/>
                <w:sz w:val="22"/>
                <w:szCs w:val="22"/>
                <w:color w:val="auto"/>
              </w:rPr>
              <w:t>(253)</w:t>
            </w:r>
          </w:p>
        </w:tc>
        <w:tc>
          <w:tcPr>
            <w:tcW w:w="0" w:type="dxa"/>
            <w:vAlign w:val="bottom"/>
          </w:tcPr>
          <w:p>
            <w:pPr>
              <w:spacing w:after="0"/>
              <w:rPr>
                <w:sz w:val="1"/>
                <w:szCs w:val="1"/>
                <w:color w:val="auto"/>
              </w:rPr>
            </w:pPr>
          </w:p>
        </w:tc>
      </w:tr>
      <w:tr>
        <w:trPr>
          <w:trHeight w:val="243"/>
        </w:trPr>
        <w:tc>
          <w:tcPr>
            <w:tcW w:w="7400" w:type="dxa"/>
            <w:vAlign w:val="bottom"/>
            <w:gridSpan w:val="4"/>
          </w:tcPr>
          <w:p>
            <w:pPr>
              <w:ind w:left="340"/>
              <w:spacing w:after="0" w:line="243" w:lineRule="exact"/>
              <w:rPr>
                <w:sz w:val="20"/>
                <w:szCs w:val="20"/>
                <w:color w:val="auto"/>
              </w:rPr>
            </w:pPr>
            <w:r>
              <w:rPr>
                <w:rFonts w:ascii="Arial" w:cs="Arial" w:eastAsia="Arial" w:hAnsi="Arial"/>
                <w:sz w:val="22"/>
                <w:szCs w:val="22"/>
                <w:color w:val="auto"/>
              </w:rPr>
              <w:t>Proceeds from sales of trading securities</w:t>
            </w:r>
          </w:p>
        </w:tc>
        <w:tc>
          <w:tcPr>
            <w:tcW w:w="10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85</w:t>
            </w: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367</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340"/>
              <w:spacing w:after="0" w:line="243" w:lineRule="exact"/>
              <w:rPr>
                <w:sz w:val="20"/>
                <w:szCs w:val="20"/>
                <w:color w:val="auto"/>
              </w:rPr>
            </w:pPr>
            <w:r>
              <w:rPr>
                <w:rFonts w:ascii="Arial" w:cs="Arial" w:eastAsia="Arial" w:hAnsi="Arial"/>
                <w:sz w:val="22"/>
                <w:szCs w:val="22"/>
                <w:color w:val="auto"/>
              </w:rPr>
              <w:t>Current tax associated with sale of discontinued operation</w:t>
            </w:r>
          </w:p>
        </w:tc>
        <w:tc>
          <w:tcPr>
            <w:tcW w:w="10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(2,028)</w:t>
            </w: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Change in operating assets and liabilities, net of effects of</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220"/>
              <w:spacing w:after="0" w:line="243" w:lineRule="exact"/>
              <w:rPr>
                <w:sz w:val="20"/>
                <w:szCs w:val="20"/>
                <w:color w:val="auto"/>
              </w:rPr>
            </w:pPr>
            <w:r>
              <w:rPr>
                <w:rFonts w:ascii="Arial" w:cs="Arial" w:eastAsia="Arial" w:hAnsi="Arial"/>
                <w:sz w:val="22"/>
                <w:szCs w:val="22"/>
                <w:color w:val="auto"/>
              </w:rPr>
              <w:t>acquisitions and divestitures</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340"/>
              <w:spacing w:after="0" w:line="243" w:lineRule="exact"/>
              <w:rPr>
                <w:sz w:val="20"/>
                <w:szCs w:val="20"/>
                <w:color w:val="auto"/>
              </w:rPr>
            </w:pPr>
            <w:r>
              <w:rPr>
                <w:rFonts w:ascii="Arial" w:cs="Arial" w:eastAsia="Arial" w:hAnsi="Arial"/>
                <w:sz w:val="22"/>
                <w:szCs w:val="22"/>
                <w:color w:val="auto"/>
              </w:rPr>
              <w:t>Change in accounts receivable, net</w:t>
            </w:r>
          </w:p>
        </w:tc>
        <w:tc>
          <w:tcPr>
            <w:tcW w:w="10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(45)</w:t>
            </w:r>
          </w:p>
        </w:tc>
        <w:tc>
          <w:tcPr>
            <w:tcW w:w="10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80</w:t>
            </w:r>
          </w:p>
        </w:tc>
        <w:tc>
          <w:tcPr>
            <w:tcW w:w="1980" w:type="dxa"/>
            <w:vAlign w:val="bottom"/>
            <w:gridSpan w:val="2"/>
          </w:tcPr>
          <w:p>
            <w:pPr>
              <w:jc w:val="right"/>
              <w:ind w:right="1200"/>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43"/>
        </w:trPr>
        <w:tc>
          <w:tcPr>
            <w:tcW w:w="7400" w:type="dxa"/>
            <w:vAlign w:val="bottom"/>
            <w:gridSpan w:val="4"/>
          </w:tcPr>
          <w:p>
            <w:pPr>
              <w:ind w:left="340"/>
              <w:spacing w:after="0" w:line="243" w:lineRule="exact"/>
              <w:rPr>
                <w:sz w:val="20"/>
                <w:szCs w:val="20"/>
                <w:color w:val="auto"/>
              </w:rPr>
            </w:pPr>
            <w:r>
              <w:rPr>
                <w:rFonts w:ascii="Arial" w:cs="Arial" w:eastAsia="Arial" w:hAnsi="Arial"/>
                <w:sz w:val="22"/>
                <w:szCs w:val="22"/>
                <w:color w:val="auto"/>
              </w:rPr>
              <w:t>Change in accounts payable</w:t>
            </w:r>
          </w:p>
        </w:tc>
        <w:tc>
          <w:tcPr>
            <w:tcW w:w="10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(45)</w:t>
            </w:r>
          </w:p>
        </w:tc>
        <w:tc>
          <w:tcPr>
            <w:tcW w:w="10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51</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400" w:type="dxa"/>
            <w:vAlign w:val="bottom"/>
            <w:gridSpan w:val="4"/>
          </w:tcPr>
          <w:p>
            <w:pPr>
              <w:ind w:left="340"/>
              <w:spacing w:after="0"/>
              <w:rPr>
                <w:sz w:val="20"/>
                <w:szCs w:val="20"/>
                <w:color w:val="auto"/>
              </w:rPr>
            </w:pPr>
            <w:r>
              <w:rPr>
                <w:rFonts w:ascii="Arial" w:cs="Arial" w:eastAsia="Arial" w:hAnsi="Arial"/>
                <w:sz w:val="22"/>
                <w:szCs w:val="22"/>
                <w:color w:val="auto"/>
              </w:rPr>
              <w:t>Change in other operating assets and liabilities</w:t>
            </w:r>
          </w:p>
        </w:tc>
        <w:tc>
          <w:tcPr>
            <w:tcW w:w="1040" w:type="dxa"/>
            <w:vAlign w:val="bottom"/>
            <w:gridSpan w:val="2"/>
          </w:tcPr>
          <w:p>
            <w:pPr>
              <w:jc w:val="right"/>
              <w:ind w:right="220"/>
              <w:spacing w:after="0"/>
              <w:rPr>
                <w:sz w:val="20"/>
                <w:szCs w:val="20"/>
                <w:color w:val="auto"/>
              </w:rPr>
            </w:pPr>
            <w:r>
              <w:rPr>
                <w:rFonts w:ascii="Arial" w:cs="Arial" w:eastAsia="Arial" w:hAnsi="Arial"/>
                <w:sz w:val="22"/>
                <w:szCs w:val="22"/>
                <w:color w:val="auto"/>
              </w:rPr>
              <w:t>(290)</w:t>
            </w:r>
          </w:p>
        </w:tc>
        <w:tc>
          <w:tcPr>
            <w:tcW w:w="1020" w:type="dxa"/>
            <w:vAlign w:val="bottom"/>
            <w:gridSpan w:val="2"/>
          </w:tcPr>
          <w:p>
            <w:pPr>
              <w:jc w:val="right"/>
              <w:ind w:right="300"/>
              <w:spacing w:after="0"/>
              <w:rPr>
                <w:sz w:val="20"/>
                <w:szCs w:val="20"/>
                <w:color w:val="auto"/>
              </w:rPr>
            </w:pPr>
            <w:r>
              <w:rPr>
                <w:rFonts w:ascii="Arial" w:cs="Arial" w:eastAsia="Arial" w:hAnsi="Arial"/>
                <w:sz w:val="22"/>
                <w:szCs w:val="22"/>
                <w:color w:val="auto"/>
              </w:rPr>
              <w:t>219</w:t>
            </w:r>
          </w:p>
        </w:tc>
        <w:tc>
          <w:tcPr>
            <w:tcW w:w="1980" w:type="dxa"/>
            <w:vAlign w:val="bottom"/>
            <w:gridSpan w:val="2"/>
          </w:tcPr>
          <w:p>
            <w:pPr>
              <w:jc w:val="right"/>
              <w:ind w:right="1200"/>
              <w:spacing w:after="0"/>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r>
        <w:trPr>
          <w:trHeight w:val="98"/>
        </w:trPr>
        <w:tc>
          <w:tcPr>
            <w:tcW w:w="380" w:type="dxa"/>
            <w:vAlign w:val="bottom"/>
          </w:tcPr>
          <w:p>
            <w:pPr>
              <w:spacing w:after="0"/>
              <w:rPr>
                <w:sz w:val="8"/>
                <w:szCs w:val="8"/>
                <w:color w:val="auto"/>
              </w:rPr>
            </w:pPr>
          </w:p>
        </w:tc>
        <w:tc>
          <w:tcPr>
            <w:tcW w:w="7020" w:type="dxa"/>
            <w:vAlign w:val="bottom"/>
            <w:gridSpan w:val="3"/>
            <w:vMerge w:val="restart"/>
          </w:tcPr>
          <w:p>
            <w:pPr>
              <w:ind w:left="60"/>
              <w:spacing w:after="0"/>
              <w:rPr>
                <w:sz w:val="20"/>
                <w:szCs w:val="20"/>
                <w:color w:val="auto"/>
              </w:rPr>
            </w:pPr>
            <w:r>
              <w:rPr>
                <w:rFonts w:ascii="Arial" w:cs="Arial" w:eastAsia="Arial" w:hAnsi="Arial"/>
                <w:sz w:val="22"/>
                <w:szCs w:val="22"/>
                <w:color w:val="auto"/>
              </w:rPr>
              <w:t>Net cash provided by operating activities from continuing</w:t>
            </w:r>
          </w:p>
        </w:tc>
        <w:tc>
          <w:tcPr>
            <w:tcW w:w="7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80" w:type="dxa"/>
            <w:vAlign w:val="bottom"/>
          </w:tcPr>
          <w:p>
            <w:pPr>
              <w:spacing w:after="0"/>
              <w:rPr>
                <w:sz w:val="24"/>
                <w:szCs w:val="24"/>
                <w:color w:val="auto"/>
              </w:rPr>
            </w:pPr>
          </w:p>
        </w:tc>
        <w:tc>
          <w:tcPr>
            <w:tcW w:w="702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7020" w:type="dxa"/>
            <w:vAlign w:val="bottom"/>
            <w:gridSpan w:val="3"/>
          </w:tcPr>
          <w:p>
            <w:pPr>
              <w:ind w:left="160"/>
              <w:spacing w:after="0"/>
              <w:rPr>
                <w:sz w:val="20"/>
                <w:szCs w:val="20"/>
                <w:color w:val="auto"/>
              </w:rPr>
            </w:pPr>
            <w:r>
              <w:rPr>
                <w:rFonts w:ascii="Arial" w:cs="Arial" w:eastAsia="Arial" w:hAnsi="Arial"/>
                <w:sz w:val="22"/>
                <w:szCs w:val="22"/>
                <w:color w:val="auto"/>
              </w:rPr>
              <w:t>operations</w:t>
            </w:r>
          </w:p>
        </w:tc>
        <w:tc>
          <w:tcPr>
            <w:tcW w:w="1040" w:type="dxa"/>
            <w:vAlign w:val="bottom"/>
            <w:gridSpan w:val="2"/>
          </w:tcPr>
          <w:p>
            <w:pPr>
              <w:jc w:val="right"/>
              <w:ind w:right="300"/>
              <w:spacing w:after="0"/>
              <w:rPr>
                <w:sz w:val="20"/>
                <w:szCs w:val="20"/>
                <w:color w:val="auto"/>
              </w:rPr>
            </w:pPr>
            <w:r>
              <w:rPr>
                <w:rFonts w:ascii="Arial" w:cs="Arial" w:eastAsia="Arial" w:hAnsi="Arial"/>
                <w:sz w:val="22"/>
                <w:szCs w:val="22"/>
                <w:color w:val="auto"/>
              </w:rPr>
              <w:t>2,854</w:t>
            </w:r>
          </w:p>
        </w:tc>
        <w:tc>
          <w:tcPr>
            <w:tcW w:w="1020" w:type="dxa"/>
            <w:vAlign w:val="bottom"/>
            <w:gridSpan w:val="2"/>
          </w:tcPr>
          <w:p>
            <w:pPr>
              <w:jc w:val="right"/>
              <w:ind w:right="300"/>
              <w:spacing w:after="0"/>
              <w:rPr>
                <w:sz w:val="20"/>
                <w:szCs w:val="20"/>
                <w:color w:val="auto"/>
              </w:rPr>
            </w:pPr>
            <w:r>
              <w:rPr>
                <w:rFonts w:ascii="Arial" w:cs="Arial" w:eastAsia="Arial" w:hAnsi="Arial"/>
                <w:sz w:val="22"/>
                <w:szCs w:val="22"/>
                <w:color w:val="auto"/>
              </w:rPr>
              <w:t>2,421</w:t>
            </w:r>
          </w:p>
        </w:tc>
        <w:tc>
          <w:tcPr>
            <w:tcW w:w="720" w:type="dxa"/>
            <w:vAlign w:val="bottom"/>
          </w:tcPr>
          <w:p>
            <w:pPr>
              <w:jc w:val="right"/>
              <w:spacing w:after="0"/>
              <w:rPr>
                <w:sz w:val="20"/>
                <w:szCs w:val="20"/>
                <w:color w:val="auto"/>
              </w:rPr>
            </w:pPr>
            <w:r>
              <w:rPr>
                <w:rFonts w:ascii="Arial" w:cs="Arial" w:eastAsia="Arial" w:hAnsi="Arial"/>
                <w:sz w:val="22"/>
                <w:szCs w:val="22"/>
                <w:color w:val="auto"/>
              </w:rPr>
              <w:t>1,169</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7400" w:type="dxa"/>
            <w:vAlign w:val="bottom"/>
            <w:gridSpan w:val="4"/>
            <w:vMerge w:val="restart"/>
          </w:tcPr>
          <w:p>
            <w:pPr>
              <w:spacing w:after="0"/>
              <w:rPr>
                <w:sz w:val="20"/>
                <w:szCs w:val="20"/>
                <w:color w:val="auto"/>
              </w:rPr>
            </w:pPr>
            <w:r>
              <w:rPr>
                <w:rFonts w:ascii="Arial" w:cs="Arial" w:eastAsia="Arial" w:hAnsi="Arial"/>
                <w:sz w:val="22"/>
                <w:szCs w:val="22"/>
                <w:color w:val="auto"/>
              </w:rPr>
              <w:t>FINANCING ACTIVITIES</w:t>
            </w:r>
          </w:p>
        </w:tc>
        <w:tc>
          <w:tcPr>
            <w:tcW w:w="7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7400" w:type="dxa"/>
            <w:vAlign w:val="bottom"/>
            <w:gridSpan w:val="4"/>
            <w:vMerge w:val="continue"/>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Proceeds from borrowings</w:t>
            </w:r>
          </w:p>
        </w:tc>
        <w:tc>
          <w:tcPr>
            <w:tcW w:w="10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9,398</w:t>
            </w:r>
          </w:p>
        </w:tc>
        <w:tc>
          <w:tcPr>
            <w:tcW w:w="10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8,759</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5,687</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Retirements and repayments of debt</w:t>
            </w:r>
          </w:p>
        </w:tc>
        <w:tc>
          <w:tcPr>
            <w:tcW w:w="10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w w:val="97"/>
              </w:rPr>
              <w:t>(16,465)</w:t>
            </w:r>
          </w:p>
        </w:tc>
        <w:tc>
          <w:tcPr>
            <w:tcW w:w="10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(9,508)</w:t>
            </w:r>
          </w:p>
        </w:tc>
        <w:tc>
          <w:tcPr>
            <w:tcW w:w="1980" w:type="dxa"/>
            <w:vAlign w:val="bottom"/>
            <w:gridSpan w:val="2"/>
          </w:tcPr>
          <w:p>
            <w:pPr>
              <w:jc w:val="right"/>
              <w:ind w:right="1200"/>
              <w:spacing w:after="0" w:line="243" w:lineRule="exact"/>
              <w:rPr>
                <w:sz w:val="20"/>
                <w:szCs w:val="20"/>
                <w:color w:val="auto"/>
              </w:rPr>
            </w:pPr>
            <w:r>
              <w:rPr>
                <w:rFonts w:ascii="Arial" w:cs="Arial" w:eastAsia="Arial" w:hAnsi="Arial"/>
                <w:sz w:val="22"/>
                <w:szCs w:val="22"/>
                <w:color w:val="auto"/>
              </w:rPr>
              <w:t>(4,013)</w:t>
            </w:r>
          </w:p>
        </w:tc>
        <w:tc>
          <w:tcPr>
            <w:tcW w:w="0" w:type="dxa"/>
            <w:vAlign w:val="bottom"/>
          </w:tcPr>
          <w:p>
            <w:pPr>
              <w:spacing w:after="0"/>
              <w:rPr>
                <w:sz w:val="1"/>
                <w:szCs w:val="1"/>
                <w:color w:val="auto"/>
              </w:rPr>
            </w:pPr>
          </w:p>
        </w:tc>
      </w:tr>
      <w:tr>
        <w:trPr>
          <w:trHeight w:val="243"/>
        </w:trPr>
        <w:tc>
          <w:tcPr>
            <w:tcW w:w="740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Proceeds from settlement of interest rate exchange agreements</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57</w:t>
            </w:r>
          </w:p>
        </w:tc>
        <w:tc>
          <w:tcPr>
            <w:tcW w:w="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Issuances of common stock and sales of put options on common stock</w:t>
            </w:r>
          </w:p>
        </w:tc>
        <w:tc>
          <w:tcPr>
            <w:tcW w:w="10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67</w:t>
            </w:r>
          </w:p>
        </w:tc>
        <w:tc>
          <w:tcPr>
            <w:tcW w:w="10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19</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Repurchases of common stock</w:t>
            </w:r>
          </w:p>
        </w:tc>
        <w:tc>
          <w:tcPr>
            <w:tcW w:w="10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(14)</w:t>
            </w: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2"/>
          </w:tcPr>
          <w:p>
            <w:pPr>
              <w:jc w:val="right"/>
              <w:ind w:right="1200"/>
              <w:spacing w:after="0" w:line="243" w:lineRule="exact"/>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75"/>
        </w:trPr>
        <w:tc>
          <w:tcPr>
            <w:tcW w:w="7400" w:type="dxa"/>
            <w:vAlign w:val="bottom"/>
            <w:gridSpan w:val="4"/>
          </w:tcPr>
          <w:p>
            <w:pPr>
              <w:ind w:left="180"/>
              <w:spacing w:after="0"/>
              <w:rPr>
                <w:sz w:val="20"/>
                <w:szCs w:val="20"/>
                <w:color w:val="auto"/>
              </w:rPr>
            </w:pPr>
            <w:r>
              <w:rPr>
                <w:rFonts w:ascii="Arial" w:cs="Arial" w:eastAsia="Arial" w:hAnsi="Arial"/>
                <w:sz w:val="22"/>
                <w:szCs w:val="22"/>
                <w:color w:val="auto"/>
              </w:rPr>
              <w:t>Deferred financing costs</w:t>
            </w:r>
          </w:p>
        </w:tc>
        <w:tc>
          <w:tcPr>
            <w:tcW w:w="1040" w:type="dxa"/>
            <w:vAlign w:val="bottom"/>
            <w:gridSpan w:val="2"/>
          </w:tcPr>
          <w:p>
            <w:pPr>
              <w:jc w:val="right"/>
              <w:ind w:right="220"/>
              <w:spacing w:after="0"/>
              <w:rPr>
                <w:sz w:val="20"/>
                <w:szCs w:val="20"/>
                <w:color w:val="auto"/>
              </w:rPr>
            </w:pPr>
            <w:r>
              <w:rPr>
                <w:rFonts w:ascii="Arial" w:cs="Arial" w:eastAsia="Arial" w:hAnsi="Arial"/>
                <w:sz w:val="22"/>
                <w:szCs w:val="22"/>
                <w:color w:val="auto"/>
              </w:rPr>
              <w:t>(34)</w:t>
            </w:r>
          </w:p>
        </w:tc>
        <w:tc>
          <w:tcPr>
            <w:tcW w:w="1020" w:type="dxa"/>
            <w:vAlign w:val="bottom"/>
            <w:gridSpan w:val="2"/>
          </w:tcPr>
          <w:p>
            <w:pPr>
              <w:jc w:val="right"/>
              <w:ind w:right="220"/>
              <w:spacing w:after="0"/>
              <w:rPr>
                <w:sz w:val="20"/>
                <w:szCs w:val="20"/>
                <w:color w:val="auto"/>
              </w:rPr>
            </w:pPr>
            <w:r>
              <w:rPr>
                <w:rFonts w:ascii="Arial" w:cs="Arial" w:eastAsia="Arial" w:hAnsi="Arial"/>
                <w:sz w:val="22"/>
                <w:szCs w:val="22"/>
                <w:color w:val="auto"/>
              </w:rPr>
              <w:t>(332)</w:t>
            </w:r>
          </w:p>
        </w:tc>
        <w:tc>
          <w:tcPr>
            <w:tcW w:w="1980" w:type="dxa"/>
            <w:vAlign w:val="bottom"/>
            <w:gridSpan w:val="2"/>
          </w:tcPr>
          <w:p>
            <w:pPr>
              <w:jc w:val="right"/>
              <w:ind w:right="1200"/>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98"/>
        </w:trPr>
        <w:tc>
          <w:tcPr>
            <w:tcW w:w="380" w:type="dxa"/>
            <w:vAlign w:val="bottom"/>
          </w:tcPr>
          <w:p>
            <w:pPr>
              <w:spacing w:after="0"/>
              <w:rPr>
                <w:sz w:val="8"/>
                <w:szCs w:val="8"/>
                <w:color w:val="auto"/>
              </w:rPr>
            </w:pPr>
          </w:p>
        </w:tc>
        <w:tc>
          <w:tcPr>
            <w:tcW w:w="7020" w:type="dxa"/>
            <w:vAlign w:val="bottom"/>
            <w:gridSpan w:val="3"/>
            <w:vMerge w:val="restart"/>
          </w:tcPr>
          <w:p>
            <w:pPr>
              <w:ind w:left="60"/>
              <w:spacing w:after="0"/>
              <w:rPr>
                <w:sz w:val="20"/>
                <w:szCs w:val="20"/>
                <w:color w:val="auto"/>
              </w:rPr>
            </w:pPr>
            <w:r>
              <w:rPr>
                <w:rFonts w:ascii="Arial" w:cs="Arial" w:eastAsia="Arial" w:hAnsi="Arial"/>
                <w:sz w:val="22"/>
                <w:szCs w:val="22"/>
                <w:color w:val="auto"/>
              </w:rPr>
              <w:t>Net cash (used in) provided by financing activities from</w:t>
            </w:r>
          </w:p>
        </w:tc>
        <w:tc>
          <w:tcPr>
            <w:tcW w:w="7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80" w:type="dxa"/>
            <w:vAlign w:val="bottom"/>
          </w:tcPr>
          <w:p>
            <w:pPr>
              <w:spacing w:after="0"/>
              <w:rPr>
                <w:sz w:val="24"/>
                <w:szCs w:val="24"/>
                <w:color w:val="auto"/>
              </w:rPr>
            </w:pPr>
          </w:p>
        </w:tc>
        <w:tc>
          <w:tcPr>
            <w:tcW w:w="702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7020" w:type="dxa"/>
            <w:vAlign w:val="bottom"/>
            <w:gridSpan w:val="3"/>
          </w:tcPr>
          <w:p>
            <w:pPr>
              <w:ind w:left="160"/>
              <w:spacing w:after="0"/>
              <w:rPr>
                <w:sz w:val="20"/>
                <w:szCs w:val="20"/>
                <w:color w:val="auto"/>
              </w:rPr>
            </w:pPr>
            <w:r>
              <w:rPr>
                <w:rFonts w:ascii="Arial" w:cs="Arial" w:eastAsia="Arial" w:hAnsi="Arial"/>
                <w:sz w:val="22"/>
                <w:szCs w:val="22"/>
                <w:color w:val="auto"/>
              </w:rPr>
              <w:t>continuing operations</w:t>
            </w:r>
          </w:p>
        </w:tc>
        <w:tc>
          <w:tcPr>
            <w:tcW w:w="1040" w:type="dxa"/>
            <w:vAlign w:val="bottom"/>
            <w:gridSpan w:val="2"/>
          </w:tcPr>
          <w:p>
            <w:pPr>
              <w:jc w:val="right"/>
              <w:ind w:right="220"/>
              <w:spacing w:after="0"/>
              <w:rPr>
                <w:sz w:val="20"/>
                <w:szCs w:val="20"/>
                <w:color w:val="auto"/>
              </w:rPr>
            </w:pPr>
            <w:r>
              <w:rPr>
                <w:rFonts w:ascii="Arial" w:cs="Arial" w:eastAsia="Arial" w:hAnsi="Arial"/>
                <w:sz w:val="22"/>
                <w:szCs w:val="22"/>
                <w:color w:val="auto"/>
              </w:rPr>
              <w:t>(7,048)</w:t>
            </w:r>
          </w:p>
        </w:tc>
        <w:tc>
          <w:tcPr>
            <w:tcW w:w="1020" w:type="dxa"/>
            <w:vAlign w:val="bottom"/>
            <w:gridSpan w:val="2"/>
          </w:tcPr>
          <w:p>
            <w:pPr>
              <w:jc w:val="right"/>
              <w:ind w:right="220"/>
              <w:spacing w:after="0"/>
              <w:rPr>
                <w:sz w:val="20"/>
                <w:szCs w:val="20"/>
                <w:color w:val="auto"/>
              </w:rPr>
            </w:pPr>
            <w:r>
              <w:rPr>
                <w:rFonts w:ascii="Arial" w:cs="Arial" w:eastAsia="Arial" w:hAnsi="Arial"/>
                <w:sz w:val="22"/>
                <w:szCs w:val="22"/>
                <w:color w:val="auto"/>
              </w:rPr>
              <w:t>(1,005)</w:t>
            </w:r>
          </w:p>
        </w:tc>
        <w:tc>
          <w:tcPr>
            <w:tcW w:w="720" w:type="dxa"/>
            <w:vAlign w:val="bottom"/>
          </w:tcPr>
          <w:p>
            <w:pPr>
              <w:jc w:val="right"/>
              <w:spacing w:after="0"/>
              <w:rPr>
                <w:sz w:val="20"/>
                <w:szCs w:val="20"/>
                <w:color w:val="auto"/>
              </w:rPr>
            </w:pPr>
            <w:r>
              <w:rPr>
                <w:rFonts w:ascii="Arial" w:cs="Arial" w:eastAsia="Arial" w:hAnsi="Arial"/>
                <w:sz w:val="22"/>
                <w:szCs w:val="22"/>
                <w:color w:val="auto"/>
              </w:rPr>
              <w:t>1,651</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8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74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-8665210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-8665210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-8665210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-8665210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-8665210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-8665210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51" w:right="219" w:bottom="0" w:gutter="0" w:footer="0" w:header="0"/>
        </w:sectPr>
      </w:pPr>
    </w:p>
    <w:bookmarkStart w:id="62" w:name="page63"/>
    <w:bookmarkEnd w:id="62"/>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00" w:type="dxa"/>
            <w:vAlign w:val="bottom"/>
          </w:tcPr>
          <w:p>
            <w:pPr>
              <w:spacing w:after="0"/>
              <w:rPr>
                <w:sz w:val="20"/>
                <w:szCs w:val="20"/>
                <w:color w:val="auto"/>
              </w:rPr>
            </w:pPr>
            <w:r>
              <w:rPr>
                <w:rFonts w:ascii="Arial" w:cs="Arial" w:eastAsia="Arial" w:hAnsi="Arial"/>
                <w:sz w:val="22"/>
                <w:szCs w:val="22"/>
                <w:color w:val="auto"/>
              </w:rPr>
              <w:t>INVESTING ACTIVITIES</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160"/>
              <w:spacing w:after="0" w:line="243" w:lineRule="exact"/>
              <w:rPr>
                <w:sz w:val="20"/>
                <w:szCs w:val="20"/>
                <w:color w:val="auto"/>
              </w:rPr>
            </w:pPr>
            <w:r>
              <w:rPr>
                <w:rFonts w:ascii="Arial" w:cs="Arial" w:eastAsia="Arial" w:hAnsi="Arial"/>
                <w:sz w:val="22"/>
                <w:szCs w:val="22"/>
                <w:color w:val="auto"/>
              </w:rPr>
              <w:t>Acquisitions, net of cash acquired</w:t>
            </w:r>
          </w:p>
        </w:tc>
        <w:tc>
          <w:tcPr>
            <w:tcW w:w="10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(152)</w:t>
            </w:r>
          </w:p>
        </w:tc>
        <w:tc>
          <w:tcPr>
            <w:tcW w:w="10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(251)</w:t>
            </w:r>
          </w:p>
        </w:tc>
        <w:tc>
          <w:tcPr>
            <w:tcW w:w="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(1,329)</w:t>
            </w:r>
          </w:p>
        </w:tc>
        <w:tc>
          <w:tcPr>
            <w:tcW w:w="0" w:type="dxa"/>
            <w:vAlign w:val="bottom"/>
          </w:tcPr>
          <w:p>
            <w:pPr>
              <w:spacing w:after="0"/>
              <w:rPr>
                <w:sz w:val="1"/>
                <w:szCs w:val="1"/>
                <w:color w:val="auto"/>
              </w:rPr>
            </w:pPr>
          </w:p>
        </w:tc>
      </w:tr>
      <w:tr>
        <w:trPr>
          <w:trHeight w:val="243"/>
        </w:trPr>
        <w:tc>
          <w:tcPr>
            <w:tcW w:w="7400" w:type="dxa"/>
            <w:vAlign w:val="bottom"/>
          </w:tcPr>
          <w:p>
            <w:pPr>
              <w:ind w:left="180"/>
              <w:spacing w:after="0" w:line="243" w:lineRule="exact"/>
              <w:rPr>
                <w:sz w:val="20"/>
                <w:szCs w:val="20"/>
                <w:color w:val="auto"/>
              </w:rPr>
            </w:pPr>
            <w:r>
              <w:rPr>
                <w:rFonts w:ascii="Arial" w:cs="Arial" w:eastAsia="Arial" w:hAnsi="Arial"/>
                <w:sz w:val="22"/>
                <w:szCs w:val="22"/>
                <w:color w:val="auto"/>
              </w:rPr>
              <w:t>Proceeds from sales of (purchases of) short-term investments, net</w:t>
            </w:r>
          </w:p>
        </w:tc>
        <w:tc>
          <w:tcPr>
            <w:tcW w:w="10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(32)</w:t>
            </w:r>
          </w:p>
        </w:tc>
        <w:tc>
          <w:tcPr>
            <w:tcW w:w="10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(21)</w:t>
            </w:r>
          </w:p>
        </w:tc>
        <w:tc>
          <w:tcPr>
            <w:tcW w:w="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43"/>
        </w:trPr>
        <w:tc>
          <w:tcPr>
            <w:tcW w:w="7400" w:type="dxa"/>
            <w:vAlign w:val="bottom"/>
          </w:tcPr>
          <w:p>
            <w:pPr>
              <w:ind w:left="180"/>
              <w:spacing w:after="0" w:line="243" w:lineRule="exact"/>
              <w:rPr>
                <w:sz w:val="20"/>
                <w:szCs w:val="20"/>
                <w:color w:val="auto"/>
              </w:rPr>
            </w:pPr>
            <w:r>
              <w:rPr>
                <w:rFonts w:ascii="Arial" w:cs="Arial" w:eastAsia="Arial" w:hAnsi="Arial"/>
                <w:sz w:val="22"/>
                <w:szCs w:val="22"/>
                <w:color w:val="auto"/>
              </w:rPr>
              <w:t>Proceeds from sales of discontinued operations and assets held for sale</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1,875</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180"/>
              <w:spacing w:after="0" w:line="243" w:lineRule="exact"/>
              <w:rPr>
                <w:sz w:val="20"/>
                <w:szCs w:val="20"/>
                <w:color w:val="auto"/>
              </w:rPr>
            </w:pPr>
            <w:r>
              <w:rPr>
                <w:rFonts w:ascii="Arial" w:cs="Arial" w:eastAsia="Arial" w:hAnsi="Arial"/>
                <w:sz w:val="22"/>
                <w:szCs w:val="22"/>
                <w:color w:val="auto"/>
              </w:rPr>
              <w:t>Capital contributions to and purchases of investments</w:t>
            </w:r>
          </w:p>
        </w:tc>
        <w:tc>
          <w:tcPr>
            <w:tcW w:w="10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(202)</w:t>
            </w:r>
          </w:p>
        </w:tc>
        <w:tc>
          <w:tcPr>
            <w:tcW w:w="10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(67)</w:t>
            </w:r>
          </w:p>
        </w:tc>
        <w:tc>
          <w:tcPr>
            <w:tcW w:w="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(277)</w:t>
            </w:r>
          </w:p>
        </w:tc>
        <w:tc>
          <w:tcPr>
            <w:tcW w:w="0" w:type="dxa"/>
            <w:vAlign w:val="bottom"/>
          </w:tcPr>
          <w:p>
            <w:pPr>
              <w:spacing w:after="0"/>
              <w:rPr>
                <w:sz w:val="1"/>
                <w:szCs w:val="1"/>
                <w:color w:val="auto"/>
              </w:rPr>
            </w:pPr>
          </w:p>
        </w:tc>
      </w:tr>
      <w:tr>
        <w:trPr>
          <w:trHeight w:val="243"/>
        </w:trPr>
        <w:tc>
          <w:tcPr>
            <w:tcW w:w="7400" w:type="dxa"/>
            <w:vAlign w:val="bottom"/>
          </w:tcPr>
          <w:p>
            <w:pPr>
              <w:ind w:left="180"/>
              <w:spacing w:after="0" w:line="243" w:lineRule="exact"/>
              <w:rPr>
                <w:sz w:val="20"/>
                <w:szCs w:val="20"/>
                <w:color w:val="auto"/>
              </w:rPr>
            </w:pPr>
            <w:r>
              <w:rPr>
                <w:rFonts w:ascii="Arial" w:cs="Arial" w:eastAsia="Arial" w:hAnsi="Arial"/>
                <w:sz w:val="22"/>
                <w:szCs w:val="22"/>
                <w:color w:val="auto"/>
              </w:rPr>
              <w:t>Proceeds from sales, settlements and restructuring of investments</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7,971</w:t>
            </w:r>
          </w:p>
        </w:tc>
        <w:tc>
          <w:tcPr>
            <w:tcW w:w="300" w:type="dxa"/>
            <w:vAlign w:val="bottom"/>
          </w:tcPr>
          <w:p>
            <w:pPr>
              <w:spacing w:after="0"/>
              <w:rPr>
                <w:sz w:val="21"/>
                <w:szCs w:val="21"/>
                <w:color w:val="auto"/>
              </w:rPr>
            </w:pPr>
          </w:p>
        </w:tc>
        <w:tc>
          <w:tcPr>
            <w:tcW w:w="10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1,263</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806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180"/>
              <w:spacing w:after="0" w:line="243" w:lineRule="exact"/>
              <w:rPr>
                <w:sz w:val="20"/>
                <w:szCs w:val="20"/>
                <w:color w:val="auto"/>
              </w:rPr>
            </w:pPr>
            <w:r>
              <w:rPr>
                <w:rFonts w:ascii="Arial" w:cs="Arial" w:eastAsia="Arial" w:hAnsi="Arial"/>
                <w:sz w:val="22"/>
                <w:szCs w:val="22"/>
                <w:color w:val="auto"/>
              </w:rPr>
              <w:t>Capital expenditures</w:t>
            </w:r>
          </w:p>
        </w:tc>
        <w:tc>
          <w:tcPr>
            <w:tcW w:w="10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(4,161)</w:t>
            </w:r>
          </w:p>
        </w:tc>
        <w:tc>
          <w:tcPr>
            <w:tcW w:w="10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(1,852)</w:t>
            </w:r>
          </w:p>
        </w:tc>
        <w:tc>
          <w:tcPr>
            <w:tcW w:w="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(2,039)</w:t>
            </w:r>
          </w:p>
        </w:tc>
        <w:tc>
          <w:tcPr>
            <w:tcW w:w="0" w:type="dxa"/>
            <w:vAlign w:val="bottom"/>
          </w:tcPr>
          <w:p>
            <w:pPr>
              <w:spacing w:after="0"/>
              <w:rPr>
                <w:sz w:val="1"/>
                <w:szCs w:val="1"/>
                <w:color w:val="auto"/>
              </w:rPr>
            </w:pPr>
          </w:p>
        </w:tc>
      </w:tr>
      <w:tr>
        <w:trPr>
          <w:trHeight w:val="243"/>
        </w:trPr>
        <w:tc>
          <w:tcPr>
            <w:tcW w:w="7400" w:type="dxa"/>
            <w:vAlign w:val="bottom"/>
          </w:tcPr>
          <w:p>
            <w:pPr>
              <w:ind w:left="160"/>
              <w:spacing w:after="0" w:line="243" w:lineRule="exact"/>
              <w:rPr>
                <w:sz w:val="20"/>
                <w:szCs w:val="20"/>
                <w:color w:val="auto"/>
              </w:rPr>
            </w:pPr>
            <w:r>
              <w:rPr>
                <w:rFonts w:ascii="Arial" w:cs="Arial" w:eastAsia="Arial" w:hAnsi="Arial"/>
                <w:sz w:val="22"/>
                <w:szCs w:val="22"/>
                <w:color w:val="auto"/>
              </w:rPr>
              <w:t>Additions to intangible and other noncurrent assets</w:t>
            </w:r>
          </w:p>
        </w:tc>
        <w:tc>
          <w:tcPr>
            <w:tcW w:w="104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(155)</w:t>
            </w:r>
          </w:p>
        </w:tc>
        <w:tc>
          <w:tcPr>
            <w:tcW w:w="10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(197)</w:t>
            </w:r>
          </w:p>
        </w:tc>
        <w:tc>
          <w:tcPr>
            <w:tcW w:w="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(305)</w:t>
            </w:r>
          </w:p>
        </w:tc>
        <w:tc>
          <w:tcPr>
            <w:tcW w:w="0" w:type="dxa"/>
            <w:vAlign w:val="bottom"/>
          </w:tcPr>
          <w:p>
            <w:pPr>
              <w:spacing w:after="0"/>
              <w:rPr>
                <w:sz w:val="1"/>
                <w:szCs w:val="1"/>
                <w:color w:val="auto"/>
              </w:rPr>
            </w:pPr>
          </w:p>
        </w:tc>
      </w:tr>
      <w:tr>
        <w:trPr>
          <w:trHeight w:val="275"/>
        </w:trPr>
        <w:tc>
          <w:tcPr>
            <w:tcW w:w="7400" w:type="dxa"/>
            <w:vAlign w:val="bottom"/>
          </w:tcPr>
          <w:p>
            <w:pPr>
              <w:ind w:left="180"/>
              <w:spacing w:after="0"/>
              <w:rPr>
                <w:sz w:val="20"/>
                <w:szCs w:val="20"/>
                <w:color w:val="auto"/>
              </w:rPr>
            </w:pPr>
            <w:r>
              <w:rPr>
                <w:rFonts w:ascii="Arial" w:cs="Arial" w:eastAsia="Arial" w:hAnsi="Arial"/>
                <w:sz w:val="22"/>
                <w:szCs w:val="22"/>
                <w:color w:val="auto"/>
              </w:rPr>
              <w:t>Proceeds from settlement of contract of acquired company</w:t>
            </w:r>
          </w:p>
        </w:tc>
        <w:tc>
          <w:tcPr>
            <w:tcW w:w="740" w:type="dxa"/>
            <w:vAlign w:val="bottom"/>
          </w:tcPr>
          <w:p>
            <w:pPr>
              <w:jc w:val="right"/>
              <w:spacing w:after="0"/>
              <w:rPr>
                <w:sz w:val="20"/>
                <w:szCs w:val="20"/>
                <w:color w:val="auto"/>
              </w:rPr>
            </w:pPr>
            <w:r>
              <w:rPr>
                <w:rFonts w:ascii="Arial" w:cs="Arial" w:eastAsia="Arial" w:hAnsi="Arial"/>
                <w:sz w:val="22"/>
                <w:szCs w:val="22"/>
                <w:color w:val="auto"/>
              </w:rPr>
              <w:t>95</w:t>
            </w: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7400" w:type="dxa"/>
            <w:vAlign w:val="bottom"/>
            <w:vMerge w:val="restart"/>
          </w:tcPr>
          <w:p>
            <w:pPr>
              <w:ind w:left="440"/>
              <w:spacing w:after="0"/>
              <w:rPr>
                <w:sz w:val="20"/>
                <w:szCs w:val="20"/>
                <w:color w:val="auto"/>
              </w:rPr>
            </w:pPr>
            <w:r>
              <w:rPr>
                <w:rFonts w:ascii="Arial" w:cs="Arial" w:eastAsia="Arial" w:hAnsi="Arial"/>
                <w:sz w:val="22"/>
                <w:szCs w:val="22"/>
                <w:color w:val="auto"/>
              </w:rPr>
              <w:t>Net cash provided by (used in) investing activities from</w:t>
            </w:r>
          </w:p>
        </w:tc>
        <w:tc>
          <w:tcPr>
            <w:tcW w:w="7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74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400" w:type="dxa"/>
            <w:vAlign w:val="bottom"/>
          </w:tcPr>
          <w:p>
            <w:pPr>
              <w:ind w:left="540"/>
              <w:spacing w:after="0"/>
              <w:rPr>
                <w:sz w:val="20"/>
                <w:szCs w:val="20"/>
                <w:color w:val="auto"/>
              </w:rPr>
            </w:pPr>
            <w:r>
              <w:rPr>
                <w:rFonts w:ascii="Arial" w:cs="Arial" w:eastAsia="Arial" w:hAnsi="Arial"/>
                <w:sz w:val="22"/>
                <w:szCs w:val="22"/>
                <w:color w:val="auto"/>
              </w:rPr>
              <w:t>continuing operations</w:t>
            </w:r>
          </w:p>
        </w:tc>
        <w:tc>
          <w:tcPr>
            <w:tcW w:w="740" w:type="dxa"/>
            <w:vAlign w:val="bottom"/>
          </w:tcPr>
          <w:p>
            <w:pPr>
              <w:jc w:val="right"/>
              <w:spacing w:after="0"/>
              <w:rPr>
                <w:sz w:val="20"/>
                <w:szCs w:val="20"/>
                <w:color w:val="auto"/>
              </w:rPr>
            </w:pPr>
            <w:r>
              <w:rPr>
                <w:rFonts w:ascii="Arial" w:cs="Arial" w:eastAsia="Arial" w:hAnsi="Arial"/>
                <w:sz w:val="22"/>
                <w:szCs w:val="22"/>
                <w:color w:val="auto"/>
              </w:rPr>
              <w:t>5,239</w:t>
            </w:r>
          </w:p>
        </w:tc>
        <w:tc>
          <w:tcPr>
            <w:tcW w:w="3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22"/>
                <w:szCs w:val="22"/>
                <w:color w:val="auto"/>
              </w:rPr>
              <w:t>(1,125)</w:t>
            </w:r>
          </w:p>
        </w:tc>
        <w:tc>
          <w:tcPr>
            <w:tcW w:w="780" w:type="dxa"/>
            <w:vAlign w:val="bottom"/>
            <w:gridSpan w:val="2"/>
          </w:tcPr>
          <w:p>
            <w:pPr>
              <w:jc w:val="right"/>
              <w:spacing w:after="0"/>
              <w:rPr>
                <w:sz w:val="20"/>
                <w:szCs w:val="20"/>
                <w:color w:val="auto"/>
              </w:rPr>
            </w:pPr>
            <w:r>
              <w:rPr>
                <w:rFonts w:ascii="Arial" w:cs="Arial" w:eastAsia="Arial" w:hAnsi="Arial"/>
                <w:sz w:val="22"/>
                <w:szCs w:val="22"/>
                <w:color w:val="auto"/>
              </w:rPr>
              <w:t>(3,150)</w:t>
            </w:r>
          </w:p>
        </w:tc>
        <w:tc>
          <w:tcPr>
            <w:tcW w:w="0" w:type="dxa"/>
            <w:vAlign w:val="bottom"/>
          </w:tcPr>
          <w:p>
            <w:pPr>
              <w:spacing w:after="0"/>
              <w:rPr>
                <w:sz w:val="1"/>
                <w:szCs w:val="1"/>
                <w:color w:val="auto"/>
              </w:rPr>
            </w:pPr>
          </w:p>
        </w:tc>
      </w:tr>
      <w:tr>
        <w:trPr>
          <w:trHeight w:val="98"/>
        </w:trPr>
        <w:tc>
          <w:tcPr>
            <w:tcW w:w="74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7400" w:type="dxa"/>
            <w:vAlign w:val="bottom"/>
          </w:tcPr>
          <w:p>
            <w:pPr>
              <w:spacing w:after="0"/>
              <w:rPr>
                <w:sz w:val="20"/>
                <w:szCs w:val="20"/>
                <w:color w:val="auto"/>
              </w:rPr>
            </w:pPr>
            <w:r>
              <w:rPr>
                <w:rFonts w:ascii="Arial" w:cs="Arial" w:eastAsia="Arial" w:hAnsi="Arial"/>
                <w:sz w:val="22"/>
                <w:szCs w:val="22"/>
                <w:color w:val="auto"/>
              </w:rPr>
              <w:t>INCREASE (DECREASE) IN CASH AND CASH EQUIVALENTS</w:t>
            </w:r>
          </w:p>
        </w:tc>
        <w:tc>
          <w:tcPr>
            <w:tcW w:w="740" w:type="dxa"/>
            <w:vAlign w:val="bottom"/>
          </w:tcPr>
          <w:p>
            <w:pPr>
              <w:jc w:val="right"/>
              <w:spacing w:after="0"/>
              <w:rPr>
                <w:sz w:val="20"/>
                <w:szCs w:val="20"/>
                <w:color w:val="auto"/>
              </w:rPr>
            </w:pPr>
            <w:r>
              <w:rPr>
                <w:rFonts w:ascii="Arial" w:cs="Arial" w:eastAsia="Arial" w:hAnsi="Arial"/>
                <w:sz w:val="22"/>
                <w:szCs w:val="22"/>
                <w:color w:val="auto"/>
              </w:rPr>
              <w:t>1,045</w:t>
            </w:r>
          </w:p>
        </w:tc>
        <w:tc>
          <w:tcPr>
            <w:tcW w:w="3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22"/>
                <w:szCs w:val="22"/>
                <w:color w:val="auto"/>
              </w:rPr>
              <w:t>291</w:t>
            </w:r>
          </w:p>
        </w:tc>
        <w:tc>
          <w:tcPr>
            <w:tcW w:w="780" w:type="dxa"/>
            <w:vAlign w:val="bottom"/>
            <w:gridSpan w:val="2"/>
          </w:tcPr>
          <w:p>
            <w:pPr>
              <w:jc w:val="right"/>
              <w:spacing w:after="0"/>
              <w:rPr>
                <w:sz w:val="20"/>
                <w:szCs w:val="20"/>
                <w:color w:val="auto"/>
              </w:rPr>
            </w:pPr>
            <w:r>
              <w:rPr>
                <w:rFonts w:ascii="Arial" w:cs="Arial" w:eastAsia="Arial" w:hAnsi="Arial"/>
                <w:sz w:val="22"/>
                <w:szCs w:val="22"/>
                <w:color w:val="auto"/>
              </w:rPr>
              <w:t>(330)</w:t>
            </w:r>
          </w:p>
        </w:tc>
        <w:tc>
          <w:tcPr>
            <w:tcW w:w="0" w:type="dxa"/>
            <w:vAlign w:val="bottom"/>
          </w:tcPr>
          <w:p>
            <w:pPr>
              <w:spacing w:after="0"/>
              <w:rPr>
                <w:sz w:val="1"/>
                <w:szCs w:val="1"/>
                <w:color w:val="auto"/>
              </w:rPr>
            </w:pPr>
          </w:p>
        </w:tc>
      </w:tr>
      <w:tr>
        <w:trPr>
          <w:trHeight w:val="486"/>
        </w:trPr>
        <w:tc>
          <w:tcPr>
            <w:tcW w:w="7400" w:type="dxa"/>
            <w:vAlign w:val="bottom"/>
          </w:tcPr>
          <w:p>
            <w:pPr>
              <w:spacing w:after="0"/>
              <w:rPr>
                <w:sz w:val="20"/>
                <w:szCs w:val="20"/>
                <w:color w:val="auto"/>
              </w:rPr>
            </w:pPr>
            <w:r>
              <w:rPr>
                <w:rFonts w:ascii="Arial" w:cs="Arial" w:eastAsia="Arial" w:hAnsi="Arial"/>
                <w:sz w:val="22"/>
                <w:szCs w:val="22"/>
                <w:color w:val="auto"/>
              </w:rPr>
              <w:t>CASH AND CASH EQUIVALENTS, beginning of year</w:t>
            </w:r>
          </w:p>
        </w:tc>
        <w:tc>
          <w:tcPr>
            <w:tcW w:w="740" w:type="dxa"/>
            <w:vAlign w:val="bottom"/>
          </w:tcPr>
          <w:p>
            <w:pPr>
              <w:jc w:val="right"/>
              <w:spacing w:after="0"/>
              <w:rPr>
                <w:sz w:val="20"/>
                <w:szCs w:val="20"/>
                <w:color w:val="auto"/>
              </w:rPr>
            </w:pPr>
            <w:r>
              <w:rPr>
                <w:rFonts w:ascii="Arial" w:cs="Arial" w:eastAsia="Arial" w:hAnsi="Arial"/>
                <w:sz w:val="22"/>
                <w:szCs w:val="22"/>
                <w:color w:val="auto"/>
              </w:rPr>
              <w:t>505</w:t>
            </w:r>
          </w:p>
        </w:tc>
        <w:tc>
          <w:tcPr>
            <w:tcW w:w="3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22"/>
                <w:szCs w:val="22"/>
                <w:color w:val="auto"/>
              </w:rPr>
              <w:t>214</w:t>
            </w:r>
          </w:p>
        </w:tc>
        <w:tc>
          <w:tcPr>
            <w:tcW w:w="720" w:type="dxa"/>
            <w:vAlign w:val="bottom"/>
          </w:tcPr>
          <w:p>
            <w:pPr>
              <w:jc w:val="right"/>
              <w:spacing w:after="0"/>
              <w:rPr>
                <w:sz w:val="20"/>
                <w:szCs w:val="20"/>
                <w:color w:val="auto"/>
              </w:rPr>
            </w:pPr>
            <w:r>
              <w:rPr>
                <w:rFonts w:ascii="Arial" w:cs="Arial" w:eastAsia="Arial" w:hAnsi="Arial"/>
                <w:sz w:val="22"/>
                <w:szCs w:val="22"/>
                <w:color w:val="auto"/>
              </w:rPr>
              <w:t>544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4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7400" w:type="dxa"/>
            <w:vAlign w:val="bottom"/>
          </w:tcPr>
          <w:p>
            <w:pPr>
              <w:spacing w:after="0"/>
              <w:rPr>
                <w:sz w:val="20"/>
                <w:szCs w:val="20"/>
                <w:color w:val="auto"/>
              </w:rPr>
            </w:pPr>
            <w:r>
              <w:rPr>
                <w:rFonts w:ascii="Arial" w:cs="Arial" w:eastAsia="Arial" w:hAnsi="Arial"/>
                <w:sz w:val="22"/>
                <w:szCs w:val="22"/>
                <w:color w:val="auto"/>
              </w:rPr>
              <w:t>CASH AND CASH EQUIVALENTS, end of year</w:t>
            </w:r>
          </w:p>
        </w:tc>
        <w:tc>
          <w:tcPr>
            <w:tcW w:w="740" w:type="dxa"/>
            <w:vAlign w:val="bottom"/>
          </w:tcPr>
          <w:p>
            <w:pPr>
              <w:jc w:val="right"/>
              <w:spacing w:after="0"/>
              <w:rPr>
                <w:sz w:val="20"/>
                <w:szCs w:val="20"/>
                <w:color w:val="auto"/>
              </w:rPr>
            </w:pPr>
            <w:r>
              <w:rPr>
                <w:rFonts w:ascii="Arial" w:cs="Arial" w:eastAsia="Arial" w:hAnsi="Arial"/>
                <w:sz w:val="22"/>
                <w:szCs w:val="22"/>
                <w:color w:val="auto"/>
              </w:rPr>
              <w:t>$1,550</w:t>
            </w:r>
          </w:p>
        </w:tc>
        <w:tc>
          <w:tcPr>
            <w:tcW w:w="3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22"/>
                <w:szCs w:val="22"/>
                <w:color w:val="auto"/>
              </w:rPr>
              <w:t>$505</w:t>
            </w:r>
          </w:p>
        </w:tc>
        <w:tc>
          <w:tcPr>
            <w:tcW w:w="720" w:type="dxa"/>
            <w:vAlign w:val="bottom"/>
          </w:tcPr>
          <w:p>
            <w:pPr>
              <w:jc w:val="right"/>
              <w:spacing w:after="0"/>
              <w:rPr>
                <w:sz w:val="20"/>
                <w:szCs w:val="20"/>
                <w:color w:val="auto"/>
              </w:rPr>
            </w:pPr>
            <w:r>
              <w:rPr>
                <w:rFonts w:ascii="Arial" w:cs="Arial" w:eastAsia="Arial" w:hAnsi="Arial"/>
                <w:sz w:val="22"/>
                <w:szCs w:val="22"/>
                <w:color w:val="auto"/>
              </w:rPr>
              <w:t>$214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4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9"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 xml:space="preserve">See </w:t>
      </w:r>
      <w:hyperlink w:anchor="page64">
        <w:r>
          <w:rPr>
            <w:rFonts w:ascii="Arial" w:cs="Arial" w:eastAsia="Arial" w:hAnsi="Arial"/>
            <w:sz w:val="22"/>
            <w:szCs w:val="22"/>
            <w:u w:val="single" w:color="auto"/>
            <w:color w:val="0000EE"/>
          </w:rPr>
          <w:t>notes to consolidated financial statements</w:t>
        </w:r>
      </w:hyperlink>
      <w:r>
        <w:rPr>
          <w:rFonts w:ascii="Arial" w:cs="Arial" w:eastAsia="Arial" w:hAnsi="Arial"/>
          <w:sz w:val="22"/>
          <w:szCs w:val="22"/>
          <w:color w:val="auto"/>
        </w:rPr>
        <w:t>.</w:t>
      </w:r>
    </w:p>
    <w:p>
      <w:pPr>
        <w:spacing w:after="0" w:line="206"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ind w:right="4280"/>
        <w:spacing w:after="0" w:line="251" w:lineRule="auto"/>
        <w:rPr>
          <w:sz w:val="20"/>
          <w:szCs w:val="20"/>
          <w:color w:val="auto"/>
        </w:rPr>
      </w:pPr>
      <w:r>
        <w:rPr>
          <w:rFonts w:ascii="Arial" w:cs="Arial" w:eastAsia="Arial" w:hAnsi="Arial"/>
          <w:sz w:val="22"/>
          <w:szCs w:val="22"/>
          <w:color w:val="auto"/>
        </w:rPr>
        <w:t>CONSOLIDATED STATEMENT OF STOCKHOLDERS’ EQUITY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jc w:val="right"/>
              <w:ind w:right="400"/>
              <w:spacing w:after="0"/>
              <w:rPr>
                <w:sz w:val="20"/>
                <w:szCs w:val="20"/>
                <w:color w:val="auto"/>
              </w:rPr>
            </w:pPr>
            <w:r>
              <w:rPr>
                <w:rFonts w:ascii="Arial" w:cs="Arial" w:eastAsia="Arial" w:hAnsi="Arial"/>
                <w:sz w:val="18"/>
                <w:szCs w:val="18"/>
                <w:color w:val="auto"/>
              </w:rPr>
              <w:t>Accumulated Other</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jc w:val="right"/>
              <w:ind w:right="520"/>
              <w:spacing w:after="0"/>
              <w:rPr>
                <w:sz w:val="20"/>
                <w:szCs w:val="20"/>
                <w:color w:val="auto"/>
              </w:rPr>
            </w:pPr>
            <w:r>
              <w:rPr>
                <w:rFonts w:ascii="Arial" w:cs="Arial" w:eastAsia="Arial" w:hAnsi="Arial"/>
                <w:sz w:val="18"/>
                <w:szCs w:val="18"/>
                <w:color w:val="auto"/>
              </w:rPr>
              <w:t>Comprehensive</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5"/>
          </w:tcPr>
          <w:p>
            <w:pPr>
              <w:jc w:val="center"/>
              <w:spacing w:after="0"/>
              <w:rPr>
                <w:sz w:val="20"/>
                <w:szCs w:val="20"/>
                <w:color w:val="auto"/>
              </w:rPr>
            </w:pPr>
            <w:r>
              <w:rPr>
                <w:rFonts w:ascii="Arial" w:cs="Arial" w:eastAsia="Arial" w:hAnsi="Arial"/>
                <w:sz w:val="18"/>
                <w:szCs w:val="18"/>
                <w:color w:val="auto"/>
                <w:w w:val="87"/>
              </w:rPr>
              <w:t>Common Stock</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4"/>
          </w:tcPr>
          <w:p>
            <w:pPr>
              <w:jc w:val="right"/>
              <w:ind w:right="560"/>
              <w:spacing w:after="0"/>
              <w:rPr>
                <w:sz w:val="20"/>
                <w:szCs w:val="20"/>
                <w:color w:val="auto"/>
              </w:rPr>
            </w:pPr>
            <w:r>
              <w:rPr>
                <w:rFonts w:ascii="Arial" w:cs="Arial" w:eastAsia="Arial" w:hAnsi="Arial"/>
                <w:sz w:val="18"/>
                <w:szCs w:val="18"/>
                <w:color w:val="auto"/>
              </w:rPr>
              <w:t>Income (Loss)</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540" w:type="dxa"/>
            <w:vAlign w:val="bottom"/>
          </w:tcPr>
          <w:p>
            <w:pPr>
              <w:spacing w:after="0"/>
              <w:rPr>
                <w:sz w:val="24"/>
                <w:szCs w:val="2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Series B</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4"/>
              </w:rPr>
              <w:t>Class</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Treasury</w:t>
            </w:r>
          </w:p>
        </w:tc>
        <w:tc>
          <w:tcPr>
            <w:tcW w:w="9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Unrealized</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Cumulative</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Preferred</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Class</w:t>
            </w:r>
          </w:p>
        </w:tc>
        <w:tc>
          <w:tcPr>
            <w:tcW w:w="1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4"/>
              </w:rPr>
              <w:t>Class</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Additional</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Retained</w:t>
            </w:r>
          </w:p>
        </w:tc>
        <w:tc>
          <w:tcPr>
            <w:tcW w:w="7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Stock</w:t>
            </w:r>
          </w:p>
        </w:tc>
        <w:tc>
          <w:tcPr>
            <w:tcW w:w="9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Gains</w:t>
            </w: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Translation</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tcPr>
          <w:p>
            <w:pPr>
              <w:spacing w:after="0"/>
              <w:rPr>
                <w:sz w:val="19"/>
                <w:szCs w:val="19"/>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Stock</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4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8"/>
              </w:rPr>
              <w:t>Special</w:t>
            </w:r>
          </w:p>
        </w:tc>
        <w:tc>
          <w:tcPr>
            <w:tcW w:w="1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1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Capital</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Earnings</w:t>
            </w:r>
          </w:p>
        </w:tc>
        <w:tc>
          <w:tcPr>
            <w:tcW w:w="7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At Cost</w:t>
            </w:r>
          </w:p>
        </w:tc>
        <w:tc>
          <w:tcPr>
            <w:tcW w:w="920" w:type="dxa"/>
            <w:vAlign w:val="bottom"/>
            <w:gridSpan w:val="2"/>
          </w:tcPr>
          <w:p>
            <w:pPr>
              <w:jc w:val="center"/>
              <w:ind w:right="140"/>
              <w:spacing w:after="0"/>
              <w:rPr>
                <w:sz w:val="20"/>
                <w:szCs w:val="20"/>
                <w:color w:val="auto"/>
              </w:rPr>
            </w:pPr>
            <w:r>
              <w:rPr>
                <w:rFonts w:ascii="Arial" w:cs="Arial" w:eastAsia="Arial" w:hAnsi="Arial"/>
                <w:sz w:val="18"/>
                <w:szCs w:val="18"/>
                <w:color w:val="auto"/>
                <w:w w:val="83"/>
              </w:rPr>
              <w:t>(Losses)</w:t>
            </w: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Adjustments</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10"/>
        </w:trPr>
        <w:tc>
          <w:tcPr>
            <w:tcW w:w="254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540" w:type="dxa"/>
            <w:vAlign w:val="bottom"/>
          </w:tcPr>
          <w:p>
            <w:pPr>
              <w:spacing w:after="0"/>
              <w:rPr>
                <w:sz w:val="20"/>
                <w:szCs w:val="20"/>
                <w:color w:val="auto"/>
              </w:rPr>
            </w:pPr>
            <w:r>
              <w:rPr>
                <w:rFonts w:ascii="Arial" w:cs="Arial" w:eastAsia="Arial" w:hAnsi="Arial"/>
                <w:sz w:val="18"/>
                <w:szCs w:val="18"/>
                <w:color w:val="auto"/>
              </w:rPr>
              <w:t>BALANCE, JANUARY 1, 2001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$12,529</w:t>
            </w:r>
          </w:p>
        </w:tc>
        <w:tc>
          <w:tcPr>
            <w:tcW w:w="1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$1,055</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$446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Comprehensive income: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609</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20"/>
              <w:spacing w:after="0"/>
              <w:rPr>
                <w:sz w:val="20"/>
                <w:szCs w:val="20"/>
                <w:color w:val="auto"/>
              </w:rPr>
            </w:pPr>
            <w:r>
              <w:rPr>
                <w:rFonts w:ascii="Arial" w:cs="Arial" w:eastAsia="Arial" w:hAnsi="Arial"/>
                <w:sz w:val="18"/>
                <w:szCs w:val="18"/>
                <w:color w:val="auto"/>
                <w:w w:val="90"/>
              </w:rPr>
              <w:t>Unrealized gains on marketable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securities,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400"/>
              <w:spacing w:after="0"/>
              <w:rPr>
                <w:sz w:val="20"/>
                <w:szCs w:val="20"/>
                <w:color w:val="auto"/>
              </w:rPr>
            </w:pPr>
            <w:r>
              <w:rPr>
                <w:rFonts w:ascii="Arial" w:cs="Arial" w:eastAsia="Arial" w:hAnsi="Arial"/>
                <w:sz w:val="18"/>
                <w:szCs w:val="18"/>
                <w:color w:val="auto"/>
                <w:w w:val="92"/>
              </w:rPr>
              <w:t>net of deferred taxes of $114</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212</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20"/>
              <w:spacing w:after="0"/>
              <w:rPr>
                <w:sz w:val="20"/>
                <w:szCs w:val="20"/>
                <w:color w:val="auto"/>
              </w:rPr>
            </w:pPr>
            <w:r>
              <w:rPr>
                <w:rFonts w:ascii="Arial" w:cs="Arial" w:eastAsia="Arial" w:hAnsi="Arial"/>
                <w:sz w:val="18"/>
                <w:szCs w:val="18"/>
                <w:color w:val="auto"/>
              </w:rPr>
              <w:t>Reclassification adjustments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for gains included</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400"/>
              <w:spacing w:after="0"/>
              <w:rPr>
                <w:sz w:val="20"/>
                <w:szCs w:val="20"/>
                <w:color w:val="auto"/>
              </w:rPr>
            </w:pPr>
            <w:r>
              <w:rPr>
                <w:rFonts w:ascii="Arial" w:cs="Arial" w:eastAsia="Arial" w:hAnsi="Arial"/>
                <w:sz w:val="18"/>
                <w:szCs w:val="18"/>
                <w:color w:val="auto"/>
              </w:rPr>
              <w:t>in net income, net of</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deferred taxes of $264</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(491)</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20"/>
              <w:spacing w:after="0"/>
              <w:rPr>
                <w:sz w:val="20"/>
                <w:szCs w:val="20"/>
                <w:color w:val="auto"/>
              </w:rPr>
            </w:pPr>
            <w:r>
              <w:rPr>
                <w:rFonts w:ascii="Arial" w:cs="Arial" w:eastAsia="Arial" w:hAnsi="Arial"/>
                <w:sz w:val="18"/>
                <w:szCs w:val="18"/>
                <w:color w:val="auto"/>
                <w:w w:val="96"/>
              </w:rPr>
              <w:t>Unrealized losses on effective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portion of cash</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400"/>
              <w:spacing w:after="0"/>
              <w:rPr>
                <w:sz w:val="20"/>
                <w:szCs w:val="20"/>
                <w:color w:val="auto"/>
              </w:rPr>
            </w:pPr>
            <w:r>
              <w:rPr>
                <w:rFonts w:ascii="Arial" w:cs="Arial" w:eastAsia="Arial" w:hAnsi="Arial"/>
                <w:sz w:val="18"/>
                <w:szCs w:val="18"/>
                <w:color w:val="auto"/>
                <w:w w:val="94"/>
              </w:rPr>
              <w:t>flow hedges, net of deferred</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taxes of $0.3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20"/>
              <w:spacing w:after="0"/>
              <w:rPr>
                <w:sz w:val="20"/>
                <w:szCs w:val="20"/>
                <w:color w:val="auto"/>
              </w:rPr>
            </w:pPr>
            <w:r>
              <w:rPr>
                <w:rFonts w:ascii="Arial" w:cs="Arial" w:eastAsia="Arial" w:hAnsi="Arial"/>
                <w:sz w:val="18"/>
                <w:szCs w:val="18"/>
                <w:color w:val="auto"/>
              </w:rPr>
              <w:t>Cumulative translation</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adjustments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20"/>
              <w:spacing w:after="0"/>
              <w:rPr>
                <w:sz w:val="20"/>
                <w:szCs w:val="20"/>
                <w:color w:val="auto"/>
              </w:rPr>
            </w:pPr>
            <w:r>
              <w:rPr>
                <w:rFonts w:ascii="Arial" w:cs="Arial" w:eastAsia="Arial" w:hAnsi="Arial"/>
                <w:sz w:val="18"/>
                <w:szCs w:val="18"/>
                <w:color w:val="auto"/>
              </w:rPr>
              <w:t>Stock compensation plans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20"/>
              <w:spacing w:after="0"/>
              <w:rPr>
                <w:sz w:val="20"/>
                <w:szCs w:val="20"/>
                <w:color w:val="auto"/>
              </w:rPr>
            </w:pPr>
            <w:r>
              <w:rPr>
                <w:rFonts w:ascii="Arial" w:cs="Arial" w:eastAsia="Arial" w:hAnsi="Arial"/>
                <w:sz w:val="18"/>
                <w:szCs w:val="18"/>
                <w:color w:val="auto"/>
              </w:rPr>
              <w:t>Retirement of common stock</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(11)</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540" w:type="dxa"/>
            <w:vAlign w:val="bottom"/>
          </w:tcPr>
          <w:p>
            <w:pPr>
              <w:ind w:left="220"/>
              <w:spacing w:after="0"/>
              <w:rPr>
                <w:sz w:val="20"/>
                <w:szCs w:val="20"/>
                <w:color w:val="auto"/>
              </w:rPr>
            </w:pPr>
            <w:r>
              <w:rPr>
                <w:rFonts w:ascii="Arial" w:cs="Arial" w:eastAsia="Arial" w:hAnsi="Arial"/>
                <w:sz w:val="18"/>
                <w:szCs w:val="18"/>
                <w:color w:val="auto"/>
              </w:rPr>
              <w:t>Conversion of Series B</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preferred</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20"/>
              <w:spacing w:after="0"/>
              <w:rPr>
                <w:sz w:val="20"/>
                <w:szCs w:val="20"/>
                <w:color w:val="auto"/>
              </w:rPr>
            </w:pPr>
            <w:r>
              <w:rPr>
                <w:rFonts w:ascii="Arial" w:cs="Arial" w:eastAsia="Arial" w:hAnsi="Arial"/>
                <w:sz w:val="18"/>
                <w:szCs w:val="18"/>
                <w:color w:val="auto"/>
                <w:w w:val="91"/>
              </w:rPr>
              <w:t>Temporary equity related to put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options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540" w:type="dxa"/>
            <w:vAlign w:val="bottom"/>
            <w:vMerge w:val="restart"/>
          </w:tcPr>
          <w:p>
            <w:pPr>
              <w:spacing w:after="0"/>
              <w:rPr>
                <w:sz w:val="20"/>
                <w:szCs w:val="20"/>
                <w:color w:val="auto"/>
              </w:rPr>
            </w:pPr>
            <w:r>
              <w:rPr>
                <w:rFonts w:ascii="Arial" w:cs="Arial" w:eastAsia="Arial" w:hAnsi="Arial"/>
                <w:sz w:val="18"/>
                <w:szCs w:val="18"/>
                <w:color w:val="auto"/>
              </w:rPr>
              <w:t>BALANCE, DECEMBER 31,</w:t>
            </w:r>
          </w:p>
        </w:tc>
        <w:tc>
          <w:tcPr>
            <w:tcW w:w="6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5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2001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12,688</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1,632</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580" w:type="dxa"/>
            <w:vAlign w:val="bottom"/>
          </w:tcPr>
          <w:p>
            <w:pPr>
              <w:jc w:val="right"/>
              <w:spacing w:after="0"/>
              <w:rPr>
                <w:sz w:val="20"/>
                <w:szCs w:val="20"/>
                <w:color w:val="auto"/>
              </w:rPr>
            </w:pPr>
            <w:r>
              <w:rPr>
                <w:rFonts w:ascii="Arial" w:cs="Arial" w:eastAsia="Arial" w:hAnsi="Arial"/>
                <w:sz w:val="18"/>
                <w:szCs w:val="18"/>
                <w:color w:val="auto"/>
              </w:rPr>
              <w:t>14,473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Comprehensive loss: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20"/>
              <w:spacing w:after="0"/>
              <w:rPr>
                <w:sz w:val="20"/>
                <w:szCs w:val="20"/>
                <w:color w:val="auto"/>
              </w:rPr>
            </w:pPr>
            <w:r>
              <w:rPr>
                <w:rFonts w:ascii="Arial" w:cs="Arial" w:eastAsia="Arial" w:hAnsi="Arial"/>
                <w:sz w:val="18"/>
                <w:szCs w:val="18"/>
                <w:color w:val="auto"/>
              </w:rPr>
              <w:t>Net loss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(274)</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20"/>
              <w:spacing w:after="0"/>
              <w:rPr>
                <w:sz w:val="20"/>
                <w:szCs w:val="20"/>
                <w:color w:val="auto"/>
              </w:rPr>
            </w:pPr>
            <w:r>
              <w:rPr>
                <w:rFonts w:ascii="Arial" w:cs="Arial" w:eastAsia="Arial" w:hAnsi="Arial"/>
                <w:sz w:val="18"/>
                <w:szCs w:val="18"/>
                <w:color w:val="auto"/>
              </w:rPr>
              <w:t>Unrealized losses on</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marketable securities,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400"/>
              <w:spacing w:after="0"/>
              <w:rPr>
                <w:sz w:val="20"/>
                <w:szCs w:val="20"/>
                <w:color w:val="auto"/>
              </w:rPr>
            </w:pPr>
            <w:r>
              <w:rPr>
                <w:rFonts w:ascii="Arial" w:cs="Arial" w:eastAsia="Arial" w:hAnsi="Arial"/>
                <w:sz w:val="18"/>
                <w:szCs w:val="18"/>
                <w:color w:val="auto"/>
                <w:w w:val="92"/>
              </w:rPr>
              <w:t>net of deferred taxes of $165</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(307)</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tcPr>
          <w:p>
            <w:pPr>
              <w:ind w:left="220"/>
              <w:spacing w:after="0"/>
              <w:rPr>
                <w:sz w:val="20"/>
                <w:szCs w:val="20"/>
                <w:color w:val="auto"/>
              </w:rPr>
            </w:pPr>
            <w:r>
              <w:rPr>
                <w:rFonts w:ascii="Arial" w:cs="Arial" w:eastAsia="Arial" w:hAnsi="Arial"/>
                <w:sz w:val="18"/>
                <w:szCs w:val="18"/>
                <w:color w:val="auto"/>
              </w:rPr>
              <w:t>Reclassification adjustments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55" w:orient="portrait"/>
          <w:cols w:equalWidth="0" w:num="1">
            <w:col w:w="10240"/>
          </w:cols>
          <w:pgMar w:left="240" w:top="108" w:right="1419" w:bottom="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for losses included</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400"/>
              <w:spacing w:after="0"/>
              <w:rPr>
                <w:sz w:val="20"/>
                <w:szCs w:val="20"/>
                <w:color w:val="auto"/>
              </w:rPr>
            </w:pPr>
            <w:r>
              <w:rPr>
                <w:rFonts w:ascii="Arial" w:cs="Arial" w:eastAsia="Arial" w:hAnsi="Arial"/>
                <w:sz w:val="18"/>
                <w:szCs w:val="18"/>
                <w:color w:val="auto"/>
              </w:rPr>
              <w:t>in net loss, net of deferred</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taxes of $92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20"/>
              <w:spacing w:after="0"/>
              <w:rPr>
                <w:sz w:val="20"/>
                <w:szCs w:val="20"/>
                <w:color w:val="auto"/>
              </w:rPr>
            </w:pPr>
            <w:r>
              <w:rPr>
                <w:rFonts w:ascii="Arial" w:cs="Arial" w:eastAsia="Arial" w:hAnsi="Arial"/>
                <w:sz w:val="18"/>
                <w:szCs w:val="18"/>
                <w:color w:val="auto"/>
                <w:w w:val="96"/>
              </w:rPr>
              <w:t>Unrealized losses on effective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portion of cash</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400"/>
              <w:spacing w:after="0"/>
              <w:rPr>
                <w:sz w:val="20"/>
                <w:szCs w:val="20"/>
                <w:color w:val="auto"/>
              </w:rPr>
            </w:pPr>
            <w:r>
              <w:rPr>
                <w:rFonts w:ascii="Arial" w:cs="Arial" w:eastAsia="Arial" w:hAnsi="Arial"/>
                <w:sz w:val="18"/>
                <w:szCs w:val="18"/>
                <w:color w:val="auto"/>
                <w:w w:val="94"/>
              </w:rPr>
              <w:t>flow hedges, net of deferred</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taxes of $79</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20"/>
              <w:spacing w:after="0"/>
              <w:rPr>
                <w:sz w:val="20"/>
                <w:szCs w:val="20"/>
                <w:color w:val="auto"/>
              </w:rPr>
            </w:pPr>
            <w:r>
              <w:rPr>
                <w:rFonts w:ascii="Arial" w:cs="Arial" w:eastAsia="Arial" w:hAnsi="Arial"/>
                <w:sz w:val="18"/>
                <w:szCs w:val="18"/>
                <w:color w:val="auto"/>
              </w:rPr>
              <w:t>Cumulative translation</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adjustments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54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6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31,870</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(7,517)</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20"/>
              <w:spacing w:after="0"/>
              <w:rPr>
                <w:sz w:val="20"/>
                <w:szCs w:val="20"/>
                <w:color w:val="auto"/>
              </w:rPr>
            </w:pPr>
            <w:r>
              <w:rPr>
                <w:rFonts w:ascii="Arial" w:cs="Arial" w:eastAsia="Arial" w:hAnsi="Arial"/>
                <w:sz w:val="18"/>
                <w:szCs w:val="18"/>
                <w:color w:val="auto"/>
              </w:rPr>
              <w:t>Stock compensation plans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40" w:type="dxa"/>
            <w:vAlign w:val="bottom"/>
          </w:tcPr>
          <w:p>
            <w:pPr>
              <w:ind w:left="220"/>
              <w:spacing w:after="0"/>
              <w:rPr>
                <w:sz w:val="20"/>
                <w:szCs w:val="20"/>
                <w:color w:val="auto"/>
              </w:rPr>
            </w:pPr>
            <w:r>
              <w:rPr>
                <w:rFonts w:ascii="Arial" w:cs="Arial" w:eastAsia="Arial" w:hAnsi="Arial"/>
                <w:sz w:val="18"/>
                <w:szCs w:val="18"/>
                <w:color w:val="auto"/>
                <w:w w:val="93"/>
              </w:rPr>
              <w:t>Employee stock purchase plan</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540" w:type="dxa"/>
            <w:vAlign w:val="bottom"/>
            <w:vMerge w:val="restart"/>
          </w:tcPr>
          <w:p>
            <w:pPr>
              <w:spacing w:after="0"/>
              <w:rPr>
                <w:sz w:val="20"/>
                <w:szCs w:val="20"/>
                <w:color w:val="auto"/>
              </w:rPr>
            </w:pPr>
            <w:r>
              <w:rPr>
                <w:rFonts w:ascii="Arial" w:cs="Arial" w:eastAsia="Arial" w:hAnsi="Arial"/>
                <w:sz w:val="18"/>
                <w:szCs w:val="18"/>
                <w:color w:val="auto"/>
              </w:rPr>
              <w:t>BALANCE, DECEMBER 31,</w:t>
            </w:r>
          </w:p>
        </w:tc>
        <w:tc>
          <w:tcPr>
            <w:tcW w:w="6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5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2002</w:t>
            </w:r>
          </w:p>
        </w:tc>
        <w:tc>
          <w:tcPr>
            <w:tcW w:w="6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44,620</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1,340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(7,517)</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580" w:type="dxa"/>
            <w:vAlign w:val="bottom"/>
          </w:tcPr>
          <w:p>
            <w:pPr>
              <w:jc w:val="right"/>
              <w:spacing w:after="0"/>
              <w:rPr>
                <w:sz w:val="20"/>
                <w:szCs w:val="20"/>
                <w:color w:val="auto"/>
              </w:rPr>
            </w:pPr>
            <w:r>
              <w:rPr>
                <w:rFonts w:ascii="Arial" w:cs="Arial" w:eastAsia="Arial" w:hAnsi="Arial"/>
                <w:sz w:val="18"/>
                <w:szCs w:val="18"/>
                <w:color w:val="auto"/>
              </w:rPr>
              <w:t>38,329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Comprehensive income: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3,240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20"/>
              <w:spacing w:after="0"/>
              <w:rPr>
                <w:sz w:val="20"/>
                <w:szCs w:val="20"/>
                <w:color w:val="auto"/>
              </w:rPr>
            </w:pPr>
            <w:r>
              <w:rPr>
                <w:rFonts w:ascii="Arial" w:cs="Arial" w:eastAsia="Arial" w:hAnsi="Arial"/>
                <w:sz w:val="18"/>
                <w:szCs w:val="18"/>
                <w:color w:val="auto"/>
              </w:rPr>
              <w:t>Unrealized losses on</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marketable securities,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400"/>
              <w:spacing w:after="0"/>
              <w:rPr>
                <w:sz w:val="20"/>
                <w:szCs w:val="20"/>
                <w:color w:val="auto"/>
              </w:rPr>
            </w:pPr>
            <w:r>
              <w:rPr>
                <w:rFonts w:ascii="Arial" w:cs="Arial" w:eastAsia="Arial" w:hAnsi="Arial"/>
                <w:sz w:val="18"/>
                <w:szCs w:val="18"/>
                <w:color w:val="auto"/>
                <w:w w:val="96"/>
              </w:rPr>
              <w:t>net of deferred taxes of $12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20"/>
              <w:spacing w:after="0"/>
              <w:rPr>
                <w:sz w:val="20"/>
                <w:szCs w:val="20"/>
                <w:color w:val="auto"/>
              </w:rPr>
            </w:pPr>
            <w:r>
              <w:rPr>
                <w:rFonts w:ascii="Arial" w:cs="Arial" w:eastAsia="Arial" w:hAnsi="Arial"/>
                <w:sz w:val="18"/>
                <w:szCs w:val="18"/>
                <w:color w:val="auto"/>
              </w:rPr>
              <w:t>Reclassification adjustments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for losses included</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400"/>
              <w:spacing w:after="0"/>
              <w:rPr>
                <w:sz w:val="20"/>
                <w:szCs w:val="20"/>
                <w:color w:val="auto"/>
              </w:rPr>
            </w:pPr>
            <w:r>
              <w:rPr>
                <w:rFonts w:ascii="Arial" w:cs="Arial" w:eastAsia="Arial" w:hAnsi="Arial"/>
                <w:sz w:val="18"/>
                <w:szCs w:val="18"/>
                <w:color w:val="auto"/>
              </w:rPr>
              <w:t>in net income, net of</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deferred taxes of $15</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20"/>
              <w:spacing w:after="0"/>
              <w:rPr>
                <w:sz w:val="20"/>
                <w:szCs w:val="20"/>
                <w:color w:val="auto"/>
              </w:rPr>
            </w:pPr>
            <w:r>
              <w:rPr>
                <w:rFonts w:ascii="Arial" w:cs="Arial" w:eastAsia="Arial" w:hAnsi="Arial"/>
                <w:sz w:val="18"/>
                <w:szCs w:val="18"/>
                <w:color w:val="auto"/>
              </w:rPr>
              <w:t>Cumulative translation</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adjustments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20"/>
              <w:spacing w:after="0"/>
              <w:rPr>
                <w:sz w:val="20"/>
                <w:szCs w:val="20"/>
                <w:color w:val="auto"/>
              </w:rPr>
            </w:pPr>
            <w:r>
              <w:rPr>
                <w:rFonts w:ascii="Arial" w:cs="Arial" w:eastAsia="Arial" w:hAnsi="Arial"/>
                <w:sz w:val="18"/>
                <w:szCs w:val="18"/>
                <w:color w:val="auto"/>
              </w:rPr>
              <w:t>Stock compensation plans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20"/>
              <w:spacing w:after="0"/>
              <w:rPr>
                <w:sz w:val="20"/>
                <w:szCs w:val="20"/>
                <w:color w:val="auto"/>
              </w:rPr>
            </w:pPr>
            <w:r>
              <w:rPr>
                <w:rFonts w:ascii="Arial" w:cs="Arial" w:eastAsia="Arial" w:hAnsi="Arial"/>
                <w:sz w:val="18"/>
                <w:szCs w:val="18"/>
                <w:color w:val="auto"/>
              </w:rPr>
              <w:t>Retirement of common stock</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2540" w:type="dxa"/>
            <w:vAlign w:val="bottom"/>
          </w:tcPr>
          <w:p>
            <w:pPr>
              <w:ind w:left="220"/>
              <w:spacing w:after="0"/>
              <w:rPr>
                <w:sz w:val="20"/>
                <w:szCs w:val="20"/>
                <w:color w:val="auto"/>
              </w:rPr>
            </w:pPr>
            <w:r>
              <w:rPr>
                <w:rFonts w:ascii="Arial" w:cs="Arial" w:eastAsia="Arial" w:hAnsi="Arial"/>
                <w:sz w:val="18"/>
                <w:szCs w:val="18"/>
                <w:color w:val="auto"/>
                <w:w w:val="93"/>
              </w:rPr>
              <w:t>Employee stock purchase plan</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540" w:type="dxa"/>
            <w:vAlign w:val="bottom"/>
            <w:vMerge w:val="restart"/>
          </w:tcPr>
          <w:p>
            <w:pPr>
              <w:spacing w:after="0"/>
              <w:rPr>
                <w:sz w:val="20"/>
                <w:szCs w:val="20"/>
                <w:color w:val="auto"/>
              </w:rPr>
            </w:pPr>
            <w:r>
              <w:rPr>
                <w:rFonts w:ascii="Arial" w:cs="Arial" w:eastAsia="Arial" w:hAnsi="Arial"/>
                <w:sz w:val="18"/>
                <w:szCs w:val="18"/>
                <w:color w:val="auto"/>
              </w:rPr>
              <w:t>BALANCE, DECEMBER 31,</w:t>
            </w:r>
          </w:p>
        </w:tc>
        <w:tc>
          <w:tcPr>
            <w:tcW w:w="6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5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2003</w:t>
            </w:r>
          </w:p>
        </w:tc>
        <w:tc>
          <w:tcPr>
            <w:tcW w:w="660" w:type="dxa"/>
            <w:vAlign w:val="bottom"/>
          </w:tcPr>
          <w:p>
            <w:pPr>
              <w:jc w:val="right"/>
              <w:ind w:right="472"/>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$44,742</w:t>
            </w: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$4,552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($7,517)</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$41,662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54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9"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 xml:space="preserve">See </w:t>
      </w:r>
      <w:hyperlink w:anchor="page64">
        <w:r>
          <w:rPr>
            <w:rFonts w:ascii="Arial" w:cs="Arial" w:eastAsia="Arial" w:hAnsi="Arial"/>
            <w:sz w:val="22"/>
            <w:szCs w:val="22"/>
            <w:u w:val="single" w:color="auto"/>
            <w:color w:val="0000EE"/>
          </w:rPr>
          <w:t>notes to consolidated financial statements</w:t>
        </w:r>
      </w:hyperlink>
      <w:r>
        <w:rPr>
          <w:rFonts w:ascii="Arial" w:cs="Arial" w:eastAsia="Arial" w:hAnsi="Arial"/>
          <w:sz w:val="22"/>
          <w:szCs w:val="22"/>
          <w:color w:val="auto"/>
        </w:rPr>
        <w:t>.</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w:t>
      </w:r>
    </w:p>
    <w:p>
      <w:pPr>
        <w:spacing w:after="0" w:line="188"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ORGANIZATION AND BUSINESS</w:t>
      </w:r>
    </w:p>
    <w:p>
      <w:pPr>
        <w:spacing w:after="0" w:line="233" w:lineRule="exact"/>
        <w:rPr>
          <w:rFonts w:ascii="Arial" w:cs="Arial" w:eastAsia="Arial" w:hAnsi="Arial"/>
          <w:sz w:val="22"/>
          <w:szCs w:val="22"/>
          <w:color w:val="auto"/>
        </w:rPr>
      </w:pPr>
    </w:p>
    <w:p>
      <w:pPr>
        <w:ind w:left="460"/>
        <w:spacing w:after="0" w:line="279" w:lineRule="auto"/>
        <w:rPr>
          <w:rFonts w:ascii="Arial" w:cs="Arial" w:eastAsia="Arial" w:hAnsi="Arial"/>
          <w:sz w:val="19"/>
          <w:szCs w:val="19"/>
          <w:color w:val="auto"/>
        </w:rPr>
      </w:pPr>
      <w:r>
        <w:rPr>
          <w:rFonts w:ascii="Arial" w:cs="Arial" w:eastAsia="Arial" w:hAnsi="Arial"/>
          <w:sz w:val="19"/>
          <w:szCs w:val="19"/>
          <w:color w:val="auto"/>
        </w:rPr>
        <w:t xml:space="preserve">We were incorporated in December 2001 in order to acquire AT&amp;T Corp.‘s broadband business, which we refer to as “Broadband.” On November 18, 2002, we, Comcast Holdings Corporation (“Comcast Holdings”) and AT&amp;T completed a transaction that resulted in the combination of Comcast Holdings and Broadband (the “Broadband acquisition”). Upon completion of the Broadband acquisition, Comcast Holdings and Broadband are our wholly owned subsidiaries, with Comcast Holdings as our predecessor. Accordingly, the accompanying financial statements include the results of Comcast Holdings for all periods presented and the results of Broadband from the date of the Broadband acquisition (see </w:t>
      </w:r>
      <w:hyperlink w:anchor="page73">
        <w:r>
          <w:rPr>
            <w:rFonts w:ascii="Arial" w:cs="Arial" w:eastAsia="Arial" w:hAnsi="Arial"/>
            <w:sz w:val="19"/>
            <w:szCs w:val="19"/>
            <w:u w:val="single" w:color="auto"/>
            <w:color w:val="0000EE"/>
          </w:rPr>
          <w:t>Note 5</w:t>
        </w:r>
      </w:hyperlink>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ind w:left="460" w:right="460"/>
        <w:spacing w:after="0"/>
        <w:rPr>
          <w:rFonts w:ascii="Arial" w:cs="Arial" w:eastAsia="Arial" w:hAnsi="Arial"/>
          <w:sz w:val="19"/>
          <w:szCs w:val="19"/>
          <w:color w:val="auto"/>
        </w:rPr>
      </w:pPr>
      <w:r>
        <w:rPr>
          <w:rFonts w:ascii="Arial" w:cs="Arial" w:eastAsia="Arial" w:hAnsi="Arial"/>
          <w:sz w:val="22"/>
          <w:szCs w:val="22"/>
          <w:color w:val="auto"/>
        </w:rPr>
        <w:t>Our cable business is principally involved in the development, management and operation of broadband communications networks in the United States. Our consolidated cable operations served approximately 21.5 million subscribers as of December 31, 2003.</w:t>
      </w:r>
    </w:p>
    <w:p>
      <w:pPr>
        <w:spacing w:after="0" w:line="213" w:lineRule="exact"/>
        <w:rPr>
          <w:rFonts w:ascii="Arial" w:cs="Arial" w:eastAsia="Arial" w:hAnsi="Arial"/>
          <w:sz w:val="19"/>
          <w:szCs w:val="19"/>
          <w:color w:val="auto"/>
        </w:rPr>
      </w:pPr>
    </w:p>
    <w:p>
      <w:pPr>
        <w:ind w:left="460" w:right="20"/>
        <w:spacing w:after="0" w:line="247" w:lineRule="auto"/>
        <w:rPr>
          <w:rFonts w:ascii="Arial" w:cs="Arial" w:eastAsia="Arial" w:hAnsi="Arial"/>
          <w:sz w:val="19"/>
          <w:szCs w:val="19"/>
          <w:color w:val="auto"/>
        </w:rPr>
      </w:pPr>
      <w:r>
        <w:rPr>
          <w:rFonts w:ascii="Arial" w:cs="Arial" w:eastAsia="Arial" w:hAnsi="Arial"/>
          <w:sz w:val="21"/>
          <w:szCs w:val="21"/>
          <w:color w:val="auto"/>
        </w:rPr>
        <w:t>We conduct the national networks of our content business through our consolidated subsidiaries E! Entertainment Television, Inc., The Golf Channel (“TGC”), Outdoor Life Network (“OLN”), and G4 Media, LLC. Our content business also includes Comcast Spectator, our three 24-hour regional sports programming networks, Comcast SportsNet (“CSN”), Comcast SportsNet Mid-Atlantic (“CSN Mid-Atlantic”) and Cable Sports Southeast (“CSS”), a fourth 24-hour regional sports network, Comcast SportsNet Chicago (“CSN Chicago”), that we anticipate will launch in October 2004, and our regional network, CN8. Our regional networks are included in our cable segment as they derive a substantial portion of their revenues from our cable operations and are managed by cable segment management.</w:t>
      </w:r>
    </w:p>
    <w:p>
      <w:pPr>
        <w:spacing w:after="0" w:line="205" w:lineRule="exact"/>
        <w:rPr>
          <w:rFonts w:ascii="Arial" w:cs="Arial" w:eastAsia="Arial" w:hAnsi="Arial"/>
          <w:sz w:val="19"/>
          <w:szCs w:val="19"/>
          <w:color w:val="auto"/>
        </w:rPr>
      </w:pPr>
    </w:p>
    <w:p>
      <w:pPr>
        <w:ind w:left="460" w:right="20"/>
        <w:spacing w:after="0" w:line="238" w:lineRule="auto"/>
        <w:rPr>
          <w:rFonts w:ascii="Arial" w:cs="Arial" w:eastAsia="Arial" w:hAnsi="Arial"/>
          <w:sz w:val="22"/>
          <w:szCs w:val="22"/>
          <w:color w:val="auto"/>
        </w:rPr>
      </w:pPr>
      <w:r>
        <w:rPr>
          <w:rFonts w:ascii="Arial" w:cs="Arial" w:eastAsia="Arial" w:hAnsi="Arial"/>
          <w:sz w:val="22"/>
          <w:szCs w:val="22"/>
          <w:color w:val="auto"/>
        </w:rPr>
        <w:t xml:space="preserve">On September 17, 2003, we sold our approximate 57% interest in QVC, Inc., which markets a wide variety of products directly to consumers primarily on merchandise-focused television programs. Accordingly, we present QVC as a discontinued operation pursuant to Statement of Financial Accounting Standards (“SFAS”) No. 144, “Accounting for the Impairment or Disposal of Long-Lived Assets” (see </w:t>
      </w:r>
      <w:hyperlink w:anchor="page73">
        <w:r>
          <w:rPr>
            <w:rFonts w:ascii="Arial" w:cs="Arial" w:eastAsia="Arial" w:hAnsi="Arial"/>
            <w:sz w:val="22"/>
            <w:szCs w:val="22"/>
            <w:u w:val="single" w:color="auto"/>
            <w:color w:val="0000EE"/>
          </w:rPr>
          <w:t>Note 5</w:t>
        </w:r>
      </w:hyperlink>
      <w:r>
        <w:rPr>
          <w:rFonts w:ascii="Arial" w:cs="Arial" w:eastAsia="Arial" w:hAnsi="Arial"/>
          <w:sz w:val="22"/>
          <w:szCs w:val="22"/>
          <w:color w:val="auto"/>
        </w:rPr>
        <w:t>).</w:t>
      </w:r>
    </w:p>
    <w:p>
      <w:pPr>
        <w:sectPr>
          <w:pgSz w:w="11900" w:h="16838" w:orient="portrait"/>
          <w:cols w:equalWidth="0" w:num="1">
            <w:col w:w="11400"/>
          </w:cols>
          <w:pgMar w:left="240" w:top="131" w:right="259" w:bottom="0" w:gutter="0" w:footer="0" w:header="0"/>
        </w:sectPr>
      </w:pPr>
    </w:p>
    <w:bookmarkStart w:id="64" w:name="page65"/>
    <w:bookmarkEnd w:id="64"/>
    <w:p>
      <w:pPr>
        <w:ind w:left="460" w:hanging="452"/>
        <w:spacing w:after="0"/>
        <w:tabs>
          <w:tab w:leader="none" w:pos="46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SUMMARY OF SIGNIFICANT ACCOUNTING POLICIES</w:t>
      </w:r>
    </w:p>
    <w:p>
      <w:pPr>
        <w:spacing w:after="0" w:line="233"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22"/>
          <w:szCs w:val="22"/>
          <w:i w:val="1"/>
          <w:iCs w:val="1"/>
          <w:color w:val="auto"/>
        </w:rPr>
        <w:t>Basis of Consolidation</w:t>
      </w:r>
    </w:p>
    <w:p>
      <w:pPr>
        <w:spacing w:after="0" w:line="8" w:lineRule="exact"/>
        <w:rPr>
          <w:rFonts w:ascii="Arial" w:cs="Arial" w:eastAsia="Arial" w:hAnsi="Arial"/>
          <w:sz w:val="22"/>
          <w:szCs w:val="22"/>
          <w:color w:val="auto"/>
        </w:rPr>
      </w:pPr>
    </w:p>
    <w:p>
      <w:pPr>
        <w:ind w:left="460" w:right="460"/>
        <w:spacing w:after="0" w:line="256" w:lineRule="auto"/>
        <w:rPr>
          <w:rFonts w:ascii="Arial" w:cs="Arial" w:eastAsia="Arial" w:hAnsi="Arial"/>
          <w:sz w:val="22"/>
          <w:szCs w:val="22"/>
          <w:color w:val="auto"/>
        </w:rPr>
      </w:pPr>
      <w:r>
        <w:rPr>
          <w:rFonts w:ascii="Arial" w:cs="Arial" w:eastAsia="Arial" w:hAnsi="Arial"/>
          <w:sz w:val="21"/>
          <w:szCs w:val="21"/>
          <w:color w:val="auto"/>
        </w:rPr>
        <w:t>The consolidated financial statements include our accounts and all entities that we directly or indirectly control. We have eliminated all significant intercompany accounts and transactions among consolidated entities.</w:t>
      </w:r>
    </w:p>
    <w:p>
      <w:pPr>
        <w:spacing w:after="0" w:line="196"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22"/>
          <w:szCs w:val="22"/>
          <w:i w:val="1"/>
          <w:iCs w:val="1"/>
          <w:color w:val="auto"/>
        </w:rPr>
        <w:t>Variable Interest Entities</w:t>
      </w:r>
    </w:p>
    <w:p>
      <w:pPr>
        <w:spacing w:after="0" w:line="8" w:lineRule="exact"/>
        <w:rPr>
          <w:rFonts w:ascii="Arial" w:cs="Arial" w:eastAsia="Arial" w:hAnsi="Arial"/>
          <w:sz w:val="22"/>
          <w:szCs w:val="22"/>
          <w:color w:val="auto"/>
        </w:rPr>
      </w:pPr>
    </w:p>
    <w:p>
      <w:pPr>
        <w:ind w:left="460" w:right="40"/>
        <w:spacing w:after="0" w:line="273" w:lineRule="auto"/>
        <w:rPr>
          <w:rFonts w:ascii="Arial" w:cs="Arial" w:eastAsia="Arial" w:hAnsi="Arial"/>
          <w:sz w:val="19"/>
          <w:szCs w:val="19"/>
          <w:color w:val="auto"/>
        </w:rPr>
      </w:pPr>
      <w:r>
        <w:rPr>
          <w:rFonts w:ascii="Arial" w:cs="Arial" w:eastAsia="Arial" w:hAnsi="Arial"/>
          <w:sz w:val="19"/>
          <w:szCs w:val="19"/>
          <w:color w:val="auto"/>
        </w:rPr>
        <w:t xml:space="preserve">We account for our interests in variable interest special purpose entities (“SPEs”) in accordance with Financial Accounting Standards Board (“FASB”) Interpretation No. 46, “Consolidation of Variable Interest Entities” (“FIN 46”). We consolidate all SPEs for which we are the primary beneficiary and for which the entities do not effectively disperse risks among parties involved. We do not consolidate variable interest entities that effectively disperse risks unless we hold an interest or combination of interests that effectively recombines risks that were previously dispersed. We adopted the initial recognition and measurement provisions of FIN 46 effective January 1, 2002. The adoption of FIN 46 had no impact on our financial condition or results of operations. See </w:t>
      </w:r>
      <w:hyperlink w:anchor="page71">
        <w:r>
          <w:rPr>
            <w:rFonts w:ascii="Arial" w:cs="Arial" w:eastAsia="Arial" w:hAnsi="Arial"/>
            <w:sz w:val="19"/>
            <w:szCs w:val="19"/>
            <w:u w:val="single" w:color="auto"/>
            <w:color w:val="0000EE"/>
          </w:rPr>
          <w:t>Note 3</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for further discussion of FIN 46 interpretations and amendments.</w:t>
      </w:r>
    </w:p>
    <w:p>
      <w:pPr>
        <w:spacing w:after="0" w:line="187" w:lineRule="exact"/>
        <w:rPr>
          <w:rFonts w:ascii="Arial" w:cs="Arial" w:eastAsia="Arial" w:hAnsi="Arial"/>
          <w:sz w:val="19"/>
          <w:szCs w:val="19"/>
          <w:color w:val="auto"/>
        </w:rPr>
      </w:pPr>
    </w:p>
    <w:p>
      <w:pPr>
        <w:ind w:left="460"/>
        <w:spacing w:after="0"/>
        <w:rPr>
          <w:rFonts w:ascii="Arial" w:cs="Arial" w:eastAsia="Arial" w:hAnsi="Arial"/>
          <w:sz w:val="19"/>
          <w:szCs w:val="19"/>
          <w:color w:val="auto"/>
        </w:rPr>
      </w:pPr>
      <w:r>
        <w:rPr>
          <w:rFonts w:ascii="Arial" w:cs="Arial" w:eastAsia="Arial" w:hAnsi="Arial"/>
          <w:sz w:val="22"/>
          <w:szCs w:val="22"/>
          <w:i w:val="1"/>
          <w:iCs w:val="1"/>
          <w:color w:val="auto"/>
        </w:rPr>
        <w:t>Our Use of Estimates</w:t>
      </w:r>
    </w:p>
    <w:p>
      <w:pPr>
        <w:spacing w:after="0" w:line="8" w:lineRule="exact"/>
        <w:rPr>
          <w:rFonts w:ascii="Arial" w:cs="Arial" w:eastAsia="Arial" w:hAnsi="Arial"/>
          <w:sz w:val="19"/>
          <w:szCs w:val="19"/>
          <w:color w:val="auto"/>
        </w:rPr>
      </w:pPr>
    </w:p>
    <w:p>
      <w:pPr>
        <w:ind w:left="460"/>
        <w:spacing w:after="0" w:line="277" w:lineRule="auto"/>
        <w:rPr>
          <w:rFonts w:ascii="Arial" w:cs="Arial" w:eastAsia="Arial" w:hAnsi="Arial"/>
          <w:sz w:val="19"/>
          <w:szCs w:val="19"/>
          <w:color w:val="auto"/>
        </w:rPr>
      </w:pPr>
      <w:r>
        <w:rPr>
          <w:rFonts w:ascii="Arial" w:cs="Arial" w:eastAsia="Arial" w:hAnsi="Arial"/>
          <w:sz w:val="19"/>
          <w:szCs w:val="19"/>
          <w:color w:val="auto"/>
        </w:rPr>
        <w:t>We prepare our financial statements in conformity with accounting principles generally accepted in the United States, which requires us to make estimates and assumptions that affect the reported amounts and disclosures. Actual results could differ from those estimates. Estimates are used when accounting for certain items, such as allowances for doubtful accounts, investments and derivative financial instruments, depreciation and amortization, asset impairment, non-monetary transactions, certain acquisition-related liabilities, pensions and other postretirement benefits, income taxes and contingencies.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Fair Values</w:t>
      </w:r>
    </w:p>
    <w:p>
      <w:pPr>
        <w:spacing w:after="0" w:line="8" w:lineRule="exact"/>
        <w:rPr>
          <w:sz w:val="20"/>
          <w:szCs w:val="20"/>
          <w:color w:val="auto"/>
        </w:rPr>
      </w:pPr>
    </w:p>
    <w:p>
      <w:pPr>
        <w:ind w:left="460"/>
        <w:spacing w:after="0" w:line="273" w:lineRule="auto"/>
        <w:rPr>
          <w:sz w:val="20"/>
          <w:szCs w:val="20"/>
          <w:color w:val="auto"/>
        </w:rPr>
      </w:pPr>
      <w:r>
        <w:rPr>
          <w:rFonts w:ascii="Arial" w:cs="Arial" w:eastAsia="Arial" w:hAnsi="Arial"/>
          <w:sz w:val="19"/>
          <w:szCs w:val="19"/>
          <w:color w:val="auto"/>
        </w:rPr>
        <w:t>We have determined the estimated fair value amounts presented in these consolidated financial statements using available market information and appropriate methodologies. However, considerable judgment is required in interpreting market data to develop the estimates of fair value. The estimates presented in these consolidated financial statements are not necessarily indicative of the amounts that we could realize in a current market exchange. The use of different market assumptions and/or estimation methodologies may have a material effect on the estimated fair value amounts. We based these fair value estimates on pertinent information available to us as of December 31, 2003 and 2002. We have not comprehensively updated these fair value estimates for purposes of these consolidated financial statements since such dates.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Cash Equivalents</w:t>
      </w:r>
    </w:p>
    <w:p>
      <w:pPr>
        <w:spacing w:after="0" w:line="8" w:lineRule="exact"/>
        <w:rPr>
          <w:sz w:val="20"/>
          <w:szCs w:val="20"/>
          <w:color w:val="auto"/>
        </w:rPr>
      </w:pPr>
    </w:p>
    <w:p>
      <w:pPr>
        <w:ind w:left="460" w:right="40"/>
        <w:spacing w:after="0" w:line="234" w:lineRule="auto"/>
        <w:rPr>
          <w:sz w:val="20"/>
          <w:szCs w:val="20"/>
          <w:color w:val="auto"/>
        </w:rPr>
      </w:pPr>
      <w:r>
        <w:rPr>
          <w:rFonts w:ascii="Arial" w:cs="Arial" w:eastAsia="Arial" w:hAnsi="Arial"/>
          <w:sz w:val="22"/>
          <w:szCs w:val="22"/>
          <w:color w:val="auto"/>
        </w:rPr>
        <w:t>Cash equivalents consist principally of commercial paper, money market funds, US Government obligations and certificates of deposit with maturities of three months or less when purchased. The carrying amounts of our cash equivalents approximate their fair values.</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Investments</w:t>
      </w:r>
    </w:p>
    <w:p>
      <w:pPr>
        <w:spacing w:after="0" w:line="8" w:lineRule="exact"/>
        <w:rPr>
          <w:sz w:val="20"/>
          <w:szCs w:val="20"/>
          <w:color w:val="auto"/>
        </w:rPr>
      </w:pPr>
    </w:p>
    <w:p>
      <w:pPr>
        <w:ind w:left="460" w:right="40"/>
        <w:spacing w:after="0" w:line="273" w:lineRule="auto"/>
        <w:rPr>
          <w:rFonts w:ascii="Arial" w:cs="Arial" w:eastAsia="Arial" w:hAnsi="Arial"/>
          <w:sz w:val="19"/>
          <w:szCs w:val="19"/>
          <w:color w:val="auto"/>
        </w:rPr>
      </w:pPr>
      <w:r>
        <w:rPr>
          <w:rFonts w:ascii="Arial" w:cs="Arial" w:eastAsia="Arial" w:hAnsi="Arial"/>
          <w:sz w:val="19"/>
          <w:szCs w:val="19"/>
          <w:color w:val="auto"/>
        </w:rPr>
        <w:t xml:space="preserve">Investments in entities in which we have the ability to exercise significant influence over the operating and financial policies of the investee are accounted for under the equity method. Equity method investments are recorded at original cost and adjusted periodically to recognize our proportionate share of the investees’ net income or losses after the date of investment, amortization of basis differences, additional contributions made and dividends received, and impairment losses resulting from adjustments to net realizable value. Prior to the adoption of SFAS No. 142, “Goodwill and Other Intangible Assets,” on January 1, 2002, the goodwill resulting from differences between our recorded investments and our proportionate interests in the book value of the investees’ net assets were amortized to equity in net income or loss, primarily over a period of 20 years. Subsequent to the adoption of SFAS No. 142, we no longer amortize such equity method goodwill (see </w:t>
      </w:r>
      <w:hyperlink w:anchor="page78">
        <w:r>
          <w:rPr>
            <w:rFonts w:ascii="Arial" w:cs="Arial" w:eastAsia="Arial" w:hAnsi="Arial"/>
            <w:sz w:val="19"/>
            <w:szCs w:val="19"/>
            <w:u w:val="single" w:color="auto"/>
            <w:color w:val="0000EE"/>
          </w:rPr>
          <w:t xml:space="preserve">Notes 6 </w:t>
        </w:r>
      </w:hyperlink>
      <w:hyperlink w:anchor="page81">
        <w:r>
          <w:rPr>
            <w:rFonts w:ascii="Arial" w:cs="Arial" w:eastAsia="Arial" w:hAnsi="Arial"/>
            <w:sz w:val="19"/>
            <w:szCs w:val="19"/>
            <w:u w:val="single" w:color="auto"/>
            <w:color w:val="auto"/>
          </w:rPr>
          <w:t xml:space="preserve">and </w:t>
        </w:r>
        <w:r>
          <w:rPr>
            <w:rFonts w:ascii="Arial" w:cs="Arial" w:eastAsia="Arial" w:hAnsi="Arial"/>
            <w:sz w:val="19"/>
            <w:szCs w:val="19"/>
            <w:u w:val="single" w:color="auto"/>
            <w:color w:val="0000EE"/>
          </w:rPr>
          <w:t>7</w:t>
        </w:r>
      </w:hyperlink>
      <w:r>
        <w:rPr>
          <w:rFonts w:ascii="Arial" w:cs="Arial" w:eastAsia="Arial" w:hAnsi="Arial"/>
          <w:sz w:val="19"/>
          <w:szCs w:val="19"/>
          <w:color w:val="auto"/>
        </w:rPr>
        <w:t>).</w:t>
      </w:r>
    </w:p>
    <w:p>
      <w:pPr>
        <w:spacing w:after="0" w:line="182" w:lineRule="exact"/>
        <w:rPr>
          <w:sz w:val="20"/>
          <w:szCs w:val="20"/>
          <w:color w:val="auto"/>
        </w:rPr>
      </w:pPr>
    </w:p>
    <w:p>
      <w:pPr>
        <w:ind w:left="460" w:right="160"/>
        <w:spacing w:after="0" w:line="279" w:lineRule="auto"/>
        <w:rPr>
          <w:sz w:val="20"/>
          <w:szCs w:val="20"/>
          <w:color w:val="auto"/>
        </w:rPr>
      </w:pPr>
      <w:r>
        <w:rPr>
          <w:rFonts w:ascii="Arial" w:cs="Arial" w:eastAsia="Arial" w:hAnsi="Arial"/>
          <w:sz w:val="19"/>
          <w:szCs w:val="19"/>
          <w:color w:val="auto"/>
        </w:rPr>
        <w:t>Unrestricted publicly traded investments are classified as available for sale or trading securities and recorded at their fair value. Unrealized gains or losses resulting from changes in fair value between measurement dates for available for sale securities are recorded as a component of other comprehensive income (loss). Unrealized gains or losses resulting from changes in fair value between measurement dates for trading securities are recorded as a component of investment income (loss), net. Cash flows from all trading securities are classified as cash flows from operating activities while cash flows from all other investment securities are classified as cash flows from investing activities in our statement of cash flows.</w:t>
      </w:r>
    </w:p>
    <w:p>
      <w:pPr>
        <w:spacing w:after="0" w:line="178" w:lineRule="exact"/>
        <w:rPr>
          <w:sz w:val="20"/>
          <w:szCs w:val="20"/>
          <w:color w:val="auto"/>
        </w:rPr>
      </w:pPr>
    </w:p>
    <w:p>
      <w:pPr>
        <w:ind w:left="460" w:right="60"/>
        <w:spacing w:after="0" w:line="251" w:lineRule="auto"/>
        <w:rPr>
          <w:rFonts w:ascii="Arial" w:cs="Arial" w:eastAsia="Arial" w:hAnsi="Arial"/>
          <w:sz w:val="22"/>
          <w:szCs w:val="22"/>
          <w:color w:val="auto"/>
        </w:rPr>
      </w:pPr>
      <w:r>
        <w:rPr>
          <w:rFonts w:ascii="Arial" w:cs="Arial" w:eastAsia="Arial" w:hAnsi="Arial"/>
          <w:sz w:val="22"/>
          <w:szCs w:val="22"/>
          <w:color w:val="auto"/>
        </w:rPr>
        <w:t xml:space="preserve">Restricted publicly traded investments and investments in privately held companies are stated at cost, adjusted for any known decrease in value (see </w:t>
      </w:r>
      <w:hyperlink w:anchor="page78">
        <w:r>
          <w:rPr>
            <w:rFonts w:ascii="Arial" w:cs="Arial" w:eastAsia="Arial" w:hAnsi="Arial"/>
            <w:sz w:val="22"/>
            <w:szCs w:val="22"/>
            <w:u w:val="single" w:color="auto"/>
            <w:color w:val="0000EE"/>
          </w:rPr>
          <w:t>Note 6</w:t>
        </w:r>
      </w:hyperlink>
      <w:r>
        <w:rPr>
          <w:rFonts w:ascii="Arial" w:cs="Arial" w:eastAsia="Arial" w:hAnsi="Arial"/>
          <w:sz w:val="22"/>
          <w:szCs w:val="22"/>
          <w:color w:val="auto"/>
        </w:rPr>
        <w:t>).</w:t>
      </w:r>
    </w:p>
    <w:p>
      <w:pPr>
        <w:spacing w:after="0" w:line="200" w:lineRule="exact"/>
        <w:rPr>
          <w:sz w:val="20"/>
          <w:szCs w:val="20"/>
          <w:color w:val="auto"/>
        </w:rPr>
      </w:pPr>
    </w:p>
    <w:p>
      <w:pPr>
        <w:spacing w:after="0" w:line="216"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Property and Equipment</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9"/>
          <w:szCs w:val="19"/>
          <w:color w:val="auto"/>
        </w:rPr>
        <w:t>Depreciation is recorded using the straight-line method over estimated useful lives and the significant components of property</w:t>
      </w:r>
    </w:p>
    <w:p>
      <w:pPr>
        <w:sectPr>
          <w:pgSz w:w="11900" w:h="16838" w:orient="portrait"/>
          <w:cols w:equalWidth="0" w:num="1">
            <w:col w:w="11380"/>
          </w:cols>
          <w:pgMar w:left="240" w:top="118" w:right="279" w:bottom="0" w:gutter="0" w:footer="0" w:header="0"/>
        </w:sectPr>
      </w:pPr>
    </w:p>
    <w:bookmarkStart w:id="65" w:name="page66"/>
    <w:bookmarkEnd w:id="65"/>
    <w:tbl>
      <w:tblPr>
        <w:tblLayout w:type="fixed"/>
        <w:tblInd w:w="280" w:type="dxa"/>
        <w:tblCellMar>
          <w:top w:w="0" w:type="dxa"/>
          <w:left w:w="0" w:type="dxa"/>
          <w:bottom w:w="0" w:type="dxa"/>
          <w:right w:w="0" w:type="dxa"/>
        </w:tblCellMar>
      </w:tblPr>
      <w:tr>
        <w:trPr>
          <w:trHeight w:val="275"/>
        </w:trPr>
        <w:tc>
          <w:tcPr>
            <w:tcW w:w="4580" w:type="dxa"/>
            <w:vAlign w:val="bottom"/>
          </w:tcPr>
          <w:p>
            <w:pPr>
              <w:ind w:left="180"/>
              <w:spacing w:after="0"/>
              <w:rPr>
                <w:sz w:val="20"/>
                <w:szCs w:val="20"/>
                <w:color w:val="auto"/>
              </w:rPr>
            </w:pPr>
            <w:r>
              <w:rPr>
                <w:rFonts w:ascii="Arial" w:cs="Arial" w:eastAsia="Arial" w:hAnsi="Arial"/>
                <w:sz w:val="22"/>
                <w:szCs w:val="22"/>
                <w:color w:val="auto"/>
              </w:rPr>
              <w:t>and equipment are as follows (in millions):</w:t>
            </w:r>
          </w:p>
        </w:tc>
        <w:tc>
          <w:tcPr>
            <w:tcW w:w="7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4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22"/>
                <w:szCs w:val="22"/>
                <w:color w:val="auto"/>
                <w:w w:val="96"/>
              </w:rPr>
              <w:t>December</w:t>
            </w:r>
          </w:p>
        </w:tc>
        <w:tc>
          <w:tcPr>
            <w:tcW w:w="1200" w:type="dxa"/>
            <w:vAlign w:val="bottom"/>
            <w:gridSpan w:val="2"/>
          </w:tcPr>
          <w:p>
            <w:pPr>
              <w:jc w:val="right"/>
              <w:ind w:right="180"/>
              <w:spacing w:after="0"/>
              <w:rPr>
                <w:sz w:val="20"/>
                <w:szCs w:val="20"/>
                <w:color w:val="auto"/>
              </w:rPr>
            </w:pPr>
            <w:r>
              <w:rPr>
                <w:rFonts w:ascii="Arial" w:cs="Arial" w:eastAsia="Arial" w:hAnsi="Arial"/>
                <w:sz w:val="22"/>
                <w:szCs w:val="22"/>
                <w:color w:val="auto"/>
                <w:w w:val="98"/>
              </w:rPr>
              <w:t>December</w:t>
            </w: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540" w:type="dxa"/>
            <w:vAlign w:val="bottom"/>
            <w:gridSpan w:val="2"/>
          </w:tcPr>
          <w:p>
            <w:pPr>
              <w:jc w:val="right"/>
              <w:ind w:right="332"/>
              <w:spacing w:after="0" w:line="243" w:lineRule="exact"/>
              <w:rPr>
                <w:sz w:val="20"/>
                <w:szCs w:val="20"/>
                <w:color w:val="auto"/>
              </w:rPr>
            </w:pPr>
            <w:r>
              <w:rPr>
                <w:rFonts w:ascii="Arial" w:cs="Arial" w:eastAsia="Arial" w:hAnsi="Arial"/>
                <w:sz w:val="22"/>
                <w:szCs w:val="22"/>
                <w:color w:val="auto"/>
              </w:rPr>
              <w:t>31,</w:t>
            </w:r>
          </w:p>
        </w:tc>
        <w:tc>
          <w:tcPr>
            <w:tcW w:w="500" w:type="dxa"/>
            <w:vAlign w:val="bottom"/>
          </w:tcPr>
          <w:p>
            <w:pPr>
              <w:spacing w:after="0"/>
              <w:rPr>
                <w:sz w:val="21"/>
                <w:szCs w:val="21"/>
                <w:color w:val="auto"/>
              </w:rPr>
            </w:pPr>
          </w:p>
        </w:tc>
        <w:tc>
          <w:tcPr>
            <w:tcW w:w="1120" w:type="dxa"/>
            <w:vAlign w:val="bottom"/>
          </w:tcPr>
          <w:p>
            <w:pPr>
              <w:jc w:val="right"/>
              <w:ind w:right="312"/>
              <w:spacing w:after="0" w:line="243" w:lineRule="exact"/>
              <w:rPr>
                <w:sz w:val="20"/>
                <w:szCs w:val="20"/>
                <w:color w:val="auto"/>
              </w:rPr>
            </w:pPr>
            <w:r>
              <w:rPr>
                <w:rFonts w:ascii="Arial" w:cs="Arial" w:eastAsia="Arial" w:hAnsi="Arial"/>
                <w:sz w:val="22"/>
                <w:szCs w:val="22"/>
                <w:color w:val="auto"/>
              </w:rPr>
              <w:t>31,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20" w:type="dxa"/>
            <w:vAlign w:val="bottom"/>
          </w:tcPr>
          <w:p>
            <w:pPr>
              <w:ind w:left="160"/>
              <w:spacing w:after="0"/>
              <w:rPr>
                <w:sz w:val="20"/>
                <w:szCs w:val="20"/>
                <w:color w:val="auto"/>
              </w:rPr>
            </w:pPr>
            <w:r>
              <w:rPr>
                <w:rFonts w:ascii="Arial" w:cs="Arial" w:eastAsia="Arial" w:hAnsi="Arial"/>
                <w:sz w:val="22"/>
                <w:szCs w:val="22"/>
                <w:color w:val="auto"/>
              </w:rPr>
              <w:t>Useful Life</w:t>
            </w:r>
          </w:p>
        </w:tc>
        <w:tc>
          <w:tcPr>
            <w:tcW w:w="1540" w:type="dxa"/>
            <w:vAlign w:val="bottom"/>
            <w:gridSpan w:val="2"/>
          </w:tcPr>
          <w:p>
            <w:pPr>
              <w:jc w:val="right"/>
              <w:ind w:right="232"/>
              <w:spacing w:after="0"/>
              <w:rPr>
                <w:sz w:val="20"/>
                <w:szCs w:val="20"/>
                <w:color w:val="auto"/>
              </w:rPr>
            </w:pPr>
            <w:r>
              <w:rPr>
                <w:rFonts w:ascii="Arial" w:cs="Arial" w:eastAsia="Arial" w:hAnsi="Arial"/>
                <w:sz w:val="22"/>
                <w:szCs w:val="22"/>
                <w:color w:val="auto"/>
              </w:rPr>
              <w:t>2003</w:t>
            </w:r>
          </w:p>
        </w:tc>
        <w:tc>
          <w:tcPr>
            <w:tcW w:w="500" w:type="dxa"/>
            <w:vAlign w:val="bottom"/>
          </w:tcPr>
          <w:p>
            <w:pPr>
              <w:spacing w:after="0"/>
              <w:rPr>
                <w:sz w:val="23"/>
                <w:szCs w:val="23"/>
                <w:color w:val="auto"/>
              </w:rPr>
            </w:pPr>
          </w:p>
        </w:tc>
        <w:tc>
          <w:tcPr>
            <w:tcW w:w="1120" w:type="dxa"/>
            <w:vAlign w:val="bottom"/>
          </w:tcPr>
          <w:p>
            <w:pPr>
              <w:jc w:val="right"/>
              <w:ind w:right="232"/>
              <w:spacing w:after="0"/>
              <w:rPr>
                <w:sz w:val="20"/>
                <w:szCs w:val="20"/>
                <w:color w:val="auto"/>
              </w:rPr>
            </w:pPr>
            <w:r>
              <w:rPr>
                <w:rFonts w:ascii="Arial" w:cs="Arial" w:eastAsia="Arial" w:hAnsi="Arial"/>
                <w:sz w:val="22"/>
                <w:szCs w:val="22"/>
                <w:color w:val="auto"/>
              </w:rPr>
              <w:t>2002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4580" w:type="dxa"/>
            <w:vAlign w:val="bottom"/>
          </w:tcPr>
          <w:p>
            <w:pPr>
              <w:spacing w:after="0"/>
              <w:rPr>
                <w:sz w:val="20"/>
                <w:szCs w:val="20"/>
                <w:color w:val="auto"/>
              </w:rPr>
            </w:pPr>
            <w:r>
              <w:rPr>
                <w:rFonts w:ascii="Arial" w:cs="Arial" w:eastAsia="Arial" w:hAnsi="Arial"/>
                <w:sz w:val="22"/>
                <w:szCs w:val="22"/>
                <w:color w:val="auto"/>
              </w:rPr>
              <w:t>Transmission and distribution plant</w:t>
            </w:r>
          </w:p>
        </w:tc>
        <w:tc>
          <w:tcPr>
            <w:tcW w:w="72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22"/>
                <w:szCs w:val="22"/>
                <w:color w:val="auto"/>
              </w:rPr>
              <w:t>2-15 years</w:t>
            </w: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$22,609</w:t>
            </w:r>
          </w:p>
        </w:tc>
        <w:tc>
          <w:tcPr>
            <w:tcW w:w="5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$19,027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line="243" w:lineRule="exact"/>
              <w:rPr>
                <w:sz w:val="20"/>
                <w:szCs w:val="20"/>
                <w:color w:val="auto"/>
              </w:rPr>
            </w:pPr>
            <w:r>
              <w:rPr>
                <w:rFonts w:ascii="Arial" w:cs="Arial" w:eastAsia="Arial" w:hAnsi="Arial"/>
                <w:sz w:val="22"/>
                <w:szCs w:val="22"/>
                <w:color w:val="auto"/>
              </w:rPr>
              <w:t>Buildings and building improvements</w:t>
            </w:r>
          </w:p>
        </w:tc>
        <w:tc>
          <w:tcPr>
            <w:tcW w:w="720" w:type="dxa"/>
            <w:vAlign w:val="bottom"/>
          </w:tcPr>
          <w:p>
            <w:pPr>
              <w:spacing w:after="0"/>
              <w:rPr>
                <w:sz w:val="21"/>
                <w:szCs w:val="21"/>
                <w:color w:val="auto"/>
              </w:rPr>
            </w:pPr>
          </w:p>
        </w:tc>
        <w:tc>
          <w:tcPr>
            <w:tcW w:w="1320" w:type="dxa"/>
            <w:vAlign w:val="bottom"/>
          </w:tcPr>
          <w:p>
            <w:pPr>
              <w:spacing w:after="0" w:line="243" w:lineRule="exact"/>
              <w:rPr>
                <w:sz w:val="20"/>
                <w:szCs w:val="20"/>
                <w:color w:val="auto"/>
              </w:rPr>
            </w:pPr>
            <w:r>
              <w:rPr>
                <w:rFonts w:ascii="Arial" w:cs="Arial" w:eastAsia="Arial" w:hAnsi="Arial"/>
                <w:sz w:val="22"/>
                <w:szCs w:val="22"/>
                <w:color w:val="auto"/>
              </w:rPr>
              <w:t>3-40 years</w:t>
            </w:r>
          </w:p>
        </w:tc>
        <w:tc>
          <w:tcPr>
            <w:tcW w:w="15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1,255</w:t>
            </w:r>
          </w:p>
        </w:tc>
        <w:tc>
          <w:tcPr>
            <w:tcW w:w="50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1,271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line="243" w:lineRule="exact"/>
              <w:rPr>
                <w:sz w:val="20"/>
                <w:szCs w:val="20"/>
                <w:color w:val="auto"/>
              </w:rPr>
            </w:pPr>
            <w:r>
              <w:rPr>
                <w:rFonts w:ascii="Arial" w:cs="Arial" w:eastAsia="Arial" w:hAnsi="Arial"/>
                <w:sz w:val="22"/>
                <w:szCs w:val="22"/>
                <w:color w:val="auto"/>
              </w:rPr>
              <w:t>Land</w:t>
            </w:r>
          </w:p>
        </w:tc>
        <w:tc>
          <w:tcPr>
            <w:tcW w:w="720" w:type="dxa"/>
            <w:vAlign w:val="bottom"/>
          </w:tcPr>
          <w:p>
            <w:pPr>
              <w:spacing w:after="0"/>
              <w:rPr>
                <w:sz w:val="21"/>
                <w:szCs w:val="21"/>
                <w:color w:val="auto"/>
              </w:rPr>
            </w:pPr>
          </w:p>
        </w:tc>
        <w:tc>
          <w:tcPr>
            <w:tcW w:w="1320" w:type="dxa"/>
            <w:vAlign w:val="bottom"/>
          </w:tcPr>
          <w:p>
            <w:pPr>
              <w:spacing w:after="0" w:line="243" w:lineRule="exact"/>
              <w:rPr>
                <w:sz w:val="20"/>
                <w:szCs w:val="20"/>
                <w:color w:val="auto"/>
              </w:rPr>
            </w:pPr>
            <w:r>
              <w:rPr>
                <w:rFonts w:ascii="Arial" w:cs="Arial" w:eastAsia="Arial" w:hAnsi="Arial"/>
                <w:sz w:val="22"/>
                <w:szCs w:val="22"/>
                <w:color w:val="auto"/>
              </w:rPr>
              <w:t>N/A</w:t>
            </w:r>
          </w:p>
        </w:tc>
        <w:tc>
          <w:tcPr>
            <w:tcW w:w="15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152</w:t>
            </w:r>
          </w:p>
        </w:tc>
        <w:tc>
          <w:tcPr>
            <w:tcW w:w="50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172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580" w:type="dxa"/>
            <w:vAlign w:val="bottom"/>
          </w:tcPr>
          <w:p>
            <w:pPr>
              <w:spacing w:after="0"/>
              <w:rPr>
                <w:sz w:val="20"/>
                <w:szCs w:val="20"/>
                <w:color w:val="auto"/>
              </w:rPr>
            </w:pPr>
            <w:r>
              <w:rPr>
                <w:rFonts w:ascii="Arial" w:cs="Arial" w:eastAsia="Arial" w:hAnsi="Arial"/>
                <w:sz w:val="22"/>
                <w:szCs w:val="22"/>
                <w:color w:val="auto"/>
              </w:rPr>
              <w:t>Other</w:t>
            </w:r>
          </w:p>
        </w:tc>
        <w:tc>
          <w:tcPr>
            <w:tcW w:w="72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22"/>
                <w:szCs w:val="22"/>
                <w:color w:val="auto"/>
              </w:rPr>
              <w:t>2-10 years</w:t>
            </w: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1,020</w:t>
            </w:r>
          </w:p>
        </w:tc>
        <w:tc>
          <w:tcPr>
            <w:tcW w:w="5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1,766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4580" w:type="dxa"/>
            <w:vAlign w:val="bottom"/>
          </w:tcPr>
          <w:p>
            <w:pPr>
              <w:ind w:left="160"/>
              <w:spacing w:after="0"/>
              <w:rPr>
                <w:sz w:val="20"/>
                <w:szCs w:val="20"/>
                <w:color w:val="auto"/>
              </w:rPr>
            </w:pPr>
            <w:r>
              <w:rPr>
                <w:rFonts w:ascii="Arial" w:cs="Arial" w:eastAsia="Arial" w:hAnsi="Arial"/>
                <w:sz w:val="22"/>
                <w:szCs w:val="22"/>
                <w:color w:val="auto"/>
              </w:rPr>
              <w:t>Property and equipment, at cost</w:t>
            </w: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25,036</w:t>
            </w:r>
          </w:p>
        </w:tc>
        <w:tc>
          <w:tcPr>
            <w:tcW w:w="5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22,236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580" w:type="dxa"/>
            <w:vAlign w:val="bottom"/>
          </w:tcPr>
          <w:p>
            <w:pPr>
              <w:spacing w:after="0"/>
              <w:rPr>
                <w:sz w:val="20"/>
                <w:szCs w:val="20"/>
                <w:color w:val="auto"/>
              </w:rPr>
            </w:pPr>
            <w:r>
              <w:rPr>
                <w:rFonts w:ascii="Arial" w:cs="Arial" w:eastAsia="Arial" w:hAnsi="Arial"/>
                <w:sz w:val="22"/>
                <w:szCs w:val="22"/>
                <w:color w:val="auto"/>
              </w:rPr>
              <w:t>Less: accumulated depreciation</w:t>
            </w:r>
          </w:p>
        </w:tc>
        <w:tc>
          <w:tcPr>
            <w:tcW w:w="7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40" w:type="dxa"/>
            <w:vAlign w:val="bottom"/>
            <w:gridSpan w:val="3"/>
          </w:tcPr>
          <w:p>
            <w:pPr>
              <w:jc w:val="right"/>
              <w:ind w:right="440"/>
              <w:spacing w:after="0"/>
              <w:rPr>
                <w:sz w:val="20"/>
                <w:szCs w:val="20"/>
                <w:color w:val="auto"/>
              </w:rPr>
            </w:pPr>
            <w:r>
              <w:rPr>
                <w:rFonts w:ascii="Arial" w:cs="Arial" w:eastAsia="Arial" w:hAnsi="Arial"/>
                <w:sz w:val="22"/>
                <w:szCs w:val="22"/>
                <w:color w:val="auto"/>
              </w:rPr>
              <w:t>(6,563)</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(3,855)</w:t>
            </w:r>
          </w:p>
        </w:tc>
        <w:tc>
          <w:tcPr>
            <w:tcW w:w="0" w:type="dxa"/>
            <w:vAlign w:val="bottom"/>
          </w:tcPr>
          <w:p>
            <w:pPr>
              <w:spacing w:after="0"/>
              <w:rPr>
                <w:sz w:val="1"/>
                <w:szCs w:val="1"/>
                <w:color w:val="auto"/>
              </w:rPr>
            </w:pPr>
          </w:p>
        </w:tc>
      </w:tr>
      <w:tr>
        <w:trPr>
          <w:trHeight w:val="98"/>
        </w:trPr>
        <w:tc>
          <w:tcPr>
            <w:tcW w:w="4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4580" w:type="dxa"/>
            <w:vAlign w:val="bottom"/>
          </w:tcPr>
          <w:p>
            <w:pPr>
              <w:ind w:left="160"/>
              <w:spacing w:after="0"/>
              <w:rPr>
                <w:sz w:val="20"/>
                <w:szCs w:val="20"/>
                <w:color w:val="auto"/>
              </w:rPr>
            </w:pPr>
            <w:r>
              <w:rPr>
                <w:rFonts w:ascii="Arial" w:cs="Arial" w:eastAsia="Arial" w:hAnsi="Arial"/>
                <w:sz w:val="22"/>
                <w:szCs w:val="22"/>
                <w:color w:val="auto"/>
              </w:rPr>
              <w:t>Property and equipment, net</w:t>
            </w: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$18,473</w:t>
            </w:r>
          </w:p>
        </w:tc>
        <w:tc>
          <w:tcPr>
            <w:tcW w:w="5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$18,381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2040" w:type="dxa"/>
            <w:vAlign w:val="bottom"/>
            <w:gridSpan w:val="2"/>
            <w:vMerge w:val="restart"/>
          </w:tcPr>
          <w:p>
            <w:pPr>
              <w:jc w:val="right"/>
              <w:ind w:right="892"/>
              <w:spacing w:after="0"/>
              <w:rPr>
                <w:sz w:val="20"/>
                <w:szCs w:val="20"/>
                <w:color w:val="auto"/>
              </w:rPr>
            </w:pPr>
            <w:r>
              <w:rPr>
                <w:rFonts w:ascii="Arial" w:cs="Arial" w:eastAsia="Arial" w:hAnsi="Arial"/>
                <w:sz w:val="22"/>
                <w:szCs w:val="22"/>
                <w:color w:val="auto"/>
              </w:rPr>
              <w:t>- 7 -</w:t>
            </w:r>
          </w:p>
        </w:tc>
        <w:tc>
          <w:tcPr>
            <w:tcW w:w="4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4"/>
        </w:trPr>
        <w:tc>
          <w:tcPr>
            <w:tcW w:w="4580" w:type="dxa"/>
            <w:vAlign w:val="bottom"/>
          </w:tcPr>
          <w:p>
            <w:pPr>
              <w:spacing w:after="0"/>
              <w:rPr>
                <w:sz w:val="24"/>
                <w:szCs w:val="24"/>
                <w:color w:val="auto"/>
              </w:rPr>
            </w:pPr>
          </w:p>
        </w:tc>
        <w:tc>
          <w:tcPr>
            <w:tcW w:w="20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5346065</wp:posOffset>
            </wp:positionH>
            <wp:positionV relativeFrom="paragraph">
              <wp:posOffset>-378460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-378460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-378460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-378460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We capitalize improvements that extend asset lives and expense other repairs and maintenance charges as incurred. The cost and related accumulated depreciation applicable to assets sold or retired are removed from the accounts and the gain or loss on disposition is recognized as a component of depreciation expense.</w:t>
      </w:r>
    </w:p>
    <w:p>
      <w:pPr>
        <w:spacing w:after="0" w:line="213" w:lineRule="exact"/>
        <w:rPr>
          <w:sz w:val="20"/>
          <w:szCs w:val="20"/>
          <w:color w:val="auto"/>
        </w:rPr>
      </w:pPr>
    </w:p>
    <w:p>
      <w:pPr>
        <w:ind w:left="460" w:right="100"/>
        <w:spacing w:after="0" w:line="251" w:lineRule="auto"/>
        <w:rPr>
          <w:sz w:val="20"/>
          <w:szCs w:val="20"/>
          <w:color w:val="auto"/>
        </w:rPr>
      </w:pPr>
      <w:r>
        <w:rPr>
          <w:rFonts w:ascii="Arial" w:cs="Arial" w:eastAsia="Arial" w:hAnsi="Arial"/>
          <w:sz w:val="22"/>
          <w:szCs w:val="22"/>
          <w:color w:val="auto"/>
        </w:rPr>
        <w:t>We capitalize the costs associated with the construction of cable transmission and distribution facilities and new cable service installations. Costs include all direct labor and materials, as well as certain indirect costs.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Intangible Assets</w:t>
      </w:r>
    </w:p>
    <w:p>
      <w:pPr>
        <w:spacing w:after="0" w:line="8" w:lineRule="exact"/>
        <w:rPr>
          <w:sz w:val="20"/>
          <w:szCs w:val="20"/>
          <w:color w:val="auto"/>
        </w:rPr>
      </w:pPr>
    </w:p>
    <w:p>
      <w:pPr>
        <w:ind w:left="460" w:right="120"/>
        <w:spacing w:after="0" w:line="273" w:lineRule="auto"/>
        <w:rPr>
          <w:sz w:val="20"/>
          <w:szCs w:val="20"/>
          <w:color w:val="auto"/>
        </w:rPr>
      </w:pPr>
      <w:r>
        <w:rPr>
          <w:rFonts w:ascii="Arial" w:cs="Arial" w:eastAsia="Arial" w:hAnsi="Arial"/>
          <w:sz w:val="19"/>
          <w:szCs w:val="19"/>
          <w:color w:val="auto"/>
        </w:rPr>
        <w:t>Cable franchise rights represent the value attributed to agreements with local authorities that allow access to homes in cable service areas acquired in connection with business combinations. Prior to the adoption of SFAS No. 142, we amortized the value of these rights over periods related to the term of the related franchise agreements. Subsequent to the adoption of SFAS No. 142, we no longer amortize cable franchise rights because we have determined that they have an indefinite life. We reassess this determination periodically for each franchise based on the factors included in SFAS No. 142. Costs we incur in negotiating and renewing cable franchise agreements are included in other intangible assets and are amortized on a straight-line basis over the term of the franchise renewal period, generally 10 to 15 years.</w:t>
      </w:r>
    </w:p>
    <w:p>
      <w:pPr>
        <w:spacing w:after="0" w:line="187" w:lineRule="exact"/>
        <w:rPr>
          <w:sz w:val="20"/>
          <w:szCs w:val="20"/>
          <w:color w:val="auto"/>
        </w:rPr>
      </w:pPr>
    </w:p>
    <w:p>
      <w:pPr>
        <w:jc w:val="both"/>
        <w:ind w:left="460" w:right="220"/>
        <w:spacing w:after="0" w:line="258" w:lineRule="auto"/>
        <w:rPr>
          <w:sz w:val="20"/>
          <w:szCs w:val="20"/>
          <w:color w:val="auto"/>
        </w:rPr>
      </w:pPr>
      <w:r>
        <w:rPr>
          <w:rFonts w:ascii="Arial" w:cs="Arial" w:eastAsia="Arial" w:hAnsi="Arial"/>
          <w:sz w:val="21"/>
          <w:szCs w:val="21"/>
          <w:color w:val="auto"/>
        </w:rPr>
        <w:t>Goodwill is the excess of the acquisition cost of an acquired entity over the fair value of the identifiable net assets acquired. Prior to the adoption of SFAS No. 142, we amortized goodwill over estimated useful lives ranging principally from 20 to 30 years. Subsequent to the adoption of SFAS No. 142, we no longer amortize goodwill.</w:t>
      </w:r>
    </w:p>
    <w:p>
      <w:pPr>
        <w:spacing w:after="0" w:line="194" w:lineRule="exact"/>
        <w:rPr>
          <w:sz w:val="20"/>
          <w:szCs w:val="20"/>
          <w:color w:val="auto"/>
        </w:rPr>
      </w:pPr>
    </w:p>
    <w:p>
      <w:pPr>
        <w:ind w:left="460" w:right="40"/>
        <w:spacing w:after="0" w:line="282" w:lineRule="auto"/>
        <w:rPr>
          <w:sz w:val="20"/>
          <w:szCs w:val="20"/>
          <w:color w:val="auto"/>
        </w:rPr>
      </w:pPr>
      <w:r>
        <w:rPr>
          <w:rFonts w:ascii="Arial" w:cs="Arial" w:eastAsia="Arial" w:hAnsi="Arial"/>
          <w:sz w:val="19"/>
          <w:szCs w:val="19"/>
          <w:color w:val="auto"/>
        </w:rPr>
        <w:t>We are required to test our goodwill and intangible assets that are determined to have an indefinite life for impairment at least annually. The provisions of SFAS No. 142 required the completion of an initial transitional impairment assessment, with any impairments identified treated as a cumulative effect of a change in accounting principle. We completed this assessment in 2002 and determined that no cumulative effect resulted from adopting this change in accounting principle. The provisions of SFAS No. 142 also require the completion of an annual impairment test, with any impairments recognized in current earnings.</w:t>
      </w:r>
    </w:p>
    <w:p>
      <w:pPr>
        <w:spacing w:after="0" w:line="175" w:lineRule="exact"/>
        <w:rPr>
          <w:sz w:val="20"/>
          <w:szCs w:val="20"/>
          <w:color w:val="auto"/>
        </w:rPr>
      </w:pPr>
    </w:p>
    <w:p>
      <w:pPr>
        <w:ind w:left="460" w:right="320"/>
        <w:spacing w:after="0" w:line="282" w:lineRule="auto"/>
        <w:rPr>
          <w:sz w:val="20"/>
          <w:szCs w:val="20"/>
          <w:color w:val="auto"/>
        </w:rPr>
      </w:pPr>
      <w:r>
        <w:rPr>
          <w:rFonts w:ascii="Arial" w:cs="Arial" w:eastAsia="Arial" w:hAnsi="Arial"/>
          <w:sz w:val="19"/>
          <w:szCs w:val="19"/>
          <w:color w:val="auto"/>
        </w:rPr>
        <w:t>Other intangible assets consist principally of franchise related customer relationships acquired in business combinations subsequent to the adoption of SFAS No. 141, “Business Combinations,” on July 1, 2001, cable and satellite television distribution rights, cable franchise renewal costs, contractual operating rights, computer software, programming costs and rights, and non-competition agreements. We record these costs as assets and amortize them on a straight-line basis over the term of the related agreements or estimated useful life, which generally range from 2 to 20 years.</w:t>
      </w:r>
    </w:p>
    <w:p>
      <w:pPr>
        <w:spacing w:after="0" w:line="175" w:lineRule="exact"/>
        <w:rPr>
          <w:sz w:val="20"/>
          <w:szCs w:val="20"/>
          <w:color w:val="auto"/>
        </w:rPr>
      </w:pPr>
    </w:p>
    <w:p>
      <w:pPr>
        <w:ind w:left="460" w:right="20"/>
        <w:spacing w:after="0" w:line="275" w:lineRule="auto"/>
        <w:rPr>
          <w:sz w:val="20"/>
          <w:szCs w:val="20"/>
          <w:color w:val="auto"/>
        </w:rPr>
      </w:pPr>
      <w:r>
        <w:rPr>
          <w:rFonts w:ascii="Arial" w:cs="Arial" w:eastAsia="Arial" w:hAnsi="Arial"/>
          <w:sz w:val="19"/>
          <w:szCs w:val="19"/>
          <w:color w:val="auto"/>
        </w:rPr>
        <w:t>Certain of our content subsidiaries have entered into multi-year affiliation agreements with various cable and satellite television system operators for carriage of their respective programming. We capitalize cable or satellite television distribution rights and amortize them on a straight-line basis over the term of the related distribution agreements of 5 to 11 years. We classify the amortization of distribution fees paid by our content subsidiaries pursuant to Emerging Issues Task Force (“EITF”) 01-09, “Accounting for Consideration Given to a Customer (including a reseller of the Vendors Products)". Under EITF 01-09, the amortization of such fees is classified as a reduction of revenue unless the content subsidiary receives, or will receive, an identifiable benefit from the cable or satellite system operator separate from the distribution fee, in which case we recognize the fair value of the identified benefit as an operating expense in the period in which it is received.</w:t>
      </w:r>
    </w:p>
    <w:p>
      <w:pPr>
        <w:spacing w:after="0" w:line="185" w:lineRule="exact"/>
        <w:rPr>
          <w:sz w:val="20"/>
          <w:szCs w:val="20"/>
          <w:color w:val="auto"/>
        </w:rPr>
      </w:pPr>
    </w:p>
    <w:p>
      <w:pPr>
        <w:ind w:left="460" w:right="200"/>
        <w:spacing w:after="0" w:line="328" w:lineRule="auto"/>
        <w:rPr>
          <w:sz w:val="20"/>
          <w:szCs w:val="20"/>
          <w:color w:val="auto"/>
        </w:rPr>
      </w:pPr>
      <w:r>
        <w:rPr>
          <w:rFonts w:ascii="Arial" w:cs="Arial" w:eastAsia="Arial" w:hAnsi="Arial"/>
          <w:sz w:val="19"/>
          <w:szCs w:val="19"/>
          <w:color w:val="auto"/>
        </w:rPr>
        <w:t>Certain direct development costs associated with internal-use software are capitalized, including external direct costs of material and services, and payroll costs for employees devoting time to the software projects. Such costs are included within</w:t>
      </w:r>
    </w:p>
    <w:p>
      <w:pPr>
        <w:sectPr>
          <w:pgSz w:w="11900" w:h="16838" w:orient="portrait"/>
          <w:cols w:equalWidth="0" w:num="1">
            <w:col w:w="11420"/>
          </w:cols>
          <w:pgMar w:left="240" w:top="118" w:right="239" w:bottom="0" w:gutter="0" w:footer="0" w:header="0"/>
        </w:sectPr>
      </w:pPr>
    </w:p>
    <w:bookmarkStart w:id="66" w:name="page67"/>
    <w:bookmarkEnd w:id="66"/>
    <w:p>
      <w:pPr>
        <w:spacing w:after="0" w:line="65" w:lineRule="exact"/>
        <w:rPr>
          <w:sz w:val="20"/>
          <w:szCs w:val="20"/>
          <w:color w:val="auto"/>
        </w:rPr>
      </w:pPr>
    </w:p>
    <w:p>
      <w:pPr>
        <w:ind w:left="460" w:right="20"/>
        <w:spacing w:after="0" w:line="298" w:lineRule="auto"/>
        <w:rPr>
          <w:sz w:val="20"/>
          <w:szCs w:val="20"/>
          <w:color w:val="auto"/>
        </w:rPr>
      </w:pPr>
      <w:r>
        <w:rPr>
          <w:rFonts w:ascii="Arial" w:cs="Arial" w:eastAsia="Arial" w:hAnsi="Arial"/>
          <w:sz w:val="19"/>
          <w:szCs w:val="19"/>
          <w:color w:val="auto"/>
        </w:rPr>
        <w:t>other assets and are amortized over a period not to exceed five years beginning when the asset is substantially ready for use. Costs incurred during the preliminary project stage, as well as maintenance and training costs, are expensed as incurred. Initial operating-system software costs are capitalized and amortized over the life of the associated hardware.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Valuation of Long-Lived and Indefinite-Lived Assets</w:t>
      </w:r>
    </w:p>
    <w:p>
      <w:pPr>
        <w:spacing w:after="0" w:line="8" w:lineRule="exact"/>
        <w:rPr>
          <w:sz w:val="20"/>
          <w:szCs w:val="20"/>
          <w:color w:val="auto"/>
        </w:rPr>
      </w:pPr>
    </w:p>
    <w:p>
      <w:pPr>
        <w:ind w:left="460"/>
        <w:spacing w:after="0" w:line="244" w:lineRule="auto"/>
        <w:rPr>
          <w:sz w:val="20"/>
          <w:szCs w:val="20"/>
          <w:color w:val="auto"/>
        </w:rPr>
      </w:pPr>
      <w:r>
        <w:rPr>
          <w:rFonts w:ascii="Arial" w:cs="Arial" w:eastAsia="Arial" w:hAnsi="Arial"/>
          <w:sz w:val="21"/>
          <w:szCs w:val="21"/>
          <w:color w:val="auto"/>
        </w:rPr>
        <w:t>We periodically evaluate the recoverability of our long-lived assets, including property and equipment and intangible assets subject to amortization, whenever events or changes in circumstances indicate that the carrying amount may not be recoverable. Our evaluations include analyses based on the cash flows generated by the underlying assets, profitability information, including estimated future operating results, trends or other determinants of fair value. If the total of the expected future undiscounted cash flows is less than the carrying amount of the asset, a loss is recognized for the difference between the fair value and the carrying value of the asset. Unless presented separately, the loss is included as a component of either depreciation expense or amortization expense, as appropriate.</w:t>
      </w:r>
    </w:p>
    <w:p>
      <w:pPr>
        <w:spacing w:after="0" w:line="208" w:lineRule="exact"/>
        <w:rPr>
          <w:sz w:val="20"/>
          <w:szCs w:val="20"/>
          <w:color w:val="auto"/>
        </w:rPr>
      </w:pPr>
    </w:p>
    <w:p>
      <w:pPr>
        <w:ind w:left="460" w:right="20"/>
        <w:spacing w:after="0" w:line="274" w:lineRule="auto"/>
        <w:rPr>
          <w:sz w:val="20"/>
          <w:szCs w:val="20"/>
          <w:color w:val="auto"/>
        </w:rPr>
      </w:pPr>
      <w:r>
        <w:rPr>
          <w:rFonts w:ascii="Arial" w:cs="Arial" w:eastAsia="Arial" w:hAnsi="Arial"/>
          <w:sz w:val="19"/>
          <w:szCs w:val="19"/>
          <w:color w:val="auto"/>
        </w:rPr>
        <w:t>We evaluate the recoverability of our goodwill and indefinite life intangible assets annually or more frequently whenever events or changes in circumstances indicate that the asset might be impaired. We perform the impairment assessment of our goodwill one level below the business segment level, except for our cable business. In our cable business, components one level below the segment level are not separate reporting units and also have similar economic characteristics that allow them to be aggregated into one reporting unit at the cable segment level. During 2002 and 2003, we performed the impairment assessment of our cable franchise rights at the cable segment level based on our analysis of the factors outlined in EITF 02-07, “Unit of Accounting for Testing Impairment of Indefinite-Lived Intangible Assets.” Effective in the first quarter of 2004, we will change the unit of accounting used for testing impairment to geographic regions and will perform impairment testing on our cable franchise rights. We do not anticipate recording any impairment charge in connection with the impairment testing.</w:t>
      </w:r>
    </w:p>
    <w:p>
      <w:pPr>
        <w:spacing w:after="0" w:line="186" w:lineRule="exact"/>
        <w:rPr>
          <w:sz w:val="20"/>
          <w:szCs w:val="20"/>
          <w:color w:val="auto"/>
        </w:rPr>
      </w:pPr>
    </w:p>
    <w:p>
      <w:pPr>
        <w:ind w:left="460" w:right="160"/>
        <w:spacing w:after="0" w:line="282" w:lineRule="auto"/>
        <w:rPr>
          <w:sz w:val="20"/>
          <w:szCs w:val="20"/>
          <w:color w:val="auto"/>
        </w:rPr>
      </w:pPr>
      <w:r>
        <w:rPr>
          <w:rFonts w:ascii="Arial" w:cs="Arial" w:eastAsia="Arial" w:hAnsi="Arial"/>
          <w:sz w:val="19"/>
          <w:szCs w:val="19"/>
          <w:color w:val="auto"/>
        </w:rPr>
        <w:t>We estimate the fair value of our cable franchise rights primarily based on multiples of operating income before depreciation and amortization generated by the underlying assets, discounted cash flow analyses, analyses of current market transactions and profitability information, including estimated future operating results, trends or other determinants of fair value. If the value of our cable franchise rights determined by these evaluations is less than its carrying amount, an impairment charge would be recognized for the difference between the estimated fair value and the carrying value of the assets.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Foreign Currency Translation</w:t>
      </w:r>
    </w:p>
    <w:p>
      <w:pPr>
        <w:spacing w:after="0" w:line="8" w:lineRule="exact"/>
        <w:rPr>
          <w:sz w:val="20"/>
          <w:szCs w:val="20"/>
          <w:color w:val="auto"/>
        </w:rPr>
      </w:pPr>
    </w:p>
    <w:p>
      <w:pPr>
        <w:ind w:left="460" w:right="120"/>
        <w:spacing w:after="0" w:line="233" w:lineRule="auto"/>
        <w:rPr>
          <w:sz w:val="20"/>
          <w:szCs w:val="20"/>
          <w:color w:val="auto"/>
        </w:rPr>
      </w:pPr>
      <w:r>
        <w:rPr>
          <w:rFonts w:ascii="Arial" w:cs="Arial" w:eastAsia="Arial" w:hAnsi="Arial"/>
          <w:sz w:val="22"/>
          <w:szCs w:val="22"/>
          <w:color w:val="auto"/>
        </w:rPr>
        <w:t>We translate assets and liabilities of our foreign subsidiaries, where the functional currency is the local currency, into US dollars at the December 31 exchange rate and record the related translation adjustments as a component of other comprehensive income. We translate revenues and expenses using average exchange rates prevailing during the year. Foreign currency transaction gains and losses are included in other income.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Revenue Recognition</w:t>
      </w:r>
    </w:p>
    <w:p>
      <w:pPr>
        <w:spacing w:after="0" w:line="8" w:lineRule="exact"/>
        <w:rPr>
          <w:sz w:val="20"/>
          <w:szCs w:val="20"/>
          <w:color w:val="auto"/>
        </w:rPr>
      </w:pPr>
    </w:p>
    <w:p>
      <w:pPr>
        <w:ind w:left="460" w:right="160"/>
        <w:spacing w:after="0" w:line="272" w:lineRule="auto"/>
        <w:rPr>
          <w:sz w:val="20"/>
          <w:szCs w:val="20"/>
          <w:color w:val="auto"/>
        </w:rPr>
      </w:pPr>
      <w:r>
        <w:rPr>
          <w:rFonts w:ascii="Arial" w:cs="Arial" w:eastAsia="Arial" w:hAnsi="Arial"/>
          <w:sz w:val="19"/>
          <w:szCs w:val="19"/>
          <w:color w:val="auto"/>
        </w:rPr>
        <w:t>We recognize video, high-speed Internet, and phone revenues as service is provided. We manage credit risk by disconnecting services to customers who are delinquent. We recognize advertising sales revenue at estimated realizable values when the advertising is aired. Installation revenues obtained from the connection of subscribers to our broadband communications network are less than related direct selling costs. Therefore, such revenues are recognized as connections are completed. Revenues derived from other sources are recognized when services are provided or events occur. Under the terms of our franchise agreements, we are generally required to pay up to 5% of our gross revenues derived from providing cable services to the local franchising authority. We normally pass these fees through to our cable subscribers. We classify fees collected from cable subscribers as a component of revenues pursuant to EITF 01-14, “Income Statement Characterization of Reimbursements Received for ‘Out-of-Pocket’ Expenses Incurred.”</w:t>
      </w:r>
    </w:p>
    <w:p>
      <w:pPr>
        <w:spacing w:after="0" w:line="184" w:lineRule="exact"/>
        <w:rPr>
          <w:sz w:val="20"/>
          <w:szCs w:val="20"/>
          <w:color w:val="auto"/>
        </w:rPr>
      </w:pPr>
    </w:p>
    <w:p>
      <w:pPr>
        <w:ind w:left="460" w:right="300"/>
        <w:spacing w:after="0" w:line="236" w:lineRule="auto"/>
        <w:rPr>
          <w:sz w:val="20"/>
          <w:szCs w:val="20"/>
          <w:color w:val="auto"/>
        </w:rPr>
      </w:pPr>
      <w:r>
        <w:rPr>
          <w:rFonts w:ascii="Arial" w:cs="Arial" w:eastAsia="Arial" w:hAnsi="Arial"/>
          <w:sz w:val="22"/>
          <w:szCs w:val="22"/>
          <w:color w:val="auto"/>
        </w:rPr>
        <w:t>Our content businesses recognize affiliate fees from cable and satellite television system operators as programming is provided. Advertising revenue is recognized in the period in which commercial announcements or programs are telecast in accordance with the broadcast calendar. In certain instances, our content businesses guarantee viewer ratings for their programming. A liability for deferred revenue is provided for estimated shortfalls, which are primarily settled by providing additional advertising time.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ectPr>
          <w:pgSz w:w="11900" w:h="16904" w:orient="portrait"/>
          <w:cols w:equalWidth="0" w:num="1">
            <w:col w:w="11420"/>
          </w:cols>
          <w:pgMar w:left="240" w:top="118" w:right="239" w:bottom="0" w:gutter="0" w:footer="0" w:header="0"/>
        </w:sectPr>
      </w:pPr>
    </w:p>
    <w:bookmarkStart w:id="67" w:name="page68"/>
    <w:bookmarkEnd w:id="67"/>
    <w:p>
      <w:pPr>
        <w:ind w:left="460"/>
        <w:spacing w:after="0"/>
        <w:rPr>
          <w:sz w:val="20"/>
          <w:szCs w:val="20"/>
          <w:color w:val="auto"/>
        </w:rPr>
      </w:pPr>
      <w:r>
        <w:rPr>
          <w:rFonts w:ascii="Arial" w:cs="Arial" w:eastAsia="Arial" w:hAnsi="Arial"/>
          <w:sz w:val="22"/>
          <w:szCs w:val="22"/>
          <w:i w:val="1"/>
          <w:iCs w:val="1"/>
          <w:color w:val="auto"/>
        </w:rPr>
        <w:t>Programming Costs</w:t>
      </w:r>
    </w:p>
    <w:p>
      <w:pPr>
        <w:spacing w:after="0" w:line="9" w:lineRule="exact"/>
        <w:rPr>
          <w:sz w:val="20"/>
          <w:szCs w:val="20"/>
          <w:color w:val="auto"/>
        </w:rPr>
      </w:pPr>
    </w:p>
    <w:p>
      <w:pPr>
        <w:ind w:left="460" w:right="120"/>
        <w:spacing w:after="0" w:line="287" w:lineRule="auto"/>
        <w:rPr>
          <w:sz w:val="20"/>
          <w:szCs w:val="20"/>
          <w:color w:val="auto"/>
        </w:rPr>
      </w:pPr>
      <w:r>
        <w:rPr>
          <w:rFonts w:ascii="Arial" w:cs="Arial" w:eastAsia="Arial" w:hAnsi="Arial"/>
          <w:sz w:val="19"/>
          <w:szCs w:val="19"/>
          <w:color w:val="auto"/>
        </w:rPr>
        <w:t>Our cable subsidiaries have received or may receive distribution fees from programming networks for carriage of their programming. We reflect the deferred portion of these fees within noncurrent liabilities and recognize the fees as a reduction of programming costs (which are included in operating expenses) over the term of the programming contract.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Stock-Based Compensation</w:t>
      </w:r>
    </w:p>
    <w:p>
      <w:pPr>
        <w:spacing w:after="0" w:line="8" w:lineRule="exact"/>
        <w:rPr>
          <w:sz w:val="20"/>
          <w:szCs w:val="20"/>
          <w:color w:val="auto"/>
        </w:rPr>
      </w:pPr>
    </w:p>
    <w:p>
      <w:pPr>
        <w:ind w:left="460"/>
        <w:spacing w:after="0" w:line="244" w:lineRule="auto"/>
        <w:rPr>
          <w:rFonts w:ascii="Arial" w:cs="Arial" w:eastAsia="Arial" w:hAnsi="Arial"/>
          <w:sz w:val="21"/>
          <w:szCs w:val="21"/>
          <w:color w:val="auto"/>
        </w:rPr>
      </w:pPr>
      <w:r>
        <w:rPr>
          <w:rFonts w:ascii="Arial" w:cs="Arial" w:eastAsia="Arial" w:hAnsi="Arial"/>
          <w:sz w:val="21"/>
          <w:szCs w:val="21"/>
          <w:color w:val="auto"/>
        </w:rPr>
        <w:t xml:space="preserve">We account for stock-based compensation in accordance with Accounting Principles Board (“APB”) Opinion No. 25, “Accounting for Stock Issued to Employees,”and related interpretations, as permitted by SFAS No. 123, “Accounting for Stock-Based Compensation,” as amended. Compensation expense for stock options is measured as the excess, if any, of the quoted market price of our stock at the date of the grant over the amount an employee must pay to acquire the stock. We record compensation expense for restricted stock awards based on the quoted market price of our stock at the date of the grant and the vesting period. We record compensation expense for stock appreciation rights based on the changes in quoted market prices of our stock or other determinants of fair value (see </w:t>
      </w:r>
      <w:hyperlink w:anchor="page87">
        <w:r>
          <w:rPr>
            <w:rFonts w:ascii="Arial" w:cs="Arial" w:eastAsia="Arial" w:hAnsi="Arial"/>
            <w:sz w:val="21"/>
            <w:szCs w:val="21"/>
            <w:u w:val="single" w:color="auto"/>
            <w:color w:val="0000EE"/>
          </w:rPr>
          <w:t>Note 10</w:t>
        </w:r>
      </w:hyperlink>
      <w:r>
        <w:rPr>
          <w:rFonts w:ascii="Arial" w:cs="Arial" w:eastAsia="Arial" w:hAnsi="Arial"/>
          <w:sz w:val="21"/>
          <w:szCs w:val="21"/>
          <w:color w:val="auto"/>
        </w:rPr>
        <w:t>).</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right="20"/>
        <w:spacing w:after="0" w:line="248" w:lineRule="auto"/>
        <w:rPr>
          <w:sz w:val="20"/>
          <w:szCs w:val="20"/>
          <w:color w:val="auto"/>
        </w:rPr>
      </w:pPr>
      <w:r>
        <w:rPr>
          <w:rFonts w:ascii="Arial" w:cs="Arial" w:eastAsia="Arial" w:hAnsi="Arial"/>
          <w:sz w:val="21"/>
          <w:szCs w:val="21"/>
          <w:color w:val="auto"/>
        </w:rPr>
        <w:t>The following table illustrates the effect on net income (loss) and earnings (loss) per share if we had applied the fair value recognition provisions of SFAS No. 123 to stock-based compensation. Upon further analysis during 2003, it was determined that the expected option lives for options granted in prior years should have been 7 years rather than the 8 years used previously. The amounts in the table reflect this revision for all periods presented. Total stock-based compensation expense was determined under the fair value method for all awards using the accelerated recognition method as permitted under SFAS No. 123 (dollars in millions, except per share data):</w:t>
      </w:r>
    </w:p>
    <w:p>
      <w:pPr>
        <w:spacing w:after="0" w:line="195"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6240" w:type="dxa"/>
            <w:vAlign w:val="bottom"/>
          </w:tcPr>
          <w:p>
            <w:pPr>
              <w:spacing w:after="0"/>
              <w:rPr>
                <w:sz w:val="21"/>
                <w:szCs w:val="21"/>
                <w:color w:val="auto"/>
              </w:rPr>
            </w:pPr>
          </w:p>
        </w:tc>
        <w:tc>
          <w:tcPr>
            <w:tcW w:w="3640" w:type="dxa"/>
            <w:vAlign w:val="bottom"/>
            <w:gridSpan w:val="6"/>
          </w:tcPr>
          <w:p>
            <w:pPr>
              <w:jc w:val="center"/>
              <w:ind w:right="80"/>
              <w:spacing w:after="0"/>
              <w:rPr>
                <w:sz w:val="20"/>
                <w:szCs w:val="20"/>
                <w:color w:val="auto"/>
              </w:rPr>
            </w:pPr>
            <w:r>
              <w:rPr>
                <w:rFonts w:ascii="Arial" w:cs="Arial" w:eastAsia="Arial" w:hAnsi="Arial"/>
                <w:sz w:val="22"/>
                <w:szCs w:val="22"/>
                <w:color w:val="auto"/>
                <w:w w:val="87"/>
              </w:rPr>
              <w:t>Year Ended December 31,</w:t>
            </w:r>
          </w:p>
        </w:tc>
        <w:tc>
          <w:tcPr>
            <w:tcW w:w="0" w:type="dxa"/>
            <w:vAlign w:val="bottom"/>
          </w:tcPr>
          <w:p>
            <w:pPr>
              <w:spacing w:after="0"/>
              <w:rPr>
                <w:sz w:val="1"/>
                <w:szCs w:val="1"/>
                <w:color w:val="auto"/>
              </w:rPr>
            </w:pPr>
          </w:p>
        </w:tc>
      </w:tr>
      <w:tr>
        <w:trPr>
          <w:trHeight w:val="275"/>
        </w:trPr>
        <w:tc>
          <w:tcPr>
            <w:tcW w:w="624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2003</w:t>
            </w:r>
          </w:p>
        </w:tc>
        <w:tc>
          <w:tcPr>
            <w:tcW w:w="40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2002</w:t>
            </w:r>
          </w:p>
        </w:tc>
        <w:tc>
          <w:tcPr>
            <w:tcW w:w="420" w:type="dxa"/>
            <w:vAlign w:val="bottom"/>
          </w:tcPr>
          <w:p>
            <w:pPr>
              <w:spacing w:after="0"/>
              <w:rPr>
                <w:sz w:val="23"/>
                <w:szCs w:val="23"/>
                <w:color w:val="auto"/>
              </w:rPr>
            </w:pPr>
          </w:p>
        </w:tc>
        <w:tc>
          <w:tcPr>
            <w:tcW w:w="900" w:type="dxa"/>
            <w:vAlign w:val="bottom"/>
          </w:tcPr>
          <w:p>
            <w:pPr>
              <w:jc w:val="right"/>
              <w:ind w:right="132"/>
              <w:spacing w:after="0"/>
              <w:rPr>
                <w:sz w:val="20"/>
                <w:szCs w:val="20"/>
                <w:color w:val="auto"/>
              </w:rPr>
            </w:pPr>
            <w:r>
              <w:rPr>
                <w:rFonts w:ascii="Arial" w:cs="Arial" w:eastAsia="Arial" w:hAnsi="Arial"/>
                <w:sz w:val="22"/>
                <w:szCs w:val="22"/>
                <w:color w:val="auto"/>
              </w:rPr>
              <w:t>2001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62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6240" w:type="dxa"/>
            <w:vAlign w:val="bottom"/>
          </w:tcPr>
          <w:p>
            <w:pPr>
              <w:ind w:left="20"/>
              <w:spacing w:after="0"/>
              <w:rPr>
                <w:sz w:val="20"/>
                <w:szCs w:val="20"/>
                <w:color w:val="auto"/>
              </w:rPr>
            </w:pPr>
            <w:r>
              <w:rPr>
                <w:rFonts w:ascii="Arial" w:cs="Arial" w:eastAsia="Arial" w:hAnsi="Arial"/>
                <w:sz w:val="22"/>
                <w:szCs w:val="22"/>
                <w:color w:val="auto"/>
              </w:rPr>
              <w:t>Net income (loss), as reported</w:t>
            </w:r>
          </w:p>
        </w:tc>
        <w:tc>
          <w:tcPr>
            <w:tcW w:w="920" w:type="dxa"/>
            <w:vAlign w:val="bottom"/>
          </w:tcPr>
          <w:p>
            <w:pPr>
              <w:jc w:val="right"/>
              <w:spacing w:after="0"/>
              <w:rPr>
                <w:sz w:val="20"/>
                <w:szCs w:val="20"/>
                <w:color w:val="auto"/>
              </w:rPr>
            </w:pPr>
            <w:r>
              <w:rPr>
                <w:rFonts w:ascii="Arial" w:cs="Arial" w:eastAsia="Arial" w:hAnsi="Arial"/>
                <w:sz w:val="22"/>
                <w:szCs w:val="22"/>
                <w:color w:val="auto"/>
              </w:rPr>
              <w:t>$3,240</w:t>
            </w:r>
          </w:p>
        </w:tc>
        <w:tc>
          <w:tcPr>
            <w:tcW w:w="400" w:type="dxa"/>
            <w:vAlign w:val="bottom"/>
          </w:tcPr>
          <w:p>
            <w:pPr>
              <w:spacing w:after="0"/>
              <w:rPr>
                <w:sz w:val="24"/>
                <w:szCs w:val="2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22"/>
                <w:szCs w:val="22"/>
                <w:color w:val="auto"/>
              </w:rPr>
              <w:t>($274)</w:t>
            </w:r>
          </w:p>
        </w:tc>
        <w:tc>
          <w:tcPr>
            <w:tcW w:w="900" w:type="dxa"/>
            <w:vAlign w:val="bottom"/>
          </w:tcPr>
          <w:p>
            <w:pPr>
              <w:jc w:val="right"/>
              <w:spacing w:after="0"/>
              <w:rPr>
                <w:sz w:val="20"/>
                <w:szCs w:val="20"/>
                <w:color w:val="auto"/>
              </w:rPr>
            </w:pPr>
            <w:r>
              <w:rPr>
                <w:rFonts w:ascii="Arial" w:cs="Arial" w:eastAsia="Arial" w:hAnsi="Arial"/>
                <w:sz w:val="22"/>
                <w:szCs w:val="22"/>
                <w:color w:val="auto"/>
              </w:rPr>
              <w:t>$609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line="243" w:lineRule="exact"/>
              <w:rPr>
                <w:sz w:val="20"/>
                <w:szCs w:val="20"/>
                <w:color w:val="auto"/>
              </w:rPr>
            </w:pPr>
            <w:r>
              <w:rPr>
                <w:rFonts w:ascii="Arial" w:cs="Arial" w:eastAsia="Arial" w:hAnsi="Arial"/>
                <w:sz w:val="22"/>
                <w:szCs w:val="22"/>
                <w:color w:val="auto"/>
              </w:rPr>
              <w:t>Add: Total stock-based compensation expense</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80"/>
              <w:spacing w:after="0" w:line="243" w:lineRule="exact"/>
              <w:rPr>
                <w:sz w:val="20"/>
                <w:szCs w:val="20"/>
                <w:color w:val="auto"/>
              </w:rPr>
            </w:pPr>
            <w:r>
              <w:rPr>
                <w:rFonts w:ascii="Arial" w:cs="Arial" w:eastAsia="Arial" w:hAnsi="Arial"/>
                <w:sz w:val="22"/>
                <w:szCs w:val="22"/>
                <w:color w:val="auto"/>
              </w:rPr>
              <w:t>included in net income (loss), as reported above</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400" w:type="dxa"/>
            <w:vAlign w:val="bottom"/>
          </w:tcPr>
          <w:p>
            <w:pPr>
              <w:spacing w:after="0"/>
              <w:rPr>
                <w:sz w:val="21"/>
                <w:szCs w:val="21"/>
                <w:color w:val="auto"/>
              </w:rPr>
            </w:pPr>
          </w:p>
        </w:tc>
        <w:tc>
          <w:tcPr>
            <w:tcW w:w="1340" w:type="dxa"/>
            <w:vAlign w:val="bottom"/>
            <w:gridSpan w:val="2"/>
          </w:tcPr>
          <w:p>
            <w:pPr>
              <w:jc w:val="right"/>
              <w:ind w:right="420"/>
              <w:spacing w:after="0" w:line="243" w:lineRule="exact"/>
              <w:rPr>
                <w:sz w:val="20"/>
                <w:szCs w:val="20"/>
                <w:color w:val="auto"/>
              </w:rPr>
            </w:pPr>
            <w:r>
              <w:rPr>
                <w:rFonts w:ascii="Arial" w:cs="Arial" w:eastAsia="Arial" w:hAnsi="Arial"/>
                <w:sz w:val="22"/>
                <w:szCs w:val="22"/>
                <w:color w:val="auto"/>
              </w:rPr>
              <w:t>11</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line="243" w:lineRule="exact"/>
              <w:rPr>
                <w:sz w:val="20"/>
                <w:szCs w:val="20"/>
                <w:color w:val="auto"/>
              </w:rPr>
            </w:pPr>
            <w:r>
              <w:rPr>
                <w:rFonts w:ascii="Arial" w:cs="Arial" w:eastAsia="Arial" w:hAnsi="Arial"/>
                <w:sz w:val="22"/>
                <w:szCs w:val="22"/>
                <w:color w:val="auto"/>
              </w:rPr>
              <w:t>Deduct: Total stock-based compensation</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80"/>
              <w:spacing w:after="0" w:line="243" w:lineRule="exact"/>
              <w:rPr>
                <w:sz w:val="20"/>
                <w:szCs w:val="20"/>
                <w:color w:val="auto"/>
              </w:rPr>
            </w:pPr>
            <w:r>
              <w:rPr>
                <w:rFonts w:ascii="Arial" w:cs="Arial" w:eastAsia="Arial" w:hAnsi="Arial"/>
                <w:sz w:val="22"/>
                <w:szCs w:val="22"/>
                <w:color w:val="auto"/>
              </w:rPr>
              <w:t>expense determined under fair value based method</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80"/>
              <w:spacing w:after="0" w:line="243" w:lineRule="exact"/>
              <w:rPr>
                <w:sz w:val="20"/>
                <w:szCs w:val="20"/>
                <w:color w:val="auto"/>
              </w:rPr>
            </w:pPr>
            <w:r>
              <w:rPr>
                <w:rFonts w:ascii="Arial" w:cs="Arial" w:eastAsia="Arial" w:hAnsi="Arial"/>
                <w:sz w:val="22"/>
                <w:szCs w:val="22"/>
                <w:color w:val="auto"/>
              </w:rPr>
              <w:t>for all awards relating to continuing operations, net of</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80"/>
              <w:spacing w:after="0" w:line="243" w:lineRule="exact"/>
              <w:rPr>
                <w:sz w:val="20"/>
                <w:szCs w:val="20"/>
                <w:color w:val="auto"/>
              </w:rPr>
            </w:pPr>
            <w:r>
              <w:rPr>
                <w:rFonts w:ascii="Arial" w:cs="Arial" w:eastAsia="Arial" w:hAnsi="Arial"/>
                <w:sz w:val="22"/>
                <w:szCs w:val="22"/>
                <w:color w:val="auto"/>
              </w:rPr>
              <w:t>related tax effects</w:t>
            </w:r>
          </w:p>
        </w:tc>
        <w:tc>
          <w:tcPr>
            <w:tcW w:w="1320" w:type="dxa"/>
            <w:vAlign w:val="bottom"/>
            <w:gridSpan w:val="2"/>
          </w:tcPr>
          <w:p>
            <w:pPr>
              <w:jc w:val="right"/>
              <w:ind w:right="320"/>
              <w:spacing w:after="0" w:line="243" w:lineRule="exact"/>
              <w:rPr>
                <w:sz w:val="20"/>
                <w:szCs w:val="20"/>
                <w:color w:val="auto"/>
              </w:rPr>
            </w:pPr>
            <w:r>
              <w:rPr>
                <w:rFonts w:ascii="Arial" w:cs="Arial" w:eastAsia="Arial" w:hAnsi="Arial"/>
                <w:sz w:val="22"/>
                <w:szCs w:val="22"/>
                <w:color w:val="auto"/>
              </w:rPr>
              <w:t>(160)</w:t>
            </w:r>
          </w:p>
        </w:tc>
        <w:tc>
          <w:tcPr>
            <w:tcW w:w="134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(126)</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(110)</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line="243" w:lineRule="exact"/>
              <w:rPr>
                <w:sz w:val="20"/>
                <w:szCs w:val="20"/>
                <w:color w:val="auto"/>
              </w:rPr>
            </w:pPr>
            <w:r>
              <w:rPr>
                <w:rFonts w:ascii="Arial" w:cs="Arial" w:eastAsia="Arial" w:hAnsi="Arial"/>
                <w:sz w:val="22"/>
                <w:szCs w:val="22"/>
                <w:color w:val="auto"/>
              </w:rPr>
              <w:t>Deduct: Total stock-based compensation expense determined</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80"/>
              <w:spacing w:after="0" w:line="243" w:lineRule="exact"/>
              <w:rPr>
                <w:sz w:val="20"/>
                <w:szCs w:val="20"/>
                <w:color w:val="auto"/>
              </w:rPr>
            </w:pPr>
            <w:r>
              <w:rPr>
                <w:rFonts w:ascii="Arial" w:cs="Arial" w:eastAsia="Arial" w:hAnsi="Arial"/>
                <w:sz w:val="22"/>
                <w:szCs w:val="22"/>
                <w:color w:val="auto"/>
              </w:rPr>
              <w:t>under fair value based method for all awards relating to</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240" w:type="dxa"/>
            <w:vAlign w:val="bottom"/>
          </w:tcPr>
          <w:p>
            <w:pPr>
              <w:ind w:left="280"/>
              <w:spacing w:after="0"/>
              <w:rPr>
                <w:sz w:val="20"/>
                <w:szCs w:val="20"/>
                <w:color w:val="auto"/>
              </w:rPr>
            </w:pPr>
            <w:r>
              <w:rPr>
                <w:rFonts w:ascii="Arial" w:cs="Arial" w:eastAsia="Arial" w:hAnsi="Arial"/>
                <w:sz w:val="22"/>
                <w:szCs w:val="22"/>
                <w:color w:val="auto"/>
              </w:rPr>
              <w:t>discontinued operations, net of related tax effects</w:t>
            </w:r>
          </w:p>
        </w:tc>
        <w:tc>
          <w:tcPr>
            <w:tcW w:w="1320" w:type="dxa"/>
            <w:vAlign w:val="bottom"/>
            <w:gridSpan w:val="2"/>
          </w:tcPr>
          <w:p>
            <w:pPr>
              <w:jc w:val="right"/>
              <w:ind w:right="320"/>
              <w:spacing w:after="0"/>
              <w:rPr>
                <w:sz w:val="20"/>
                <w:szCs w:val="20"/>
                <w:color w:val="auto"/>
              </w:rPr>
            </w:pPr>
            <w:r>
              <w:rPr>
                <w:rFonts w:ascii="Arial" w:cs="Arial" w:eastAsia="Arial" w:hAnsi="Arial"/>
                <w:sz w:val="22"/>
                <w:szCs w:val="22"/>
                <w:color w:val="auto"/>
              </w:rPr>
              <w:t>(12)</w:t>
            </w:r>
          </w:p>
        </w:tc>
        <w:tc>
          <w:tcPr>
            <w:tcW w:w="1340" w:type="dxa"/>
            <w:vAlign w:val="bottom"/>
            <w:gridSpan w:val="2"/>
          </w:tcPr>
          <w:p>
            <w:pPr>
              <w:jc w:val="right"/>
              <w:ind w:right="340"/>
              <w:spacing w:after="0"/>
              <w:rPr>
                <w:sz w:val="20"/>
                <w:szCs w:val="20"/>
                <w:color w:val="auto"/>
              </w:rPr>
            </w:pPr>
            <w:r>
              <w:rPr>
                <w:rFonts w:ascii="Arial" w:cs="Arial" w:eastAsia="Arial" w:hAnsi="Arial"/>
                <w:sz w:val="22"/>
                <w:szCs w:val="22"/>
                <w:color w:val="auto"/>
              </w:rPr>
              <w:t>(19)</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98"/>
        </w:trPr>
        <w:tc>
          <w:tcPr>
            <w:tcW w:w="62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6240" w:type="dxa"/>
            <w:vAlign w:val="bottom"/>
          </w:tcPr>
          <w:p>
            <w:pPr>
              <w:ind w:left="20"/>
              <w:spacing w:after="0"/>
              <w:rPr>
                <w:sz w:val="20"/>
                <w:szCs w:val="20"/>
                <w:color w:val="auto"/>
              </w:rPr>
            </w:pPr>
            <w:r>
              <w:rPr>
                <w:rFonts w:ascii="Arial" w:cs="Arial" w:eastAsia="Arial" w:hAnsi="Arial"/>
                <w:sz w:val="22"/>
                <w:szCs w:val="22"/>
                <w:color w:val="auto"/>
              </w:rPr>
              <w:t>Pro forma, net income (loss)</w:t>
            </w:r>
          </w:p>
        </w:tc>
        <w:tc>
          <w:tcPr>
            <w:tcW w:w="920" w:type="dxa"/>
            <w:vAlign w:val="bottom"/>
          </w:tcPr>
          <w:p>
            <w:pPr>
              <w:jc w:val="right"/>
              <w:spacing w:after="0"/>
              <w:rPr>
                <w:sz w:val="20"/>
                <w:szCs w:val="20"/>
                <w:color w:val="auto"/>
              </w:rPr>
            </w:pPr>
            <w:r>
              <w:rPr>
                <w:rFonts w:ascii="Arial" w:cs="Arial" w:eastAsia="Arial" w:hAnsi="Arial"/>
                <w:sz w:val="22"/>
                <w:szCs w:val="22"/>
                <w:color w:val="auto"/>
              </w:rPr>
              <w:t>$3,078</w:t>
            </w:r>
          </w:p>
        </w:tc>
        <w:tc>
          <w:tcPr>
            <w:tcW w:w="400" w:type="dxa"/>
            <w:vAlign w:val="bottom"/>
          </w:tcPr>
          <w:p>
            <w:pPr>
              <w:spacing w:after="0"/>
              <w:rPr>
                <w:sz w:val="24"/>
                <w:szCs w:val="2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22"/>
                <w:szCs w:val="22"/>
                <w:color w:val="auto"/>
              </w:rPr>
              <w:t>($408)</w:t>
            </w:r>
          </w:p>
        </w:tc>
        <w:tc>
          <w:tcPr>
            <w:tcW w:w="900" w:type="dxa"/>
            <w:vAlign w:val="bottom"/>
          </w:tcPr>
          <w:p>
            <w:pPr>
              <w:jc w:val="right"/>
              <w:spacing w:after="0"/>
              <w:rPr>
                <w:sz w:val="20"/>
                <w:szCs w:val="20"/>
                <w:color w:val="auto"/>
              </w:rPr>
            </w:pPr>
            <w:r>
              <w:rPr>
                <w:rFonts w:ascii="Arial" w:cs="Arial" w:eastAsia="Arial" w:hAnsi="Arial"/>
                <w:sz w:val="22"/>
                <w:szCs w:val="22"/>
                <w:color w:val="auto"/>
              </w:rPr>
              <w:t>$492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240" w:type="dxa"/>
            <w:vAlign w:val="bottom"/>
            <w:vMerge w:val="restart"/>
          </w:tcPr>
          <w:p>
            <w:pPr>
              <w:ind w:left="20"/>
              <w:spacing w:after="0"/>
              <w:rPr>
                <w:sz w:val="20"/>
                <w:szCs w:val="20"/>
                <w:color w:val="auto"/>
              </w:rPr>
            </w:pPr>
            <w:r>
              <w:rPr>
                <w:rFonts w:ascii="Arial" w:cs="Arial" w:eastAsia="Arial" w:hAnsi="Arial"/>
                <w:sz w:val="22"/>
                <w:szCs w:val="22"/>
                <w:color w:val="auto"/>
              </w:rPr>
              <w:t>Basic earnings (loss) from continuing operations before</w:t>
            </w:r>
          </w:p>
        </w:tc>
        <w:tc>
          <w:tcPr>
            <w:tcW w:w="9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0"/>
        </w:trPr>
        <w:tc>
          <w:tcPr>
            <w:tcW w:w="62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line="243" w:lineRule="exact"/>
              <w:rPr>
                <w:sz w:val="20"/>
                <w:szCs w:val="20"/>
                <w:color w:val="auto"/>
              </w:rPr>
            </w:pPr>
            <w:r>
              <w:rPr>
                <w:rFonts w:ascii="Arial" w:cs="Arial" w:eastAsia="Arial" w:hAnsi="Arial"/>
                <w:sz w:val="22"/>
                <w:szCs w:val="22"/>
                <w:color w:val="auto"/>
                <w:w w:val="98"/>
              </w:rPr>
              <w:t>cumulative effect of accounting change for common stockholders</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line="243" w:lineRule="exact"/>
              <w:rPr>
                <w:sz w:val="20"/>
                <w:szCs w:val="20"/>
                <w:color w:val="auto"/>
              </w:rPr>
            </w:pPr>
            <w:r>
              <w:rPr>
                <w:rFonts w:ascii="Arial" w:cs="Arial" w:eastAsia="Arial" w:hAnsi="Arial"/>
                <w:sz w:val="22"/>
                <w:szCs w:val="22"/>
                <w:color w:val="auto"/>
              </w:rPr>
              <w:t>per common share:</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80"/>
              <w:spacing w:after="0" w:line="243" w:lineRule="exact"/>
              <w:rPr>
                <w:sz w:val="20"/>
                <w:szCs w:val="20"/>
                <w:color w:val="auto"/>
              </w:rPr>
            </w:pPr>
            <w:r>
              <w:rPr>
                <w:rFonts w:ascii="Arial" w:cs="Arial" w:eastAsia="Arial" w:hAnsi="Arial"/>
                <w:sz w:val="22"/>
                <w:szCs w:val="22"/>
                <w:color w:val="auto"/>
              </w:rPr>
              <w:t>As reported</w:t>
            </w:r>
          </w:p>
        </w:tc>
        <w:tc>
          <w:tcPr>
            <w:tcW w:w="1320" w:type="dxa"/>
            <w:vAlign w:val="bottom"/>
            <w:gridSpan w:val="2"/>
          </w:tcPr>
          <w:p>
            <w:pPr>
              <w:jc w:val="right"/>
              <w:ind w:right="320"/>
              <w:spacing w:after="0" w:line="243" w:lineRule="exact"/>
              <w:rPr>
                <w:sz w:val="20"/>
                <w:szCs w:val="20"/>
                <w:color w:val="auto"/>
              </w:rPr>
            </w:pPr>
            <w:r>
              <w:rPr>
                <w:rFonts w:ascii="Arial" w:cs="Arial" w:eastAsia="Arial" w:hAnsi="Arial"/>
                <w:sz w:val="22"/>
                <w:szCs w:val="22"/>
                <w:color w:val="auto"/>
              </w:rPr>
              <w:t>($0.10)</w:t>
            </w:r>
          </w:p>
        </w:tc>
        <w:tc>
          <w:tcPr>
            <w:tcW w:w="134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($0.42)</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240" w:type="dxa"/>
            <w:vAlign w:val="bottom"/>
          </w:tcPr>
          <w:p>
            <w:pPr>
              <w:ind w:left="280"/>
              <w:spacing w:after="0"/>
              <w:rPr>
                <w:sz w:val="20"/>
                <w:szCs w:val="20"/>
                <w:color w:val="auto"/>
              </w:rPr>
            </w:pPr>
            <w:r>
              <w:rPr>
                <w:rFonts w:ascii="Arial" w:cs="Arial" w:eastAsia="Arial" w:hAnsi="Arial"/>
                <w:sz w:val="22"/>
                <w:szCs w:val="22"/>
                <w:color w:val="auto"/>
              </w:rPr>
              <w:t>Pro forma</w:t>
            </w:r>
          </w:p>
        </w:tc>
        <w:tc>
          <w:tcPr>
            <w:tcW w:w="1320" w:type="dxa"/>
            <w:vAlign w:val="bottom"/>
            <w:gridSpan w:val="2"/>
          </w:tcPr>
          <w:p>
            <w:pPr>
              <w:jc w:val="right"/>
              <w:ind w:right="320"/>
              <w:spacing w:after="0"/>
              <w:rPr>
                <w:sz w:val="20"/>
                <w:szCs w:val="20"/>
                <w:color w:val="auto"/>
              </w:rPr>
            </w:pPr>
            <w:r>
              <w:rPr>
                <w:rFonts w:ascii="Arial" w:cs="Arial" w:eastAsia="Arial" w:hAnsi="Arial"/>
                <w:sz w:val="22"/>
                <w:szCs w:val="22"/>
                <w:color w:val="auto"/>
              </w:rPr>
              <w:t>($0.16)</w:t>
            </w:r>
          </w:p>
        </w:tc>
        <w:tc>
          <w:tcPr>
            <w:tcW w:w="1340" w:type="dxa"/>
            <w:vAlign w:val="bottom"/>
            <w:gridSpan w:val="2"/>
          </w:tcPr>
          <w:p>
            <w:pPr>
              <w:jc w:val="right"/>
              <w:ind w:right="340"/>
              <w:spacing w:after="0"/>
              <w:rPr>
                <w:sz w:val="20"/>
                <w:szCs w:val="20"/>
                <w:color w:val="auto"/>
              </w:rPr>
            </w:pPr>
            <w:r>
              <w:rPr>
                <w:rFonts w:ascii="Arial" w:cs="Arial" w:eastAsia="Arial" w:hAnsi="Arial"/>
                <w:sz w:val="22"/>
                <w:szCs w:val="22"/>
                <w:color w:val="auto"/>
              </w:rPr>
              <w:t>($0.53)</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($0.10)</w:t>
            </w:r>
          </w:p>
        </w:tc>
        <w:tc>
          <w:tcPr>
            <w:tcW w:w="0" w:type="dxa"/>
            <w:vAlign w:val="bottom"/>
          </w:tcPr>
          <w:p>
            <w:pPr>
              <w:spacing w:after="0"/>
              <w:rPr>
                <w:sz w:val="1"/>
                <w:szCs w:val="1"/>
                <w:color w:val="auto"/>
              </w:rPr>
            </w:pPr>
          </w:p>
        </w:tc>
      </w:tr>
      <w:tr>
        <w:trPr>
          <w:trHeight w:val="455"/>
        </w:trPr>
        <w:tc>
          <w:tcPr>
            <w:tcW w:w="6240" w:type="dxa"/>
            <w:vAlign w:val="bottom"/>
          </w:tcPr>
          <w:p>
            <w:pPr>
              <w:ind w:left="20"/>
              <w:spacing w:after="0"/>
              <w:rPr>
                <w:sz w:val="20"/>
                <w:szCs w:val="20"/>
                <w:color w:val="auto"/>
              </w:rPr>
            </w:pPr>
            <w:r>
              <w:rPr>
                <w:rFonts w:ascii="Arial" w:cs="Arial" w:eastAsia="Arial" w:hAnsi="Arial"/>
                <w:sz w:val="22"/>
                <w:szCs w:val="22"/>
                <w:color w:val="auto"/>
              </w:rPr>
              <w:t>Diluted earnings (loss) from continuing operations before</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line="243" w:lineRule="exact"/>
              <w:rPr>
                <w:sz w:val="20"/>
                <w:szCs w:val="20"/>
                <w:color w:val="auto"/>
              </w:rPr>
            </w:pPr>
            <w:r>
              <w:rPr>
                <w:rFonts w:ascii="Arial" w:cs="Arial" w:eastAsia="Arial" w:hAnsi="Arial"/>
                <w:sz w:val="22"/>
                <w:szCs w:val="22"/>
                <w:color w:val="auto"/>
                <w:w w:val="98"/>
              </w:rPr>
              <w:t>cumulative effect of accounting change for common stockholders</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line="243" w:lineRule="exact"/>
              <w:rPr>
                <w:sz w:val="20"/>
                <w:szCs w:val="20"/>
                <w:color w:val="auto"/>
              </w:rPr>
            </w:pPr>
            <w:r>
              <w:rPr>
                <w:rFonts w:ascii="Arial" w:cs="Arial" w:eastAsia="Arial" w:hAnsi="Arial"/>
                <w:sz w:val="22"/>
                <w:szCs w:val="22"/>
                <w:color w:val="auto"/>
              </w:rPr>
              <w:t>per common share:</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80"/>
              <w:spacing w:after="0" w:line="243" w:lineRule="exact"/>
              <w:rPr>
                <w:sz w:val="20"/>
                <w:szCs w:val="20"/>
                <w:color w:val="auto"/>
              </w:rPr>
            </w:pPr>
            <w:r>
              <w:rPr>
                <w:rFonts w:ascii="Arial" w:cs="Arial" w:eastAsia="Arial" w:hAnsi="Arial"/>
                <w:sz w:val="22"/>
                <w:szCs w:val="22"/>
                <w:color w:val="auto"/>
              </w:rPr>
              <w:t>As reported</w:t>
            </w:r>
          </w:p>
        </w:tc>
        <w:tc>
          <w:tcPr>
            <w:tcW w:w="1320" w:type="dxa"/>
            <w:vAlign w:val="bottom"/>
            <w:gridSpan w:val="2"/>
          </w:tcPr>
          <w:p>
            <w:pPr>
              <w:jc w:val="right"/>
              <w:ind w:right="320"/>
              <w:spacing w:after="0" w:line="243" w:lineRule="exact"/>
              <w:rPr>
                <w:sz w:val="20"/>
                <w:szCs w:val="20"/>
                <w:color w:val="auto"/>
              </w:rPr>
            </w:pPr>
            <w:r>
              <w:rPr>
                <w:rFonts w:ascii="Arial" w:cs="Arial" w:eastAsia="Arial" w:hAnsi="Arial"/>
                <w:sz w:val="22"/>
                <w:szCs w:val="22"/>
                <w:color w:val="auto"/>
              </w:rPr>
              <w:t>($0.10)</w:t>
            </w:r>
          </w:p>
        </w:tc>
        <w:tc>
          <w:tcPr>
            <w:tcW w:w="134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($0.42)</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240" w:type="dxa"/>
            <w:vAlign w:val="bottom"/>
          </w:tcPr>
          <w:p>
            <w:pPr>
              <w:ind w:left="280"/>
              <w:spacing w:after="0"/>
              <w:rPr>
                <w:sz w:val="20"/>
                <w:szCs w:val="20"/>
                <w:color w:val="auto"/>
              </w:rPr>
            </w:pPr>
            <w:r>
              <w:rPr>
                <w:rFonts w:ascii="Arial" w:cs="Arial" w:eastAsia="Arial" w:hAnsi="Arial"/>
                <w:sz w:val="22"/>
                <w:szCs w:val="22"/>
                <w:color w:val="auto"/>
              </w:rPr>
              <w:t>Pro forma</w:t>
            </w:r>
          </w:p>
        </w:tc>
        <w:tc>
          <w:tcPr>
            <w:tcW w:w="1320" w:type="dxa"/>
            <w:vAlign w:val="bottom"/>
            <w:gridSpan w:val="2"/>
          </w:tcPr>
          <w:p>
            <w:pPr>
              <w:jc w:val="right"/>
              <w:ind w:right="320"/>
              <w:spacing w:after="0"/>
              <w:rPr>
                <w:sz w:val="20"/>
                <w:szCs w:val="20"/>
                <w:color w:val="auto"/>
              </w:rPr>
            </w:pPr>
            <w:r>
              <w:rPr>
                <w:rFonts w:ascii="Arial" w:cs="Arial" w:eastAsia="Arial" w:hAnsi="Arial"/>
                <w:sz w:val="22"/>
                <w:szCs w:val="22"/>
                <w:color w:val="auto"/>
              </w:rPr>
              <w:t>($0.16)</w:t>
            </w:r>
          </w:p>
        </w:tc>
        <w:tc>
          <w:tcPr>
            <w:tcW w:w="1340" w:type="dxa"/>
            <w:vAlign w:val="bottom"/>
            <w:gridSpan w:val="2"/>
          </w:tcPr>
          <w:p>
            <w:pPr>
              <w:jc w:val="right"/>
              <w:ind w:right="340"/>
              <w:spacing w:after="0"/>
              <w:rPr>
                <w:sz w:val="20"/>
                <w:szCs w:val="20"/>
                <w:color w:val="auto"/>
              </w:rPr>
            </w:pPr>
            <w:r>
              <w:rPr>
                <w:rFonts w:ascii="Arial" w:cs="Arial" w:eastAsia="Arial" w:hAnsi="Arial"/>
                <w:sz w:val="22"/>
                <w:szCs w:val="22"/>
                <w:color w:val="auto"/>
              </w:rPr>
              <w:t>($0.53)</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($0.10)</w:t>
            </w:r>
          </w:p>
        </w:tc>
        <w:tc>
          <w:tcPr>
            <w:tcW w:w="0" w:type="dxa"/>
            <w:vAlign w:val="bottom"/>
          </w:tcPr>
          <w:p>
            <w:pPr>
              <w:spacing w:after="0"/>
              <w:rPr>
                <w:sz w:val="1"/>
                <w:szCs w:val="1"/>
                <w:color w:val="auto"/>
              </w:rPr>
            </w:pPr>
          </w:p>
        </w:tc>
      </w:tr>
      <w:tr>
        <w:trPr>
          <w:trHeight w:val="455"/>
        </w:trPr>
        <w:tc>
          <w:tcPr>
            <w:tcW w:w="6240" w:type="dxa"/>
            <w:vAlign w:val="bottom"/>
          </w:tcPr>
          <w:p>
            <w:pPr>
              <w:ind w:left="20"/>
              <w:spacing w:after="0"/>
              <w:rPr>
                <w:sz w:val="20"/>
                <w:szCs w:val="20"/>
                <w:color w:val="auto"/>
              </w:rPr>
            </w:pPr>
            <w:r>
              <w:rPr>
                <w:rFonts w:ascii="Arial" w:cs="Arial" w:eastAsia="Arial" w:hAnsi="Arial"/>
                <w:sz w:val="22"/>
                <w:szCs w:val="22"/>
                <w:color w:val="auto"/>
              </w:rPr>
              <w:t>Basic earnings (loss) for common stockholders per</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line="243" w:lineRule="exact"/>
              <w:rPr>
                <w:sz w:val="20"/>
                <w:szCs w:val="20"/>
                <w:color w:val="auto"/>
              </w:rPr>
            </w:pPr>
            <w:r>
              <w:rPr>
                <w:rFonts w:ascii="Arial" w:cs="Arial" w:eastAsia="Arial" w:hAnsi="Arial"/>
                <w:sz w:val="22"/>
                <w:szCs w:val="22"/>
                <w:color w:val="auto"/>
              </w:rPr>
              <w:t>common share:</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80"/>
              <w:spacing w:after="0" w:line="243" w:lineRule="exact"/>
              <w:rPr>
                <w:sz w:val="20"/>
                <w:szCs w:val="20"/>
                <w:color w:val="auto"/>
              </w:rPr>
            </w:pPr>
            <w:r>
              <w:rPr>
                <w:rFonts w:ascii="Arial" w:cs="Arial" w:eastAsia="Arial" w:hAnsi="Arial"/>
                <w:sz w:val="22"/>
                <w:szCs w:val="22"/>
                <w:color w:val="auto"/>
              </w:rPr>
              <w:t>As reported</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$1.44</w:t>
            </w:r>
          </w:p>
        </w:tc>
        <w:tc>
          <w:tcPr>
            <w:tcW w:w="400" w:type="dxa"/>
            <w:vAlign w:val="bottom"/>
          </w:tcPr>
          <w:p>
            <w:pPr>
              <w:spacing w:after="0"/>
              <w:rPr>
                <w:sz w:val="21"/>
                <w:szCs w:val="21"/>
                <w:color w:val="auto"/>
              </w:rPr>
            </w:pPr>
          </w:p>
        </w:tc>
        <w:tc>
          <w:tcPr>
            <w:tcW w:w="134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($0.25)</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$0.64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240" w:type="dxa"/>
            <w:vAlign w:val="bottom"/>
          </w:tcPr>
          <w:p>
            <w:pPr>
              <w:ind w:left="280"/>
              <w:spacing w:after="0"/>
              <w:rPr>
                <w:sz w:val="20"/>
                <w:szCs w:val="20"/>
                <w:color w:val="auto"/>
              </w:rPr>
            </w:pPr>
            <w:r>
              <w:rPr>
                <w:rFonts w:ascii="Arial" w:cs="Arial" w:eastAsia="Arial" w:hAnsi="Arial"/>
                <w:sz w:val="22"/>
                <w:szCs w:val="22"/>
                <w:color w:val="auto"/>
              </w:rPr>
              <w:t>Pro forma</w:t>
            </w:r>
          </w:p>
        </w:tc>
        <w:tc>
          <w:tcPr>
            <w:tcW w:w="920" w:type="dxa"/>
            <w:vAlign w:val="bottom"/>
          </w:tcPr>
          <w:p>
            <w:pPr>
              <w:jc w:val="right"/>
              <w:spacing w:after="0"/>
              <w:rPr>
                <w:sz w:val="20"/>
                <w:szCs w:val="20"/>
                <w:color w:val="auto"/>
              </w:rPr>
            </w:pPr>
            <w:r>
              <w:rPr>
                <w:rFonts w:ascii="Arial" w:cs="Arial" w:eastAsia="Arial" w:hAnsi="Arial"/>
                <w:sz w:val="22"/>
                <w:szCs w:val="22"/>
                <w:color w:val="auto"/>
              </w:rPr>
              <w:t>$1.36</w:t>
            </w:r>
          </w:p>
        </w:tc>
        <w:tc>
          <w:tcPr>
            <w:tcW w:w="400" w:type="dxa"/>
            <w:vAlign w:val="bottom"/>
          </w:tcPr>
          <w:p>
            <w:pPr>
              <w:spacing w:after="0"/>
              <w:rPr>
                <w:sz w:val="23"/>
                <w:szCs w:val="23"/>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22"/>
                <w:szCs w:val="22"/>
                <w:color w:val="auto"/>
              </w:rPr>
              <w:t>($0.37)</w:t>
            </w:r>
          </w:p>
        </w:tc>
        <w:tc>
          <w:tcPr>
            <w:tcW w:w="900" w:type="dxa"/>
            <w:vAlign w:val="bottom"/>
          </w:tcPr>
          <w:p>
            <w:pPr>
              <w:jc w:val="right"/>
              <w:spacing w:after="0"/>
              <w:rPr>
                <w:sz w:val="20"/>
                <w:szCs w:val="20"/>
                <w:color w:val="auto"/>
              </w:rPr>
            </w:pPr>
            <w:r>
              <w:rPr>
                <w:rFonts w:ascii="Arial" w:cs="Arial" w:eastAsia="Arial" w:hAnsi="Arial"/>
                <w:sz w:val="22"/>
                <w:szCs w:val="22"/>
                <w:color w:val="auto"/>
              </w:rPr>
              <w:t>$0.52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6240" w:type="dxa"/>
            <w:vAlign w:val="bottom"/>
          </w:tcPr>
          <w:p>
            <w:pPr>
              <w:ind w:left="20"/>
              <w:spacing w:after="0"/>
              <w:rPr>
                <w:sz w:val="20"/>
                <w:szCs w:val="20"/>
                <w:color w:val="auto"/>
              </w:rPr>
            </w:pPr>
            <w:r>
              <w:rPr>
                <w:rFonts w:ascii="Arial" w:cs="Arial" w:eastAsia="Arial" w:hAnsi="Arial"/>
                <w:sz w:val="22"/>
                <w:szCs w:val="22"/>
                <w:color w:val="auto"/>
              </w:rPr>
              <w:t>Diluted earnings (loss) for common stockholders per</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line="243" w:lineRule="exact"/>
              <w:rPr>
                <w:sz w:val="20"/>
                <w:szCs w:val="20"/>
                <w:color w:val="auto"/>
              </w:rPr>
            </w:pPr>
            <w:r>
              <w:rPr>
                <w:rFonts w:ascii="Arial" w:cs="Arial" w:eastAsia="Arial" w:hAnsi="Arial"/>
                <w:sz w:val="22"/>
                <w:szCs w:val="22"/>
                <w:color w:val="auto"/>
              </w:rPr>
              <w:t>common share:</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240" w:type="dxa"/>
            <w:vAlign w:val="bottom"/>
          </w:tcPr>
          <w:p>
            <w:pPr>
              <w:ind w:left="280"/>
              <w:spacing w:after="0"/>
              <w:rPr>
                <w:sz w:val="20"/>
                <w:szCs w:val="20"/>
                <w:color w:val="auto"/>
              </w:rPr>
            </w:pPr>
            <w:r>
              <w:rPr>
                <w:rFonts w:ascii="Arial" w:cs="Arial" w:eastAsia="Arial" w:hAnsi="Arial"/>
                <w:sz w:val="22"/>
                <w:szCs w:val="22"/>
                <w:color w:val="auto"/>
              </w:rPr>
              <w:t>As reported</w:t>
            </w:r>
          </w:p>
        </w:tc>
        <w:tc>
          <w:tcPr>
            <w:tcW w:w="920" w:type="dxa"/>
            <w:vAlign w:val="bottom"/>
          </w:tcPr>
          <w:p>
            <w:pPr>
              <w:jc w:val="right"/>
              <w:spacing w:after="0"/>
              <w:rPr>
                <w:sz w:val="20"/>
                <w:szCs w:val="20"/>
                <w:color w:val="auto"/>
              </w:rPr>
            </w:pPr>
            <w:r>
              <w:rPr>
                <w:rFonts w:ascii="Arial" w:cs="Arial" w:eastAsia="Arial" w:hAnsi="Arial"/>
                <w:sz w:val="22"/>
                <w:szCs w:val="22"/>
                <w:color w:val="auto"/>
              </w:rPr>
              <w:t>$1.44</w:t>
            </w:r>
          </w:p>
        </w:tc>
        <w:tc>
          <w:tcPr>
            <w:tcW w:w="400" w:type="dxa"/>
            <w:vAlign w:val="bottom"/>
          </w:tcPr>
          <w:p>
            <w:pPr>
              <w:spacing w:after="0"/>
              <w:rPr>
                <w:sz w:val="23"/>
                <w:szCs w:val="23"/>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22"/>
                <w:szCs w:val="22"/>
                <w:color w:val="auto"/>
              </w:rPr>
              <w:t>($0.25)</w:t>
            </w:r>
          </w:p>
        </w:tc>
        <w:tc>
          <w:tcPr>
            <w:tcW w:w="900" w:type="dxa"/>
            <w:vAlign w:val="bottom"/>
          </w:tcPr>
          <w:p>
            <w:pPr>
              <w:jc w:val="right"/>
              <w:spacing w:after="0"/>
              <w:rPr>
                <w:sz w:val="20"/>
                <w:szCs w:val="20"/>
                <w:color w:val="auto"/>
              </w:rPr>
            </w:pPr>
            <w:r>
              <w:rPr>
                <w:rFonts w:ascii="Arial" w:cs="Arial" w:eastAsia="Arial" w:hAnsi="Arial"/>
                <w:sz w:val="22"/>
                <w:szCs w:val="22"/>
                <w:color w:val="auto"/>
              </w:rPr>
              <w:t>$0.63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-3328670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-3328670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-3328670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-3328670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-3328670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-3328670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60"/>
          </w:cols>
          <w:pgMar w:left="240" w:top="118" w:right="299" w:bottom="0" w:gutter="0" w:footer="0" w:header="0"/>
        </w:sectPr>
      </w:pPr>
    </w:p>
    <w:bookmarkStart w:id="68" w:name="page69"/>
    <w:bookmarkEnd w:id="68"/>
    <w:tbl>
      <w:tblPr>
        <w:tblLayout w:type="fixed"/>
        <w:tblInd w:w="540" w:type="dxa"/>
        <w:tblCellMar>
          <w:top w:w="0" w:type="dxa"/>
          <w:left w:w="0" w:type="dxa"/>
          <w:bottom w:w="0" w:type="dxa"/>
          <w:right w:w="0" w:type="dxa"/>
        </w:tblCellMar>
      </w:tblPr>
      <w:tr>
        <w:trPr>
          <w:trHeight w:val="275"/>
        </w:trPr>
        <w:tc>
          <w:tcPr>
            <w:tcW w:w="3640" w:type="dxa"/>
            <w:vAlign w:val="bottom"/>
          </w:tcPr>
          <w:p>
            <w:pPr>
              <w:spacing w:after="0"/>
              <w:rPr>
                <w:sz w:val="20"/>
                <w:szCs w:val="20"/>
                <w:color w:val="auto"/>
              </w:rPr>
            </w:pPr>
            <w:r>
              <w:rPr>
                <w:rFonts w:ascii="Arial" w:cs="Arial" w:eastAsia="Arial" w:hAnsi="Arial"/>
                <w:sz w:val="22"/>
                <w:szCs w:val="22"/>
                <w:color w:val="auto"/>
              </w:rPr>
              <w:t>Pro forma</w:t>
            </w:r>
          </w:p>
        </w:tc>
        <w:tc>
          <w:tcPr>
            <w:tcW w:w="3620" w:type="dxa"/>
            <w:vAlign w:val="bottom"/>
          </w:tcPr>
          <w:p>
            <w:pPr>
              <w:jc w:val="right"/>
              <w:ind w:right="272"/>
              <w:spacing w:after="0"/>
              <w:rPr>
                <w:sz w:val="20"/>
                <w:szCs w:val="20"/>
                <w:color w:val="auto"/>
              </w:rPr>
            </w:pPr>
            <w:r>
              <w:rPr>
                <w:rFonts w:ascii="Arial" w:cs="Arial" w:eastAsia="Arial" w:hAnsi="Arial"/>
                <w:sz w:val="22"/>
                <w:szCs w:val="22"/>
                <w:color w:val="auto"/>
              </w:rPr>
              <w:t>$1.36</w:t>
            </w:r>
          </w:p>
        </w:tc>
        <w:tc>
          <w:tcPr>
            <w:tcW w:w="1400" w:type="dxa"/>
            <w:vAlign w:val="bottom"/>
          </w:tcPr>
          <w:p>
            <w:pPr>
              <w:jc w:val="right"/>
              <w:ind w:right="272"/>
              <w:spacing w:after="0"/>
              <w:rPr>
                <w:sz w:val="20"/>
                <w:szCs w:val="20"/>
                <w:color w:val="auto"/>
              </w:rPr>
            </w:pPr>
            <w:r>
              <w:rPr>
                <w:rFonts w:ascii="Arial" w:cs="Arial" w:eastAsia="Arial" w:hAnsi="Arial"/>
                <w:sz w:val="22"/>
                <w:szCs w:val="22"/>
                <w:color w:val="auto"/>
              </w:rPr>
              <w:t>($0.37)</w:t>
            </w:r>
          </w:p>
        </w:tc>
        <w:tc>
          <w:tcPr>
            <w:tcW w:w="860" w:type="dxa"/>
            <w:vAlign w:val="bottom"/>
          </w:tcPr>
          <w:p>
            <w:pPr>
              <w:jc w:val="right"/>
              <w:spacing w:after="0"/>
              <w:rPr>
                <w:sz w:val="20"/>
                <w:szCs w:val="20"/>
                <w:color w:val="auto"/>
              </w:rPr>
            </w:pPr>
            <w:r>
              <w:rPr>
                <w:rFonts w:ascii="Arial" w:cs="Arial" w:eastAsia="Arial" w:hAnsi="Arial"/>
                <w:sz w:val="22"/>
                <w:szCs w:val="22"/>
                <w:color w:val="auto"/>
              </w:rPr>
              <w:t>$0.51</w:t>
            </w:r>
          </w:p>
        </w:tc>
      </w:tr>
    </w:tbl>
    <w:p>
      <w:pPr>
        <w:spacing w:after="0" w:line="212" w:lineRule="exact"/>
        <w:rPr>
          <w:sz w:val="20"/>
          <w:szCs w:val="20"/>
          <w:color w:val="auto"/>
        </w:rPr>
      </w:pPr>
    </w:p>
    <w:p>
      <w:pPr>
        <w:ind w:left="460" w:right="160"/>
        <w:spacing w:after="0" w:line="247" w:lineRule="auto"/>
        <w:rPr>
          <w:sz w:val="20"/>
          <w:szCs w:val="20"/>
          <w:color w:val="auto"/>
        </w:rPr>
      </w:pPr>
      <w:r>
        <w:rPr>
          <w:rFonts w:ascii="Arial" w:cs="Arial" w:eastAsia="Arial" w:hAnsi="Arial"/>
          <w:sz w:val="21"/>
          <w:szCs w:val="21"/>
          <w:color w:val="auto"/>
        </w:rPr>
        <w:t>The weighted-average fair value at date of grant of a Class A common stock option granted under our option plans during 2003 was $9.81 and during 2002 was previously presented as $10.72, and was recalculated as $9.81 based on the revised estimate of expected option life. The weighted-average fair value at date of grant of a Class A Special common stock option granted under the option plans during 2002 and 2001 was previously presented as $14.93 and $19.07, respectively, and was recalculated as $13.72 and $17.73, respectively, based on the revised estimate of expected option life. The fair value of each option granted during 2003, 2002 and 2001 was estimated on the date of grant using the Black-Scholes option-pricing model with the following weighted-average assumptions: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tbl>
      <w:tblPr>
        <w:tblLayout w:type="fixed"/>
        <w:tblInd w:w="280" w:type="dxa"/>
        <w:tblCellMar>
          <w:top w:w="0" w:type="dxa"/>
          <w:left w:w="0" w:type="dxa"/>
          <w:bottom w:w="0" w:type="dxa"/>
          <w:right w:w="0" w:type="dxa"/>
        </w:tblCellMar>
      </w:tblPr>
      <w:tr>
        <w:trPr>
          <w:trHeight w:val="275"/>
        </w:trPr>
        <w:tc>
          <w:tcPr>
            <w:tcW w:w="498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22"/>
                <w:szCs w:val="22"/>
                <w:color w:val="auto"/>
                <w:w w:val="85"/>
              </w:rPr>
              <w:t>2003</w:t>
            </w:r>
          </w:p>
        </w:tc>
        <w:tc>
          <w:tcPr>
            <w:tcW w:w="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w w:val="93"/>
              </w:rPr>
              <w:t>2002</w:t>
            </w:r>
          </w:p>
        </w:tc>
        <w:tc>
          <w:tcPr>
            <w:tcW w:w="8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22"/>
                <w:szCs w:val="22"/>
                <w:color w:val="auto"/>
                <w:w w:val="89"/>
              </w:rPr>
              <w:t>2001</w:t>
            </w:r>
          </w:p>
        </w:tc>
      </w:tr>
      <w:tr>
        <w:trPr>
          <w:trHeight w:val="98"/>
        </w:trPr>
        <w:tc>
          <w:tcPr>
            <w:tcW w:w="49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r>
      <w:tr>
        <w:trPr>
          <w:trHeight w:val="323"/>
        </w:trPr>
        <w:tc>
          <w:tcPr>
            <w:tcW w:w="4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22"/>
                <w:szCs w:val="22"/>
                <w:color w:val="auto"/>
                <w:w w:val="89"/>
              </w:rPr>
              <w:t>Class A</w:t>
            </w:r>
          </w:p>
        </w:tc>
        <w:tc>
          <w:tcPr>
            <w:tcW w:w="800" w:type="dxa"/>
            <w:vAlign w:val="bottom"/>
          </w:tcPr>
          <w:p>
            <w:pPr>
              <w:jc w:val="center"/>
              <w:spacing w:after="0"/>
              <w:rPr>
                <w:sz w:val="20"/>
                <w:szCs w:val="20"/>
                <w:color w:val="auto"/>
              </w:rPr>
            </w:pPr>
            <w:r>
              <w:rPr>
                <w:rFonts w:ascii="Arial" w:cs="Arial" w:eastAsia="Arial" w:hAnsi="Arial"/>
                <w:sz w:val="22"/>
                <w:szCs w:val="22"/>
                <w:color w:val="auto"/>
                <w:w w:val="89"/>
              </w:rPr>
              <w:t>Class A</w:t>
            </w:r>
          </w:p>
        </w:tc>
      </w:tr>
      <w:tr>
        <w:trPr>
          <w:trHeight w:val="243"/>
        </w:trPr>
        <w:tc>
          <w:tcPr>
            <w:tcW w:w="4980" w:type="dxa"/>
            <w:vAlign w:val="bottom"/>
          </w:tcPr>
          <w:p>
            <w:pPr>
              <w:spacing w:after="0"/>
              <w:rPr>
                <w:sz w:val="21"/>
                <w:szCs w:val="21"/>
                <w:color w:val="auto"/>
              </w:rPr>
            </w:pPr>
          </w:p>
        </w:tc>
        <w:tc>
          <w:tcPr>
            <w:tcW w:w="1360" w:type="dxa"/>
            <w:vAlign w:val="bottom"/>
            <w:gridSpan w:val="2"/>
          </w:tcPr>
          <w:p>
            <w:pPr>
              <w:jc w:val="center"/>
              <w:ind w:right="520"/>
              <w:spacing w:after="0" w:line="243" w:lineRule="exact"/>
              <w:rPr>
                <w:sz w:val="20"/>
                <w:szCs w:val="20"/>
                <w:color w:val="auto"/>
              </w:rPr>
            </w:pPr>
            <w:r>
              <w:rPr>
                <w:rFonts w:ascii="Arial" w:cs="Arial" w:eastAsia="Arial" w:hAnsi="Arial"/>
                <w:sz w:val="22"/>
                <w:szCs w:val="22"/>
                <w:color w:val="auto"/>
                <w:w w:val="89"/>
              </w:rPr>
              <w:t>Class A</w:t>
            </w:r>
          </w:p>
        </w:tc>
        <w:tc>
          <w:tcPr>
            <w:tcW w:w="800" w:type="dxa"/>
            <w:vAlign w:val="bottom"/>
          </w:tcPr>
          <w:p>
            <w:pPr>
              <w:jc w:val="center"/>
              <w:spacing w:after="0" w:line="243" w:lineRule="exact"/>
              <w:rPr>
                <w:sz w:val="20"/>
                <w:szCs w:val="20"/>
                <w:color w:val="auto"/>
              </w:rPr>
            </w:pPr>
            <w:r>
              <w:rPr>
                <w:rFonts w:ascii="Arial" w:cs="Arial" w:eastAsia="Arial" w:hAnsi="Arial"/>
                <w:sz w:val="22"/>
                <w:szCs w:val="22"/>
                <w:color w:val="auto"/>
                <w:w w:val="89"/>
              </w:rPr>
              <w:t>Class A</w:t>
            </w:r>
          </w:p>
        </w:tc>
        <w:tc>
          <w:tcPr>
            <w:tcW w:w="520" w:type="dxa"/>
            <w:vAlign w:val="bottom"/>
          </w:tcPr>
          <w:p>
            <w:pPr>
              <w:spacing w:after="0"/>
              <w:rPr>
                <w:sz w:val="21"/>
                <w:szCs w:val="21"/>
                <w:color w:val="auto"/>
              </w:rPr>
            </w:pPr>
          </w:p>
        </w:tc>
        <w:tc>
          <w:tcPr>
            <w:tcW w:w="1320" w:type="dxa"/>
            <w:vAlign w:val="bottom"/>
            <w:gridSpan w:val="2"/>
          </w:tcPr>
          <w:p>
            <w:pPr>
              <w:jc w:val="center"/>
              <w:ind w:right="520"/>
              <w:spacing w:after="0" w:line="243" w:lineRule="exact"/>
              <w:rPr>
                <w:sz w:val="20"/>
                <w:szCs w:val="20"/>
                <w:color w:val="auto"/>
              </w:rPr>
            </w:pPr>
            <w:r>
              <w:rPr>
                <w:rFonts w:ascii="Arial" w:cs="Arial" w:eastAsia="Arial" w:hAnsi="Arial"/>
                <w:sz w:val="22"/>
                <w:szCs w:val="22"/>
                <w:color w:val="auto"/>
                <w:w w:val="88"/>
              </w:rPr>
              <w:t>Special</w:t>
            </w:r>
          </w:p>
        </w:tc>
        <w:tc>
          <w:tcPr>
            <w:tcW w:w="800" w:type="dxa"/>
            <w:vAlign w:val="bottom"/>
          </w:tcPr>
          <w:p>
            <w:pPr>
              <w:jc w:val="center"/>
              <w:spacing w:after="0" w:line="243" w:lineRule="exact"/>
              <w:rPr>
                <w:sz w:val="20"/>
                <w:szCs w:val="20"/>
                <w:color w:val="auto"/>
              </w:rPr>
            </w:pPr>
            <w:r>
              <w:rPr>
                <w:rFonts w:ascii="Arial" w:cs="Arial" w:eastAsia="Arial" w:hAnsi="Arial"/>
                <w:sz w:val="22"/>
                <w:szCs w:val="22"/>
                <w:color w:val="auto"/>
                <w:w w:val="88"/>
              </w:rPr>
              <w:t>Special</w:t>
            </w:r>
          </w:p>
        </w:tc>
      </w:tr>
      <w:tr>
        <w:trPr>
          <w:trHeight w:val="243"/>
        </w:trPr>
        <w:tc>
          <w:tcPr>
            <w:tcW w:w="4980" w:type="dxa"/>
            <w:vAlign w:val="bottom"/>
          </w:tcPr>
          <w:p>
            <w:pPr>
              <w:spacing w:after="0"/>
              <w:rPr>
                <w:sz w:val="21"/>
                <w:szCs w:val="21"/>
                <w:color w:val="auto"/>
              </w:rPr>
            </w:pPr>
          </w:p>
        </w:tc>
        <w:tc>
          <w:tcPr>
            <w:tcW w:w="1360" w:type="dxa"/>
            <w:vAlign w:val="bottom"/>
            <w:gridSpan w:val="2"/>
          </w:tcPr>
          <w:p>
            <w:pPr>
              <w:jc w:val="center"/>
              <w:ind w:right="520"/>
              <w:spacing w:after="0" w:line="243" w:lineRule="exact"/>
              <w:rPr>
                <w:sz w:val="20"/>
                <w:szCs w:val="20"/>
                <w:color w:val="auto"/>
              </w:rPr>
            </w:pPr>
            <w:r>
              <w:rPr>
                <w:rFonts w:ascii="Arial" w:cs="Arial" w:eastAsia="Arial" w:hAnsi="Arial"/>
                <w:sz w:val="22"/>
                <w:szCs w:val="22"/>
                <w:color w:val="auto"/>
                <w:w w:val="89"/>
              </w:rPr>
              <w:t>Common</w:t>
            </w:r>
          </w:p>
        </w:tc>
        <w:tc>
          <w:tcPr>
            <w:tcW w:w="800" w:type="dxa"/>
            <w:vAlign w:val="bottom"/>
          </w:tcPr>
          <w:p>
            <w:pPr>
              <w:jc w:val="center"/>
              <w:spacing w:after="0" w:line="243" w:lineRule="exact"/>
              <w:rPr>
                <w:sz w:val="20"/>
                <w:szCs w:val="20"/>
                <w:color w:val="auto"/>
              </w:rPr>
            </w:pPr>
            <w:r>
              <w:rPr>
                <w:rFonts w:ascii="Arial" w:cs="Arial" w:eastAsia="Arial" w:hAnsi="Arial"/>
                <w:sz w:val="22"/>
                <w:szCs w:val="22"/>
                <w:color w:val="auto"/>
                <w:w w:val="89"/>
              </w:rPr>
              <w:t>Common</w:t>
            </w:r>
          </w:p>
        </w:tc>
        <w:tc>
          <w:tcPr>
            <w:tcW w:w="520" w:type="dxa"/>
            <w:vAlign w:val="bottom"/>
          </w:tcPr>
          <w:p>
            <w:pPr>
              <w:spacing w:after="0"/>
              <w:rPr>
                <w:sz w:val="21"/>
                <w:szCs w:val="21"/>
                <w:color w:val="auto"/>
              </w:rPr>
            </w:pPr>
          </w:p>
        </w:tc>
        <w:tc>
          <w:tcPr>
            <w:tcW w:w="1320" w:type="dxa"/>
            <w:vAlign w:val="bottom"/>
            <w:gridSpan w:val="2"/>
          </w:tcPr>
          <w:p>
            <w:pPr>
              <w:jc w:val="center"/>
              <w:ind w:right="520"/>
              <w:spacing w:after="0" w:line="243" w:lineRule="exact"/>
              <w:rPr>
                <w:sz w:val="20"/>
                <w:szCs w:val="20"/>
                <w:color w:val="auto"/>
              </w:rPr>
            </w:pPr>
            <w:r>
              <w:rPr>
                <w:rFonts w:ascii="Arial" w:cs="Arial" w:eastAsia="Arial" w:hAnsi="Arial"/>
                <w:sz w:val="22"/>
                <w:szCs w:val="22"/>
                <w:color w:val="auto"/>
                <w:w w:val="89"/>
              </w:rPr>
              <w:t>Common</w:t>
            </w:r>
          </w:p>
        </w:tc>
        <w:tc>
          <w:tcPr>
            <w:tcW w:w="800" w:type="dxa"/>
            <w:vAlign w:val="bottom"/>
          </w:tcPr>
          <w:p>
            <w:pPr>
              <w:jc w:val="center"/>
              <w:spacing w:after="0" w:line="243" w:lineRule="exact"/>
              <w:rPr>
                <w:sz w:val="20"/>
                <w:szCs w:val="20"/>
                <w:color w:val="auto"/>
              </w:rPr>
            </w:pPr>
            <w:r>
              <w:rPr>
                <w:rFonts w:ascii="Arial" w:cs="Arial" w:eastAsia="Arial" w:hAnsi="Arial"/>
                <w:sz w:val="22"/>
                <w:szCs w:val="22"/>
                <w:color w:val="auto"/>
                <w:w w:val="89"/>
              </w:rPr>
              <w:t>Common</w:t>
            </w:r>
          </w:p>
        </w:tc>
      </w:tr>
      <w:tr>
        <w:trPr>
          <w:trHeight w:val="275"/>
        </w:trPr>
        <w:tc>
          <w:tcPr>
            <w:tcW w:w="4980" w:type="dxa"/>
            <w:vAlign w:val="bottom"/>
          </w:tcPr>
          <w:p>
            <w:pPr>
              <w:spacing w:after="0"/>
              <w:rPr>
                <w:sz w:val="23"/>
                <w:szCs w:val="23"/>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22"/>
                <w:szCs w:val="22"/>
                <w:color w:val="auto"/>
                <w:w w:val="90"/>
              </w:rPr>
              <w:t>Stock</w:t>
            </w:r>
          </w:p>
        </w:tc>
        <w:tc>
          <w:tcPr>
            <w:tcW w:w="800" w:type="dxa"/>
            <w:vAlign w:val="bottom"/>
          </w:tcPr>
          <w:p>
            <w:pPr>
              <w:jc w:val="center"/>
              <w:spacing w:after="0"/>
              <w:rPr>
                <w:sz w:val="20"/>
                <w:szCs w:val="20"/>
                <w:color w:val="auto"/>
              </w:rPr>
            </w:pPr>
            <w:r>
              <w:rPr>
                <w:rFonts w:ascii="Arial" w:cs="Arial" w:eastAsia="Arial" w:hAnsi="Arial"/>
                <w:sz w:val="22"/>
                <w:szCs w:val="22"/>
                <w:color w:val="auto"/>
                <w:w w:val="87"/>
              </w:rPr>
              <w:t>Stock</w:t>
            </w:r>
          </w:p>
        </w:tc>
        <w:tc>
          <w:tcPr>
            <w:tcW w:w="520" w:type="dxa"/>
            <w:vAlign w:val="bottom"/>
          </w:tcPr>
          <w:p>
            <w:pPr>
              <w:spacing w:after="0"/>
              <w:rPr>
                <w:sz w:val="23"/>
                <w:szCs w:val="23"/>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22"/>
                <w:szCs w:val="22"/>
                <w:color w:val="auto"/>
                <w:w w:val="87"/>
              </w:rPr>
              <w:t>Stock</w:t>
            </w:r>
          </w:p>
        </w:tc>
        <w:tc>
          <w:tcPr>
            <w:tcW w:w="800" w:type="dxa"/>
            <w:vAlign w:val="bottom"/>
          </w:tcPr>
          <w:p>
            <w:pPr>
              <w:jc w:val="center"/>
              <w:spacing w:after="0"/>
              <w:rPr>
                <w:sz w:val="20"/>
                <w:szCs w:val="20"/>
                <w:color w:val="auto"/>
              </w:rPr>
            </w:pPr>
            <w:r>
              <w:rPr>
                <w:rFonts w:ascii="Arial" w:cs="Arial" w:eastAsia="Arial" w:hAnsi="Arial"/>
                <w:sz w:val="22"/>
                <w:szCs w:val="22"/>
                <w:color w:val="auto"/>
                <w:w w:val="90"/>
              </w:rPr>
              <w:t>Stock</w:t>
            </w:r>
          </w:p>
        </w:tc>
      </w:tr>
      <w:tr>
        <w:trPr>
          <w:trHeight w:val="98"/>
        </w:trPr>
        <w:tc>
          <w:tcPr>
            <w:tcW w:w="49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r>
      <w:tr>
        <w:trPr>
          <w:trHeight w:val="566"/>
        </w:trPr>
        <w:tc>
          <w:tcPr>
            <w:tcW w:w="4980" w:type="dxa"/>
            <w:vAlign w:val="bottom"/>
          </w:tcPr>
          <w:p>
            <w:pPr>
              <w:spacing w:after="0"/>
              <w:rPr>
                <w:sz w:val="20"/>
                <w:szCs w:val="20"/>
                <w:color w:val="auto"/>
              </w:rPr>
            </w:pPr>
            <w:r>
              <w:rPr>
                <w:rFonts w:ascii="Arial" w:cs="Arial" w:eastAsia="Arial" w:hAnsi="Arial"/>
                <w:sz w:val="22"/>
                <w:szCs w:val="22"/>
                <w:color w:val="auto"/>
              </w:rPr>
              <w:t>Dividend yield</w:t>
            </w:r>
          </w:p>
        </w:tc>
        <w:tc>
          <w:tcPr>
            <w:tcW w:w="1360" w:type="dxa"/>
            <w:vAlign w:val="bottom"/>
            <w:gridSpan w:val="2"/>
          </w:tcPr>
          <w:p>
            <w:pPr>
              <w:jc w:val="right"/>
              <w:ind w:right="540"/>
              <w:spacing w:after="0"/>
              <w:rPr>
                <w:sz w:val="20"/>
                <w:szCs w:val="20"/>
                <w:color w:val="auto"/>
              </w:rPr>
            </w:pPr>
            <w:r>
              <w:rPr>
                <w:rFonts w:ascii="Arial" w:cs="Arial" w:eastAsia="Arial" w:hAnsi="Arial"/>
                <w:sz w:val="22"/>
                <w:szCs w:val="22"/>
                <w:color w:val="auto"/>
              </w:rPr>
              <w:t>0%</w:t>
            </w:r>
          </w:p>
        </w:tc>
        <w:tc>
          <w:tcPr>
            <w:tcW w:w="800" w:type="dxa"/>
            <w:vAlign w:val="bottom"/>
          </w:tcPr>
          <w:p>
            <w:pPr>
              <w:jc w:val="right"/>
              <w:spacing w:after="0"/>
              <w:rPr>
                <w:sz w:val="20"/>
                <w:szCs w:val="20"/>
                <w:color w:val="auto"/>
              </w:rPr>
            </w:pPr>
            <w:r>
              <w:rPr>
                <w:rFonts w:ascii="Arial" w:cs="Arial" w:eastAsia="Arial" w:hAnsi="Arial"/>
                <w:sz w:val="22"/>
                <w:szCs w:val="22"/>
                <w:color w:val="auto"/>
              </w:rPr>
              <w:t>0%</w:t>
            </w:r>
          </w:p>
        </w:tc>
        <w:tc>
          <w:tcPr>
            <w:tcW w:w="1840" w:type="dxa"/>
            <w:vAlign w:val="bottom"/>
            <w:gridSpan w:val="3"/>
          </w:tcPr>
          <w:p>
            <w:pPr>
              <w:jc w:val="right"/>
              <w:ind w:right="520"/>
              <w:spacing w:after="0"/>
              <w:rPr>
                <w:sz w:val="20"/>
                <w:szCs w:val="20"/>
                <w:color w:val="auto"/>
              </w:rPr>
            </w:pPr>
            <w:r>
              <w:rPr>
                <w:rFonts w:ascii="Arial" w:cs="Arial" w:eastAsia="Arial" w:hAnsi="Arial"/>
                <w:sz w:val="22"/>
                <w:szCs w:val="22"/>
                <w:color w:val="auto"/>
              </w:rPr>
              <w:t>0%</w:t>
            </w:r>
          </w:p>
        </w:tc>
        <w:tc>
          <w:tcPr>
            <w:tcW w:w="80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Expected volatility</w:t>
            </w:r>
          </w:p>
        </w:tc>
        <w:tc>
          <w:tcPr>
            <w:tcW w:w="1360" w:type="dxa"/>
            <w:vAlign w:val="bottom"/>
            <w:gridSpan w:val="2"/>
          </w:tcPr>
          <w:p>
            <w:pPr>
              <w:jc w:val="right"/>
              <w:ind w:right="540"/>
              <w:spacing w:after="0" w:line="243" w:lineRule="exact"/>
              <w:rPr>
                <w:sz w:val="20"/>
                <w:szCs w:val="20"/>
                <w:color w:val="auto"/>
              </w:rPr>
            </w:pPr>
            <w:r>
              <w:rPr>
                <w:rFonts w:ascii="Arial" w:cs="Arial" w:eastAsia="Arial" w:hAnsi="Arial"/>
                <w:sz w:val="22"/>
                <w:szCs w:val="22"/>
                <w:color w:val="auto"/>
              </w:rPr>
              <w:t>29.3%</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29.2%</w:t>
            </w:r>
          </w:p>
        </w:tc>
        <w:tc>
          <w:tcPr>
            <w:tcW w:w="1840" w:type="dxa"/>
            <w:vAlign w:val="bottom"/>
            <w:gridSpan w:val="3"/>
          </w:tcPr>
          <w:p>
            <w:pPr>
              <w:jc w:val="right"/>
              <w:ind w:right="520"/>
              <w:spacing w:after="0" w:line="243" w:lineRule="exact"/>
              <w:rPr>
                <w:sz w:val="20"/>
                <w:szCs w:val="20"/>
                <w:color w:val="auto"/>
              </w:rPr>
            </w:pPr>
            <w:r>
              <w:rPr>
                <w:rFonts w:ascii="Arial" w:cs="Arial" w:eastAsia="Arial" w:hAnsi="Arial"/>
                <w:sz w:val="22"/>
                <w:szCs w:val="22"/>
                <w:color w:val="auto"/>
              </w:rPr>
              <w:t>29.6%</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35.6%</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Risk-free interest rate</w:t>
            </w:r>
          </w:p>
        </w:tc>
        <w:tc>
          <w:tcPr>
            <w:tcW w:w="1360" w:type="dxa"/>
            <w:vAlign w:val="bottom"/>
            <w:gridSpan w:val="2"/>
          </w:tcPr>
          <w:p>
            <w:pPr>
              <w:jc w:val="right"/>
              <w:ind w:right="540"/>
              <w:spacing w:after="0" w:line="243" w:lineRule="exact"/>
              <w:rPr>
                <w:sz w:val="20"/>
                <w:szCs w:val="20"/>
                <w:color w:val="auto"/>
              </w:rPr>
            </w:pPr>
            <w:r>
              <w:rPr>
                <w:rFonts w:ascii="Arial" w:cs="Arial" w:eastAsia="Arial" w:hAnsi="Arial"/>
                <w:sz w:val="22"/>
                <w:szCs w:val="22"/>
                <w:color w:val="auto"/>
              </w:rPr>
              <w:t>3.2%</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c>
          <w:tcPr>
            <w:tcW w:w="1840" w:type="dxa"/>
            <w:vAlign w:val="bottom"/>
            <w:gridSpan w:val="3"/>
          </w:tcPr>
          <w:p>
            <w:pPr>
              <w:jc w:val="right"/>
              <w:ind w:right="520"/>
              <w:spacing w:after="0" w:line="243" w:lineRule="exact"/>
              <w:rPr>
                <w:sz w:val="20"/>
                <w:szCs w:val="20"/>
                <w:color w:val="auto"/>
              </w:rPr>
            </w:pPr>
            <w:r>
              <w:rPr>
                <w:rFonts w:ascii="Arial" w:cs="Arial" w:eastAsia="Arial" w:hAnsi="Arial"/>
                <w:sz w:val="22"/>
                <w:szCs w:val="22"/>
                <w:color w:val="auto"/>
              </w:rPr>
              <w:t>4.9%</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4980" w:type="dxa"/>
            <w:vAlign w:val="bottom"/>
          </w:tcPr>
          <w:p>
            <w:pPr>
              <w:spacing w:after="0" w:line="243" w:lineRule="exact"/>
              <w:rPr>
                <w:sz w:val="20"/>
                <w:szCs w:val="20"/>
                <w:color w:val="auto"/>
              </w:rPr>
            </w:pPr>
            <w:r>
              <w:rPr>
                <w:rFonts w:ascii="Arial" w:cs="Arial" w:eastAsia="Arial" w:hAnsi="Arial"/>
                <w:sz w:val="22"/>
                <w:szCs w:val="22"/>
                <w:color w:val="auto"/>
              </w:rPr>
              <w:t>Expected option lives (in years)</w:t>
            </w:r>
          </w:p>
        </w:tc>
        <w:tc>
          <w:tcPr>
            <w:tcW w:w="820" w:type="dxa"/>
            <w:vAlign w:val="bottom"/>
          </w:tcPr>
          <w:p>
            <w:pPr>
              <w:jc w:val="right"/>
              <w:ind w:right="112"/>
              <w:spacing w:after="0" w:line="243" w:lineRule="exact"/>
              <w:rPr>
                <w:sz w:val="20"/>
                <w:szCs w:val="20"/>
                <w:color w:val="auto"/>
              </w:rPr>
            </w:pPr>
            <w:r>
              <w:rPr>
                <w:rFonts w:ascii="Arial" w:cs="Arial" w:eastAsia="Arial" w:hAnsi="Arial"/>
                <w:sz w:val="22"/>
                <w:szCs w:val="22"/>
                <w:color w:val="auto"/>
              </w:rPr>
              <w:t>5.9</w:t>
            </w:r>
          </w:p>
        </w:tc>
        <w:tc>
          <w:tcPr>
            <w:tcW w:w="540" w:type="dxa"/>
            <w:vAlign w:val="bottom"/>
          </w:tcPr>
          <w:p>
            <w:pPr>
              <w:spacing w:after="0"/>
              <w:rPr>
                <w:sz w:val="21"/>
                <w:szCs w:val="21"/>
                <w:color w:val="auto"/>
              </w:rPr>
            </w:pPr>
          </w:p>
        </w:tc>
        <w:tc>
          <w:tcPr>
            <w:tcW w:w="800" w:type="dxa"/>
            <w:vAlign w:val="bottom"/>
          </w:tcPr>
          <w:p>
            <w:pPr>
              <w:jc w:val="right"/>
              <w:ind w:right="112"/>
              <w:spacing w:after="0" w:line="243" w:lineRule="exact"/>
              <w:rPr>
                <w:sz w:val="20"/>
                <w:szCs w:val="20"/>
                <w:color w:val="auto"/>
              </w:rPr>
            </w:pPr>
            <w:r>
              <w:rPr>
                <w:rFonts w:ascii="Arial" w:cs="Arial" w:eastAsia="Arial" w:hAnsi="Arial"/>
                <w:sz w:val="22"/>
                <w:szCs w:val="22"/>
                <w:color w:val="auto"/>
              </w:rPr>
              <w:t>7.0</w:t>
            </w:r>
          </w:p>
        </w:tc>
        <w:tc>
          <w:tcPr>
            <w:tcW w:w="1320" w:type="dxa"/>
            <w:vAlign w:val="bottom"/>
            <w:gridSpan w:val="2"/>
          </w:tcPr>
          <w:p>
            <w:pPr>
              <w:jc w:val="right"/>
              <w:ind w:right="112"/>
              <w:spacing w:after="0" w:line="243" w:lineRule="exact"/>
              <w:rPr>
                <w:sz w:val="20"/>
                <w:szCs w:val="20"/>
                <w:color w:val="auto"/>
              </w:rPr>
            </w:pPr>
            <w:r>
              <w:rPr>
                <w:rFonts w:ascii="Arial" w:cs="Arial" w:eastAsia="Arial" w:hAnsi="Arial"/>
                <w:sz w:val="22"/>
                <w:szCs w:val="22"/>
                <w:color w:val="auto"/>
              </w:rPr>
              <w:t>7.0</w:t>
            </w:r>
          </w:p>
        </w:tc>
        <w:tc>
          <w:tcPr>
            <w:tcW w:w="520" w:type="dxa"/>
            <w:vAlign w:val="bottom"/>
          </w:tcPr>
          <w:p>
            <w:pPr>
              <w:spacing w:after="0"/>
              <w:rPr>
                <w:sz w:val="21"/>
                <w:szCs w:val="21"/>
                <w:color w:val="auto"/>
              </w:rPr>
            </w:pPr>
          </w:p>
        </w:tc>
        <w:tc>
          <w:tcPr>
            <w:tcW w:w="800" w:type="dxa"/>
            <w:vAlign w:val="bottom"/>
          </w:tcPr>
          <w:p>
            <w:pPr>
              <w:jc w:val="right"/>
              <w:ind w:right="92"/>
              <w:spacing w:after="0" w:line="243" w:lineRule="exact"/>
              <w:rPr>
                <w:sz w:val="20"/>
                <w:szCs w:val="20"/>
                <w:color w:val="auto"/>
              </w:rPr>
            </w:pPr>
            <w:r>
              <w:rPr>
                <w:rFonts w:ascii="Arial" w:cs="Arial" w:eastAsia="Arial" w:hAnsi="Arial"/>
                <w:sz w:val="22"/>
                <w:szCs w:val="22"/>
                <w:color w:val="auto"/>
              </w:rPr>
              <w:t>7.0</w:t>
            </w:r>
          </w:p>
        </w:tc>
      </w:tr>
      <w:tr>
        <w:trPr>
          <w:trHeight w:val="275"/>
        </w:trPr>
        <w:tc>
          <w:tcPr>
            <w:tcW w:w="4980" w:type="dxa"/>
            <w:vAlign w:val="bottom"/>
          </w:tcPr>
          <w:p>
            <w:pPr>
              <w:spacing w:after="0"/>
              <w:rPr>
                <w:sz w:val="20"/>
                <w:szCs w:val="20"/>
                <w:color w:val="auto"/>
              </w:rPr>
            </w:pPr>
            <w:r>
              <w:rPr>
                <w:rFonts w:ascii="Arial" w:cs="Arial" w:eastAsia="Arial" w:hAnsi="Arial"/>
                <w:sz w:val="22"/>
                <w:szCs w:val="22"/>
                <w:color w:val="auto"/>
              </w:rPr>
              <w:t>Forfeiture rate</w:t>
            </w:r>
          </w:p>
        </w:tc>
        <w:tc>
          <w:tcPr>
            <w:tcW w:w="1360" w:type="dxa"/>
            <w:vAlign w:val="bottom"/>
            <w:gridSpan w:val="2"/>
          </w:tcPr>
          <w:p>
            <w:pPr>
              <w:jc w:val="right"/>
              <w:ind w:right="540"/>
              <w:spacing w:after="0"/>
              <w:rPr>
                <w:sz w:val="20"/>
                <w:szCs w:val="20"/>
                <w:color w:val="auto"/>
              </w:rPr>
            </w:pPr>
            <w:r>
              <w:rPr>
                <w:rFonts w:ascii="Arial" w:cs="Arial" w:eastAsia="Arial" w:hAnsi="Arial"/>
                <w:sz w:val="22"/>
                <w:szCs w:val="22"/>
                <w:color w:val="auto"/>
              </w:rPr>
              <w:t>3.0%</w:t>
            </w:r>
          </w:p>
        </w:tc>
        <w:tc>
          <w:tcPr>
            <w:tcW w:w="800" w:type="dxa"/>
            <w:vAlign w:val="bottom"/>
          </w:tcPr>
          <w:p>
            <w:pPr>
              <w:jc w:val="right"/>
              <w:spacing w:after="0"/>
              <w:rPr>
                <w:sz w:val="20"/>
                <w:szCs w:val="20"/>
                <w:color w:val="auto"/>
              </w:rPr>
            </w:pPr>
            <w:r>
              <w:rPr>
                <w:rFonts w:ascii="Arial" w:cs="Arial" w:eastAsia="Arial" w:hAnsi="Arial"/>
                <w:sz w:val="22"/>
                <w:szCs w:val="22"/>
                <w:color w:val="auto"/>
              </w:rPr>
              <w:t>3.0%</w:t>
            </w:r>
          </w:p>
        </w:tc>
        <w:tc>
          <w:tcPr>
            <w:tcW w:w="1840" w:type="dxa"/>
            <w:vAlign w:val="bottom"/>
            <w:gridSpan w:val="3"/>
          </w:tcPr>
          <w:p>
            <w:pPr>
              <w:jc w:val="right"/>
              <w:ind w:right="520"/>
              <w:spacing w:after="0"/>
              <w:rPr>
                <w:sz w:val="20"/>
                <w:szCs w:val="20"/>
                <w:color w:val="auto"/>
              </w:rPr>
            </w:pPr>
            <w:r>
              <w:rPr>
                <w:rFonts w:ascii="Arial" w:cs="Arial" w:eastAsia="Arial" w:hAnsi="Arial"/>
                <w:sz w:val="22"/>
                <w:szCs w:val="22"/>
                <w:color w:val="auto"/>
              </w:rPr>
              <w:t>3.0%</w:t>
            </w:r>
          </w:p>
        </w:tc>
        <w:tc>
          <w:tcPr>
            <w:tcW w:w="800" w:type="dxa"/>
            <w:vAlign w:val="bottom"/>
          </w:tcPr>
          <w:p>
            <w:pPr>
              <w:jc w:val="right"/>
              <w:spacing w:after="0"/>
              <w:rPr>
                <w:sz w:val="20"/>
                <w:szCs w:val="20"/>
                <w:color w:val="auto"/>
              </w:rPr>
            </w:pPr>
            <w:r>
              <w:rPr>
                <w:rFonts w:ascii="Arial" w:cs="Arial" w:eastAsia="Arial" w:hAnsi="Arial"/>
                <w:sz w:val="22"/>
                <w:szCs w:val="22"/>
                <w:color w:val="auto"/>
              </w:rPr>
              <w:t>3.0%</w:t>
            </w:r>
          </w:p>
        </w:tc>
      </w:tr>
    </w:tbl>
    <w:p>
      <w:pPr>
        <w:spacing w:after="0" w:line="212" w:lineRule="exact"/>
        <w:rPr>
          <w:sz w:val="20"/>
          <w:szCs w:val="20"/>
          <w:color w:val="auto"/>
        </w:rPr>
      </w:pPr>
    </w:p>
    <w:p>
      <w:pPr>
        <w:ind w:left="460" w:right="240"/>
        <w:spacing w:after="0" w:line="252" w:lineRule="auto"/>
        <w:rPr>
          <w:sz w:val="20"/>
          <w:szCs w:val="20"/>
          <w:color w:val="auto"/>
        </w:rPr>
      </w:pPr>
      <w:r>
        <w:rPr>
          <w:rFonts w:ascii="Arial" w:cs="Arial" w:eastAsia="Arial" w:hAnsi="Arial"/>
          <w:sz w:val="21"/>
          <w:szCs w:val="21"/>
          <w:color w:val="auto"/>
        </w:rPr>
        <w:t>The pro forma effect on net income (loss) and net income (loss) per share for the years ended December 31, 2003, 2002 and 2001 by applying SFAS No. 123 may not be indicative of the pro forma effect on net income or loss in future years since SFAS No. 123 does not take into consideration pro forma compensation expense related to awards made prior to January 1, 1995 and also because additional awards in future years are anticipated.</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Postretirement and Postemployment Benefits</w:t>
      </w:r>
    </w:p>
    <w:p>
      <w:pPr>
        <w:spacing w:after="0" w:line="8" w:lineRule="exact"/>
        <w:rPr>
          <w:sz w:val="20"/>
          <w:szCs w:val="20"/>
          <w:color w:val="auto"/>
        </w:rPr>
      </w:pPr>
    </w:p>
    <w:p>
      <w:pPr>
        <w:ind w:left="460" w:right="1100"/>
        <w:spacing w:after="0" w:line="308" w:lineRule="auto"/>
        <w:rPr>
          <w:rFonts w:ascii="Arial" w:cs="Arial" w:eastAsia="Arial" w:hAnsi="Arial"/>
          <w:sz w:val="19"/>
          <w:szCs w:val="19"/>
          <w:color w:val="auto"/>
        </w:rPr>
      </w:pPr>
      <w:r>
        <w:rPr>
          <w:rFonts w:ascii="Arial" w:cs="Arial" w:eastAsia="Arial" w:hAnsi="Arial"/>
          <w:sz w:val="19"/>
          <w:szCs w:val="19"/>
          <w:color w:val="auto"/>
        </w:rPr>
        <w:t xml:space="preserve">We charge to operations the estimated costs of retiree benefits and benefits for former or inactive employees, after employment but before retirement, during the years the employees provide services (see </w:t>
      </w:r>
      <w:hyperlink w:anchor="page86">
        <w:r>
          <w:rPr>
            <w:rFonts w:ascii="Arial" w:cs="Arial" w:eastAsia="Arial" w:hAnsi="Arial"/>
            <w:sz w:val="19"/>
            <w:szCs w:val="19"/>
            <w:u w:val="single" w:color="auto"/>
            <w:color w:val="0000EE"/>
          </w:rPr>
          <w:t>Note 9</w:t>
        </w:r>
      </w:hyperlink>
      <w:r>
        <w:rPr>
          <w:rFonts w:ascii="Arial" w:cs="Arial" w:eastAsia="Arial" w:hAnsi="Arial"/>
          <w:sz w:val="19"/>
          <w:szCs w:val="19"/>
          <w:color w:val="auto"/>
        </w:rPr>
        <w:t>).</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Investment Income (Loss), Net</w:t>
      </w:r>
    </w:p>
    <w:p>
      <w:pPr>
        <w:spacing w:after="0" w:line="8" w:lineRule="exact"/>
        <w:rPr>
          <w:sz w:val="20"/>
          <w:szCs w:val="20"/>
          <w:color w:val="auto"/>
        </w:rPr>
      </w:pPr>
    </w:p>
    <w:p>
      <w:pPr>
        <w:ind w:left="460" w:right="100"/>
        <w:spacing w:after="0" w:line="233" w:lineRule="auto"/>
        <w:rPr>
          <w:rFonts w:ascii="Arial" w:cs="Arial" w:eastAsia="Arial" w:hAnsi="Arial"/>
          <w:sz w:val="22"/>
          <w:szCs w:val="22"/>
          <w:color w:val="auto"/>
        </w:rPr>
      </w:pPr>
      <w:r>
        <w:rPr>
          <w:rFonts w:ascii="Arial" w:cs="Arial" w:eastAsia="Arial" w:hAnsi="Arial"/>
          <w:sz w:val="22"/>
          <w:szCs w:val="22"/>
          <w:color w:val="auto"/>
        </w:rPr>
        <w:t xml:space="preserve">Investment income (loss), net includes interest income, dividend income, and gains and losses on the sales and exchanges of marketable securities and long-term investments. We recognize realized gains and losses using the specific identification method. Investment income (loss), net also includes unrealized gains or losses on trading securities, fair value adjustments on derivative instruments and hedged items, and impairment losses resulting from adjustments to the net realizable value of certain of our investments (see </w:t>
      </w:r>
      <w:hyperlink w:anchor="page78">
        <w:r>
          <w:rPr>
            <w:rFonts w:ascii="Arial" w:cs="Arial" w:eastAsia="Arial" w:hAnsi="Arial"/>
            <w:sz w:val="22"/>
            <w:szCs w:val="22"/>
            <w:u w:val="single" w:color="auto"/>
            <w:color w:val="0000EE"/>
          </w:rPr>
          <w:t>Note 6</w:t>
        </w:r>
      </w:hyperlink>
      <w:r>
        <w:rPr>
          <w:rFonts w:ascii="Arial" w:cs="Arial" w:eastAsia="Arial" w:hAnsi="Arial"/>
          <w:sz w:val="22"/>
          <w:szCs w:val="22"/>
          <w:color w:val="auto"/>
        </w:rPr>
        <w: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Income Taxes</w:t>
      </w:r>
    </w:p>
    <w:p>
      <w:pPr>
        <w:spacing w:after="0" w:line="8" w:lineRule="exact"/>
        <w:rPr>
          <w:sz w:val="20"/>
          <w:szCs w:val="20"/>
          <w:color w:val="auto"/>
        </w:rPr>
      </w:pPr>
    </w:p>
    <w:p>
      <w:pPr>
        <w:ind w:left="460" w:right="260"/>
        <w:spacing w:after="0" w:line="280" w:lineRule="auto"/>
        <w:rPr>
          <w:rFonts w:ascii="Arial" w:cs="Arial" w:eastAsia="Arial" w:hAnsi="Arial"/>
          <w:sz w:val="19"/>
          <w:szCs w:val="19"/>
          <w:color w:val="auto"/>
        </w:rPr>
      </w:pPr>
      <w:r>
        <w:rPr>
          <w:rFonts w:ascii="Arial" w:cs="Arial" w:eastAsia="Arial" w:hAnsi="Arial"/>
          <w:sz w:val="19"/>
          <w:szCs w:val="19"/>
          <w:color w:val="auto"/>
        </w:rPr>
        <w:t xml:space="preserve">We recognize deferred tax assets and liabilities for temporary differences between the financial reporting basis and the tax basis of our assets and liabilities and expected benefits of utilizing net operating loss carryforwards. The impact on deferred taxes of changes in tax rates and laws, if any, applied to the years during which temporary differences are expected to be settled, are reflected in the consolidated financial statements in the period of enactment (see </w:t>
      </w:r>
      <w:hyperlink w:anchor="page90">
        <w:r>
          <w:rPr>
            <w:rFonts w:ascii="Arial" w:cs="Arial" w:eastAsia="Arial" w:hAnsi="Arial"/>
            <w:sz w:val="19"/>
            <w:szCs w:val="19"/>
            <w:u w:val="single" w:color="auto"/>
            <w:color w:val="0000EE"/>
          </w:rPr>
          <w:t>Note 11</w:t>
        </w:r>
      </w:hyperlink>
      <w:r>
        <w:rPr>
          <w:rFonts w:ascii="Arial" w:cs="Arial" w:eastAsia="Arial" w:hAnsi="Arial"/>
          <w:sz w:val="19"/>
          <w:szCs w:val="19"/>
          <w:color w:val="auto"/>
        </w:rPr>
        <w:t>).</w:t>
      </w:r>
    </w:p>
    <w:p>
      <w:pPr>
        <w:spacing w:after="0" w:line="394"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Derivative Financial Instruments</w:t>
      </w:r>
    </w:p>
    <w:p>
      <w:pPr>
        <w:spacing w:after="0" w:line="8" w:lineRule="exact"/>
        <w:rPr>
          <w:sz w:val="20"/>
          <w:szCs w:val="20"/>
          <w:color w:val="auto"/>
        </w:rPr>
      </w:pPr>
    </w:p>
    <w:p>
      <w:pPr>
        <w:ind w:left="460"/>
        <w:spacing w:after="0" w:line="271" w:lineRule="auto"/>
        <w:rPr>
          <w:sz w:val="20"/>
          <w:szCs w:val="20"/>
          <w:color w:val="auto"/>
        </w:rPr>
      </w:pPr>
      <w:r>
        <w:rPr>
          <w:rFonts w:ascii="Arial" w:cs="Arial" w:eastAsia="Arial" w:hAnsi="Arial"/>
          <w:sz w:val="19"/>
          <w:szCs w:val="19"/>
          <w:color w:val="auto"/>
        </w:rPr>
        <w:t>We use derivative financial instruments for a number of purposes. We manage our exposure to fluctuations in interest rates by entering into interest rate exchange agreements (“Swaps”), interest rate lock agreements (“Rate Locks”), interest rate cap agreements (“Caps”) and interest rate collar agreements (“Collars”). We manage the cost of our share repurchases through the sale of equity put option contracts (“Comcast Put Options”). We manage our exposure to fluctuations in the value of certain of our investments by entering into equity collar agreements (“Equity Collars”) and equity put option agreements (“Equity Put Options”). We make investments in businesses, to some degree, through the purchase of equity call option or call warrant agreements (“Equity Warrants”). We have issued indexed debt instruments (“Exchangeable Notes” and “ZONES”) and entered into prepaid forward sale agreements (“Prepaid Forward Sales”) whose value, in part, is derived from the market value of certain publicly traded common stock, and have also sold call options on certain of our investments in equity securities in order to monetize a portion of those investments. Equity hedges are used to manage exposure to changes in equity</w:t>
      </w:r>
    </w:p>
    <w:p>
      <w:pPr>
        <w:sectPr>
          <w:pgSz w:w="11900" w:h="16838" w:orient="portrait"/>
          <w:cols w:equalWidth="0" w:num="1">
            <w:col w:w="11420"/>
          </w:cols>
          <w:pgMar w:left="240" w:top="118" w:right="239" w:bottom="0" w:gutter="0" w:footer="0" w:header="0"/>
        </w:sectPr>
      </w:pPr>
    </w:p>
    <w:bookmarkStart w:id="69" w:name="page70"/>
    <w:bookmarkEnd w:id="69"/>
    <w:p>
      <w:pPr>
        <w:ind w:left="460" w:right="620"/>
        <w:spacing w:after="0" w:line="251" w:lineRule="auto"/>
        <w:rPr>
          <w:sz w:val="20"/>
          <w:szCs w:val="20"/>
          <w:color w:val="auto"/>
        </w:rPr>
      </w:pPr>
      <w:r>
        <w:rPr>
          <w:rFonts w:ascii="Arial" w:cs="Arial" w:eastAsia="Arial" w:hAnsi="Arial"/>
          <w:sz w:val="22"/>
          <w:szCs w:val="22"/>
          <w:color w:val="auto"/>
        </w:rPr>
        <w:t>prices associated with stock appreciation rights of certain of Broadband’s previously affiliated companies. These equity hedges are recorded at fair value based on market quotes.</w:t>
      </w:r>
    </w:p>
    <w:p>
      <w:pPr>
        <w:spacing w:after="0" w:line="201" w:lineRule="exact"/>
        <w:rPr>
          <w:sz w:val="20"/>
          <w:szCs w:val="20"/>
          <w:color w:val="auto"/>
        </w:rPr>
      </w:pPr>
    </w:p>
    <w:p>
      <w:pPr>
        <w:ind w:left="460" w:right="140"/>
        <w:spacing w:after="0" w:line="328" w:lineRule="auto"/>
        <w:rPr>
          <w:sz w:val="20"/>
          <w:szCs w:val="20"/>
          <w:color w:val="auto"/>
        </w:rPr>
      </w:pPr>
      <w:r>
        <w:rPr>
          <w:rFonts w:ascii="Arial" w:cs="Arial" w:eastAsia="Arial" w:hAnsi="Arial"/>
          <w:sz w:val="19"/>
          <w:szCs w:val="19"/>
          <w:color w:val="auto"/>
        </w:rPr>
        <w:t>On January 1, 2001, we adopted SFAS No. 133, “Accounting for Derivative Instruments and Hedging Activities.” SFAS No. 133 established accounting and reporting standards for derivative instruments, including certain derivative</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spacing w:after="0" w:line="234" w:lineRule="auto"/>
        <w:rPr>
          <w:sz w:val="20"/>
          <w:szCs w:val="20"/>
          <w:color w:val="auto"/>
        </w:rPr>
      </w:pPr>
      <w:r>
        <w:rPr>
          <w:rFonts w:ascii="Arial" w:cs="Arial" w:eastAsia="Arial" w:hAnsi="Arial"/>
          <w:sz w:val="22"/>
          <w:szCs w:val="22"/>
          <w:color w:val="auto"/>
        </w:rPr>
        <w:t>instruments embedded in other contracts and hedging activities. SFAS No. 133 requires that all derivative instruments, whether designated in hedging relationships or not, be recorded on the balance sheet at their fair values. Upon adoption of SFAS No. 133, we recognized as income a cumulative effect of accounting change, net of related income taxes, of $385 million. The increase in income consisted of a $400 million adjustment to record the debt component of indexed debt at a discount from its value at maturity and $192 million principally related to the reclassification of gains previously recognized as a component of accumulated other comprehensive income (loss) on our equity derivative instruments, net of related income taxes of $207 million.</w:t>
      </w:r>
    </w:p>
    <w:p>
      <w:pPr>
        <w:spacing w:after="0" w:line="218" w:lineRule="exact"/>
        <w:rPr>
          <w:sz w:val="20"/>
          <w:szCs w:val="20"/>
          <w:color w:val="auto"/>
        </w:rPr>
      </w:pPr>
    </w:p>
    <w:p>
      <w:pPr>
        <w:ind w:left="460" w:right="220"/>
        <w:spacing w:after="0" w:line="277" w:lineRule="auto"/>
        <w:rPr>
          <w:sz w:val="20"/>
          <w:szCs w:val="20"/>
          <w:color w:val="auto"/>
        </w:rPr>
      </w:pPr>
      <w:r>
        <w:rPr>
          <w:rFonts w:ascii="Arial" w:cs="Arial" w:eastAsia="Arial" w:hAnsi="Arial"/>
          <w:sz w:val="19"/>
          <w:szCs w:val="19"/>
          <w:color w:val="auto"/>
        </w:rPr>
        <w:t>For derivative instruments designated and effective as fair value hedges, such as our Equity Collars, Equity Put Options and Fixed to Variable Swaps, changes in the fair value of the derivative instrument are substantially offset in the consolidated statement of operations by changes in the fair value of the hedged item. For derivative instruments designated as cash flow hedges, such as our Variable to Fixed Swaps and Rate Locks, the effective portion of any hedge is reported in other comprehensive income (loss) until it is recognized in earnings during the same period in which the hedged item affects earnings. The ineffective portion of all hedges is recognized in current earnings each period. Changes in the fair value of derivative instruments that are not designated as a hedge are recorded each period in current earnings.</w:t>
      </w:r>
    </w:p>
    <w:p>
      <w:pPr>
        <w:spacing w:after="0" w:line="180" w:lineRule="exact"/>
        <w:rPr>
          <w:sz w:val="20"/>
          <w:szCs w:val="20"/>
          <w:color w:val="auto"/>
        </w:rPr>
      </w:pPr>
    </w:p>
    <w:p>
      <w:pPr>
        <w:jc w:val="both"/>
        <w:ind w:left="460" w:right="20"/>
        <w:spacing w:after="0" w:line="287" w:lineRule="auto"/>
        <w:rPr>
          <w:sz w:val="20"/>
          <w:szCs w:val="20"/>
          <w:color w:val="auto"/>
        </w:rPr>
      </w:pPr>
      <w:r>
        <w:rPr>
          <w:rFonts w:ascii="Arial" w:cs="Arial" w:eastAsia="Arial" w:hAnsi="Arial"/>
          <w:sz w:val="19"/>
          <w:szCs w:val="19"/>
          <w:color w:val="auto"/>
        </w:rPr>
        <w:t>When a fair value hedge is terminated, sold, exercised or has expired, the adjustment in the carrying amount of the fair value hedged item is deferred and recognized into earnings when the hedged item is recognized in earnings. When a hedged item is settled or sold, the adjustment in the carrying amount of the hedged item is recognized in earnings. When hedged variable rate debt is settled, the previously deferred effective portion of the hedge is written off similar to debt extinguishment costs.</w:t>
      </w:r>
    </w:p>
    <w:p>
      <w:pPr>
        <w:spacing w:after="0" w:line="170" w:lineRule="exact"/>
        <w:rPr>
          <w:sz w:val="20"/>
          <w:szCs w:val="20"/>
          <w:color w:val="auto"/>
        </w:rPr>
      </w:pPr>
    </w:p>
    <w:p>
      <w:pPr>
        <w:ind w:left="460" w:right="900"/>
        <w:spacing w:after="0" w:line="251" w:lineRule="auto"/>
        <w:rPr>
          <w:sz w:val="20"/>
          <w:szCs w:val="20"/>
          <w:color w:val="auto"/>
        </w:rPr>
      </w:pPr>
      <w:r>
        <w:rPr>
          <w:rFonts w:ascii="Arial" w:cs="Arial" w:eastAsia="Arial" w:hAnsi="Arial"/>
          <w:sz w:val="22"/>
          <w:szCs w:val="22"/>
          <w:color w:val="auto"/>
        </w:rPr>
        <w:t>Equity Warrants and Equity Collars are adjusted to estimated fair value on a current basis with the result included in investment income (loss), net in our consolidated statement of operations.</w:t>
      </w:r>
    </w:p>
    <w:p>
      <w:pPr>
        <w:spacing w:after="0" w:line="200" w:lineRule="exact"/>
        <w:rPr>
          <w:sz w:val="20"/>
          <w:szCs w:val="20"/>
          <w:color w:val="auto"/>
        </w:rPr>
      </w:pPr>
    </w:p>
    <w:p>
      <w:pPr>
        <w:ind w:left="460"/>
        <w:spacing w:after="0" w:line="238" w:lineRule="auto"/>
        <w:rPr>
          <w:sz w:val="20"/>
          <w:szCs w:val="20"/>
          <w:color w:val="auto"/>
        </w:rPr>
      </w:pPr>
      <w:r>
        <w:rPr>
          <w:rFonts w:ascii="Arial" w:cs="Arial" w:eastAsia="Arial" w:hAnsi="Arial"/>
          <w:sz w:val="22"/>
          <w:szCs w:val="22"/>
          <w:color w:val="auto"/>
        </w:rPr>
        <w:t>Derivative instruments embedded in other contracts, such as our Exchangeable Notes, ZONES and Prepaid Forward Sales, are separated into their host and derivative financial instrument components. The derivative component is recorded at its estimated fair value in our consolidated balance sheet with changes in estimated fair value recorded in investment income (loss), net.</w:t>
      </w:r>
    </w:p>
    <w:p>
      <w:pPr>
        <w:spacing w:after="0" w:line="212" w:lineRule="exact"/>
        <w:rPr>
          <w:sz w:val="20"/>
          <w:szCs w:val="20"/>
          <w:color w:val="auto"/>
        </w:rPr>
      </w:pPr>
    </w:p>
    <w:p>
      <w:pPr>
        <w:ind w:left="460"/>
        <w:spacing w:after="0" w:line="236" w:lineRule="auto"/>
        <w:rPr>
          <w:sz w:val="20"/>
          <w:szCs w:val="20"/>
          <w:color w:val="auto"/>
        </w:rPr>
      </w:pPr>
      <w:r>
        <w:rPr>
          <w:rFonts w:ascii="Arial" w:cs="Arial" w:eastAsia="Arial" w:hAnsi="Arial"/>
          <w:sz w:val="22"/>
          <w:szCs w:val="22"/>
          <w:color w:val="auto"/>
        </w:rPr>
        <w:t>We periodically examine those instruments we use to hedge exposure to interest rate and equity price risks to ensure that the instruments are matched with underlying assets or liabilities, reduce our risks relating to interest rates or equity prices and, through market value and sensitivity analysis, maintain a high correlation to the risk inherent in the hedged item. For those instruments that do not meet the above criteria, variations in their fair value are reflected on a current basis in our consolidated statement of operations.</w:t>
      </w:r>
    </w:p>
    <w:p>
      <w:pPr>
        <w:spacing w:after="0" w:line="215" w:lineRule="exact"/>
        <w:rPr>
          <w:sz w:val="20"/>
          <w:szCs w:val="20"/>
          <w:color w:val="auto"/>
        </w:rPr>
      </w:pPr>
    </w:p>
    <w:p>
      <w:pPr>
        <w:ind w:left="460" w:right="100"/>
        <w:spacing w:after="0" w:line="252" w:lineRule="auto"/>
        <w:rPr>
          <w:rFonts w:ascii="Arial" w:cs="Arial" w:eastAsia="Arial" w:hAnsi="Arial"/>
          <w:sz w:val="21"/>
          <w:szCs w:val="21"/>
          <w:color w:val="auto"/>
        </w:rPr>
      </w:pPr>
      <w:r>
        <w:rPr>
          <w:rFonts w:ascii="Arial" w:cs="Arial" w:eastAsia="Arial" w:hAnsi="Arial"/>
          <w:sz w:val="21"/>
          <w:szCs w:val="21"/>
          <w:color w:val="auto"/>
        </w:rPr>
        <w:t xml:space="preserve">We do not hold or issue any derivative financial instruments for trading purposes and are not a party to leveraged instruments (see </w:t>
      </w:r>
      <w:hyperlink w:anchor="page83">
        <w:r>
          <w:rPr>
            <w:rFonts w:ascii="Arial" w:cs="Arial" w:eastAsia="Arial" w:hAnsi="Arial"/>
            <w:sz w:val="21"/>
            <w:szCs w:val="21"/>
            <w:u w:val="single" w:color="auto"/>
            <w:color w:val="0000EE"/>
          </w:rPr>
          <w:t>Note 8</w:t>
        </w:r>
      </w:hyperlink>
      <w:r>
        <w:rPr>
          <w:rFonts w:ascii="Arial" w:cs="Arial" w:eastAsia="Arial" w:hAnsi="Arial"/>
          <w:sz w:val="21"/>
          <w:szCs w:val="21"/>
          <w:color w:val="auto"/>
        </w:rPr>
        <w:t>). 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Sale of Stock by a Subsidiary or Equity Method Investee</w:t>
      </w:r>
    </w:p>
    <w:p>
      <w:pPr>
        <w:spacing w:after="0" w:line="8" w:lineRule="exact"/>
        <w:rPr>
          <w:sz w:val="20"/>
          <w:szCs w:val="20"/>
          <w:color w:val="auto"/>
        </w:rPr>
      </w:pPr>
    </w:p>
    <w:p>
      <w:pPr>
        <w:jc w:val="both"/>
        <w:ind w:left="460" w:right="80"/>
        <w:spacing w:after="0" w:line="233" w:lineRule="auto"/>
        <w:rPr>
          <w:sz w:val="20"/>
          <w:szCs w:val="20"/>
          <w:color w:val="auto"/>
        </w:rPr>
      </w:pPr>
      <w:r>
        <w:rPr>
          <w:rFonts w:ascii="Arial" w:cs="Arial" w:eastAsia="Arial" w:hAnsi="Arial"/>
          <w:sz w:val="22"/>
          <w:szCs w:val="22"/>
          <w:color w:val="auto"/>
        </w:rPr>
        <w:t>Changes in our proportionate share of the underlying equity of a consolidated subsidiary or equity method investee that result from the issuance of additional securities by such subsidiary or investee are recognized as gains or losses in our consolidated statement of operations unless gain realization is not assured in the circumstances. Gains for which realization is not assured are credited directly to additional capital.</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Securities Lending Transactions</w:t>
      </w:r>
    </w:p>
    <w:p>
      <w:pPr>
        <w:spacing w:after="0" w:line="8" w:lineRule="exact"/>
        <w:rPr>
          <w:sz w:val="20"/>
          <w:szCs w:val="20"/>
          <w:color w:val="auto"/>
        </w:rPr>
      </w:pPr>
    </w:p>
    <w:p>
      <w:pPr>
        <w:ind w:left="460" w:right="200"/>
        <w:spacing w:after="0" w:line="256" w:lineRule="auto"/>
        <w:rPr>
          <w:sz w:val="20"/>
          <w:szCs w:val="20"/>
          <w:color w:val="auto"/>
        </w:rPr>
      </w:pPr>
      <w:r>
        <w:rPr>
          <w:rFonts w:ascii="Arial" w:cs="Arial" w:eastAsia="Arial" w:hAnsi="Arial"/>
          <w:sz w:val="21"/>
          <w:szCs w:val="21"/>
          <w:color w:val="auto"/>
        </w:rPr>
        <w:t>We may enter into securities lending transactions pursuant to which we require the borrower to provide cash collateral equal to the value of the loaned securities, as adjusted for any changes in the value of the underlying</w:t>
      </w:r>
    </w:p>
    <w:p>
      <w:pPr>
        <w:sectPr>
          <w:pgSz w:w="11900" w:h="16838" w:orient="portrait"/>
          <w:cols w:equalWidth="0" w:num="1">
            <w:col w:w="11400"/>
          </w:cols>
          <w:pgMar w:left="240" w:top="118" w:right="259" w:bottom="41"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637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18" w:right="259" w:bottom="41" w:gutter="0" w:footer="0" w:header="0"/>
          <w:type w:val="continuous"/>
        </w:sectPr>
      </w:pPr>
    </w:p>
    <w:bookmarkStart w:id="70" w:name="page71"/>
    <w:bookmarkEnd w:id="70"/>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right="240"/>
        <w:spacing w:after="0" w:line="251" w:lineRule="auto"/>
        <w:rPr>
          <w:sz w:val="20"/>
          <w:szCs w:val="20"/>
          <w:color w:val="auto"/>
        </w:rPr>
      </w:pPr>
      <w:r>
        <w:rPr>
          <w:rFonts w:ascii="Arial" w:cs="Arial" w:eastAsia="Arial" w:hAnsi="Arial"/>
          <w:sz w:val="22"/>
          <w:szCs w:val="22"/>
          <w:color w:val="auto"/>
        </w:rPr>
        <w:t>loaned securities. Loaned securities for which we maintain effective control are included in investments in our consolidated balance sheet.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Reclassifications</w:t>
      </w:r>
    </w:p>
    <w:p>
      <w:pPr>
        <w:spacing w:after="0" w:line="8" w:lineRule="exact"/>
        <w:rPr>
          <w:sz w:val="20"/>
          <w:szCs w:val="20"/>
          <w:color w:val="auto"/>
        </w:rPr>
      </w:pPr>
    </w:p>
    <w:p>
      <w:pPr>
        <w:ind w:left="460" w:right="1140"/>
        <w:spacing w:after="0" w:line="237" w:lineRule="auto"/>
        <w:rPr>
          <w:sz w:val="20"/>
          <w:szCs w:val="20"/>
          <w:color w:val="auto"/>
        </w:rPr>
      </w:pPr>
      <w:r>
        <w:rPr>
          <w:rFonts w:ascii="Arial" w:cs="Arial" w:eastAsia="Arial" w:hAnsi="Arial"/>
          <w:sz w:val="22"/>
          <w:szCs w:val="22"/>
          <w:color w:val="auto"/>
        </w:rPr>
        <w:t>Certain reclassifications have been made to the prior years’ consolidated financial statements to conform to those classifications used in 2003.</w:t>
      </w:r>
    </w:p>
    <w:p>
      <w:pPr>
        <w:spacing w:after="0" w:line="212"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RECENT ACCOUNTING PRONOUNCEMENTS</w:t>
      </w:r>
    </w:p>
    <w:p>
      <w:pPr>
        <w:spacing w:after="0" w:line="233"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22"/>
          <w:szCs w:val="22"/>
          <w:i w:val="1"/>
          <w:iCs w:val="1"/>
          <w:color w:val="auto"/>
        </w:rPr>
        <w:t>SFAS No. 143</w:t>
      </w:r>
    </w:p>
    <w:p>
      <w:pPr>
        <w:spacing w:after="0" w:line="8" w:lineRule="exact"/>
        <w:rPr>
          <w:rFonts w:ascii="Arial" w:cs="Arial" w:eastAsia="Arial" w:hAnsi="Arial"/>
          <w:sz w:val="22"/>
          <w:szCs w:val="22"/>
          <w:color w:val="auto"/>
        </w:rPr>
      </w:pPr>
    </w:p>
    <w:p>
      <w:pPr>
        <w:ind w:left="460"/>
        <w:spacing w:after="0" w:line="270" w:lineRule="auto"/>
        <w:rPr>
          <w:rFonts w:ascii="Arial" w:cs="Arial" w:eastAsia="Arial" w:hAnsi="Arial"/>
          <w:sz w:val="22"/>
          <w:szCs w:val="22"/>
          <w:color w:val="auto"/>
        </w:rPr>
      </w:pPr>
      <w:r>
        <w:rPr>
          <w:rFonts w:ascii="Arial" w:cs="Arial" w:eastAsia="Arial" w:hAnsi="Arial"/>
          <w:sz w:val="19"/>
          <w:szCs w:val="19"/>
          <w:color w:val="auto"/>
        </w:rPr>
        <w:t>The FASB issued SFAS No. 143, “Accounting for Asset Retirement Obligations,” in June 2001. SFAS No. 143 addresses financial accounting and reporting for obligations associated with the retirement of tangible long-lived assets and the associated asset retirement costs. SFAS No. 143 is effective for fiscal years beginning after June 15, 2002. We adopted SFAS No. 143 on January 1, 2003. SFAS No. 143 requires that a liability be recognized for an asset retirement obligation in the period in which it is incurred if a reasonable estimate of fair value can be made. Certain of our franchise agreements and leases contain provisions requiring us to restore facilities or remove equipment in the event that the franchise or lease agreement is not renewed. We expect to continually renew our franchise agreements and have concluded that the related franchise right is an indefinite-lived intangible asset. Accordingly, it is remote that we would be required to incur significant restoration or removal costs. We would record an estimated liability in the unlikely event a franchise agreement containing such a provision is no longer expected to be renewed. We also expect to renew many of our lease agreements related to the continued operation of our cable business in the franchise areas. For our lease agreements, the liabilities related to the removal provisions, if any, are either not estimable due to the wide range of potential expiration dates or are not material.</w:t>
      </w:r>
    </w:p>
    <w:p>
      <w:pPr>
        <w:spacing w:after="0" w:line="192"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22"/>
          <w:szCs w:val="22"/>
          <w:i w:val="1"/>
          <w:iCs w:val="1"/>
          <w:color w:val="auto"/>
        </w:rPr>
        <w:t>SFAS No. 148</w:t>
      </w:r>
    </w:p>
    <w:p>
      <w:pPr>
        <w:spacing w:after="0" w:line="8" w:lineRule="exact"/>
        <w:rPr>
          <w:rFonts w:ascii="Arial" w:cs="Arial" w:eastAsia="Arial" w:hAnsi="Arial"/>
          <w:sz w:val="22"/>
          <w:szCs w:val="22"/>
          <w:color w:val="auto"/>
        </w:rPr>
      </w:pPr>
    </w:p>
    <w:p>
      <w:pPr>
        <w:ind w:left="460" w:right="80"/>
        <w:spacing w:after="0" w:line="273" w:lineRule="auto"/>
        <w:rPr>
          <w:rFonts w:ascii="Arial" w:cs="Arial" w:eastAsia="Arial" w:hAnsi="Arial"/>
          <w:sz w:val="22"/>
          <w:szCs w:val="22"/>
          <w:color w:val="auto"/>
        </w:rPr>
      </w:pPr>
      <w:r>
        <w:rPr>
          <w:rFonts w:ascii="Arial" w:cs="Arial" w:eastAsia="Arial" w:hAnsi="Arial"/>
          <w:sz w:val="19"/>
          <w:szCs w:val="19"/>
          <w:color w:val="auto"/>
        </w:rPr>
        <w:t>The FASB issued SFAS No. 148, “Accounting for Stock-Based Compensation — Transition and Disclosure,” in December 2002. SFAS No. 148 amends SFAS No. 123 to provide alternative methods of transition for an entity that voluntarily changes to the fair value based method of accounting for stock-based employee compensation. SFAS No. 148 also amends the disclosure provisions of SFAS No. 123 to require disclosure about the effects on reported net income of an entity’s stock-based employee compensation in interim financial statements. SFAS No. 148 is effective for fiscal years beginning after December 31, 2002. We adopted SFAS No. 148 on January 1, 2003. We did not change to the fair value based method of accounting for stock-based employee compensation. Accordingly, the adoption of SFAS No. 148 would only affect our financial condition or results of operations if we elect to change to the fair value method specified in SFAS No. 123.</w:t>
      </w:r>
    </w:p>
    <w:p>
      <w:pPr>
        <w:spacing w:after="0" w:line="181"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22"/>
          <w:szCs w:val="22"/>
          <w:i w:val="1"/>
          <w:iCs w:val="1"/>
          <w:color w:val="auto"/>
        </w:rPr>
        <w:t>SFAS No. 149</w:t>
      </w:r>
    </w:p>
    <w:p>
      <w:pPr>
        <w:spacing w:after="0" w:line="8" w:lineRule="exact"/>
        <w:rPr>
          <w:rFonts w:ascii="Arial" w:cs="Arial" w:eastAsia="Arial" w:hAnsi="Arial"/>
          <w:sz w:val="22"/>
          <w:szCs w:val="22"/>
          <w:color w:val="auto"/>
        </w:rPr>
      </w:pPr>
    </w:p>
    <w:p>
      <w:pPr>
        <w:ind w:left="460"/>
        <w:spacing w:after="0" w:line="275" w:lineRule="auto"/>
        <w:rPr>
          <w:rFonts w:ascii="Arial" w:cs="Arial" w:eastAsia="Arial" w:hAnsi="Arial"/>
          <w:sz w:val="22"/>
          <w:szCs w:val="22"/>
          <w:color w:val="auto"/>
        </w:rPr>
      </w:pPr>
      <w:r>
        <w:rPr>
          <w:rFonts w:ascii="Arial" w:cs="Arial" w:eastAsia="Arial" w:hAnsi="Arial"/>
          <w:sz w:val="19"/>
          <w:szCs w:val="19"/>
          <w:color w:val="auto"/>
        </w:rPr>
        <w:t>In April 2003, the FASB issued SFAS No. 149, “Amendment of Statement 133 on Derivative Instruments and Hedging Activities.” The Statement amends and clarifies accounting for derivative instruments, including certain derivative instruments embedded in other contracts, and for hedging activities under SFAS No. 133. SFAS No. 149 is effective for contracts entered into or modified after June 30, 2003, for hedging relationships designated after June 30, 2003, and to certain preexisting contracts. We adopted SFAS No. 149 on July 1, 2003 on a prospective basis in accordance with the new statement. The adoption of SFAS No. 149 did not have a material impact on our financial condition or results of operations.</w:t>
      </w:r>
    </w:p>
    <w:p>
      <w:pPr>
        <w:spacing w:after="0" w:line="181"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22"/>
          <w:szCs w:val="22"/>
          <w:i w:val="1"/>
          <w:iCs w:val="1"/>
          <w:color w:val="auto"/>
        </w:rPr>
        <w:t>SFAS No. 150</w:t>
      </w:r>
    </w:p>
    <w:p>
      <w:pPr>
        <w:spacing w:after="0" w:line="8" w:lineRule="exact"/>
        <w:rPr>
          <w:rFonts w:ascii="Arial" w:cs="Arial" w:eastAsia="Arial" w:hAnsi="Arial"/>
          <w:sz w:val="22"/>
          <w:szCs w:val="22"/>
          <w:color w:val="auto"/>
        </w:rPr>
      </w:pPr>
    </w:p>
    <w:p>
      <w:pPr>
        <w:ind w:left="460" w:right="260"/>
        <w:spacing w:after="0" w:line="244" w:lineRule="auto"/>
        <w:rPr>
          <w:rFonts w:ascii="Arial" w:cs="Arial" w:eastAsia="Arial" w:hAnsi="Arial"/>
          <w:sz w:val="22"/>
          <w:szCs w:val="22"/>
          <w:color w:val="auto"/>
        </w:rPr>
      </w:pPr>
      <w:r>
        <w:rPr>
          <w:rFonts w:ascii="Arial" w:cs="Arial" w:eastAsia="Arial" w:hAnsi="Arial"/>
          <w:sz w:val="21"/>
          <w:szCs w:val="21"/>
          <w:color w:val="auto"/>
        </w:rPr>
        <w:t>In May 2003, the FASB issued SFAS No. 150, “Accounting for Certain Financial Instruments with Characteristics of both Liabilities and Equity.” This Statement establishes standards for how an issuer classifies and measures certain financial instruments with characteristics of both liabilities and equity. SFAS No. 150 requires that an issuer classify a financial instrument that is within its scope as a liability or, in some circumstances, as an asset, with many such financial instruments having been previously classified as equity. We adopted SFAS No. 150 on July 1, 2003. In connection with the adoption of SFAS No. 150, we reclassified our subsidiary preferred shares totaling</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right="160"/>
        <w:spacing w:after="0" w:line="251" w:lineRule="auto"/>
        <w:rPr>
          <w:sz w:val="20"/>
          <w:szCs w:val="20"/>
          <w:color w:val="auto"/>
        </w:rPr>
      </w:pPr>
      <w:r>
        <w:rPr>
          <w:rFonts w:ascii="Arial" w:cs="Arial" w:eastAsia="Arial" w:hAnsi="Arial"/>
          <w:sz w:val="22"/>
          <w:szCs w:val="22"/>
          <w:color w:val="auto"/>
        </w:rPr>
        <w:t>approximately $1.6 billion previously included in minority interest to other noncurrent liabilities in our consolidated balance sheet.</w:t>
      </w:r>
    </w:p>
    <w:p>
      <w:pPr>
        <w:spacing w:after="0" w:line="200" w:lineRule="exact"/>
        <w:rPr>
          <w:sz w:val="20"/>
          <w:szCs w:val="20"/>
          <w:color w:val="auto"/>
        </w:rPr>
      </w:pPr>
    </w:p>
    <w:p>
      <w:pPr>
        <w:ind w:left="460" w:right="80"/>
        <w:spacing w:after="0" w:line="328" w:lineRule="auto"/>
        <w:rPr>
          <w:sz w:val="20"/>
          <w:szCs w:val="20"/>
          <w:color w:val="auto"/>
        </w:rPr>
      </w:pPr>
      <w:r>
        <w:rPr>
          <w:rFonts w:ascii="Arial" w:cs="Arial" w:eastAsia="Arial" w:hAnsi="Arial"/>
          <w:sz w:val="19"/>
          <w:szCs w:val="19"/>
          <w:color w:val="auto"/>
        </w:rPr>
        <w:t>The FASB is addressing certain implementation issues associated with the application of SFAS No. 150. In October 2003, the FASB decided to defer certain provisions of SFAS No. 150 related to mandatorily redeemable financial instruments</w:t>
      </w:r>
    </w:p>
    <w:p>
      <w:pPr>
        <w:sectPr>
          <w:pgSz w:w="11900" w:h="16838" w:orient="portrait"/>
          <w:cols w:equalWidth="0" w:num="1">
            <w:col w:w="11400"/>
          </w:cols>
          <w:pgMar w:left="240" w:top="118" w:right="259" w:bottom="0" w:gutter="0" w:footer="0" w:header="0"/>
        </w:sectPr>
      </w:pPr>
    </w:p>
    <w:bookmarkStart w:id="71" w:name="page72"/>
    <w:bookmarkEnd w:id="71"/>
    <w:p>
      <w:pPr>
        <w:ind w:left="460" w:right="620"/>
        <w:spacing w:after="0" w:line="329" w:lineRule="auto"/>
        <w:rPr>
          <w:sz w:val="20"/>
          <w:szCs w:val="20"/>
          <w:color w:val="auto"/>
        </w:rPr>
      </w:pPr>
      <w:r>
        <w:rPr>
          <w:rFonts w:ascii="Arial" w:cs="Arial" w:eastAsia="Arial" w:hAnsi="Arial"/>
          <w:sz w:val="19"/>
          <w:szCs w:val="19"/>
          <w:color w:val="auto"/>
        </w:rPr>
        <w:t>representing non-controlling interests in subsidiaries included in consolidated financial statements. We will monitor the actions of the FASB and assess the impact, if any, that these actions may have on our financial statements.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FIN 45</w:t>
      </w:r>
    </w:p>
    <w:p>
      <w:pPr>
        <w:spacing w:after="0" w:line="8" w:lineRule="exact"/>
        <w:rPr>
          <w:sz w:val="20"/>
          <w:szCs w:val="20"/>
          <w:color w:val="auto"/>
        </w:rPr>
      </w:pPr>
    </w:p>
    <w:p>
      <w:pPr>
        <w:ind w:left="460"/>
        <w:spacing w:after="0" w:line="270" w:lineRule="auto"/>
        <w:rPr>
          <w:rFonts w:ascii="Arial" w:cs="Arial" w:eastAsia="Arial" w:hAnsi="Arial"/>
          <w:sz w:val="19"/>
          <w:szCs w:val="19"/>
          <w:color w:val="auto"/>
        </w:rPr>
      </w:pPr>
      <w:r>
        <w:rPr>
          <w:rFonts w:ascii="Arial" w:cs="Arial" w:eastAsia="Arial" w:hAnsi="Arial"/>
          <w:sz w:val="19"/>
          <w:szCs w:val="19"/>
          <w:color w:val="auto"/>
        </w:rPr>
        <w:t xml:space="preserve">In November 2002, the FASB issued Interpretation No. 45, “Guarantor’s Accounting and Disclosure Requirements for Guarantees, Including Indirect Guarantees of Indebtedness of Others” (“FIN 45”). FIN 45 expands on the accounting guidance of SFAS No.‘s 5, 57, and 107 and supercedes FIN 34. FIN 45 clarifies that a guarantor is required to disclose in its interim and annual financial statements its obligations under certain guarantees that it has issued, including the nature and terms of the guarantee, the maximum potential amount of future payments under the guarantee, the carrying amount, if any, for the guarantor’s obligations under the guarantee, and the nature and extent of any recourse provisions or available collateral that would enable the guarantor to recover the amounts paid under the guarantee. FIN 45 also clarifies that, for certain guarantees, a guarantor is required to recognize, at the inception of a guarantee, a liability for the fair value of the obligation undertaken in issuing the guarantee. FIN 45 does not prescribe a specific approach for subsequently measuring the guarantor’s recognized liability over the term of the related guarantee. The initial recognition and initial measurement provisions of FIN 45 apply on a prospective basis to certain guarantees issued or modified after December 31, 2002. The disclosure requirements in FIN 45 are effective for financial statements of interim or annual periods ending after December 15, 2002. We adopted the disclosure provisions of FIN 45 in the fourth quarter of 2002 and adopted the initial recognition and measurement provisions of FIN 45 on January 1, 2003, as required by the Interpretation (see </w:t>
      </w:r>
      <w:hyperlink w:anchor="page92">
        <w:r>
          <w:rPr>
            <w:rFonts w:ascii="Arial" w:cs="Arial" w:eastAsia="Arial" w:hAnsi="Arial"/>
            <w:sz w:val="19"/>
            <w:szCs w:val="19"/>
            <w:u w:val="single" w:color="auto"/>
            <w:color w:val="0000EE"/>
          </w:rPr>
          <w:t>Note 13</w:t>
        </w:r>
      </w:hyperlink>
      <w:r>
        <w:rPr>
          <w:rFonts w:ascii="Arial" w:cs="Arial" w:eastAsia="Arial" w:hAnsi="Arial"/>
          <w:sz w:val="19"/>
          <w:szCs w:val="19"/>
          <w:color w:val="auto"/>
        </w:rPr>
        <w:t>). The impact of the adoption of FIN 45 will depend on the nature and terms of guarantees into which we enter or modify in the future.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FIN 46/FIN 46R</w:t>
      </w:r>
    </w:p>
    <w:p>
      <w:pPr>
        <w:spacing w:after="0" w:line="8" w:lineRule="exact"/>
        <w:rPr>
          <w:sz w:val="20"/>
          <w:szCs w:val="20"/>
          <w:color w:val="auto"/>
        </w:rPr>
      </w:pPr>
    </w:p>
    <w:p>
      <w:pPr>
        <w:ind w:left="460"/>
        <w:spacing w:after="0" w:line="273" w:lineRule="auto"/>
        <w:rPr>
          <w:sz w:val="20"/>
          <w:szCs w:val="20"/>
          <w:color w:val="auto"/>
        </w:rPr>
      </w:pPr>
      <w:r>
        <w:rPr>
          <w:rFonts w:ascii="Arial" w:cs="Arial" w:eastAsia="Arial" w:hAnsi="Arial"/>
          <w:sz w:val="19"/>
          <w:szCs w:val="19"/>
          <w:color w:val="auto"/>
        </w:rPr>
        <w:t>In January 2003, the FASB issued Interpretation No. 46, “Consolidation of Variable Interest Entities” (“FIN 46”). We adopted the provisions of FIN 46 effective January 1, 2002. Since our initial application of FIN 46, the FASB addressed various implementation issues regarding the application of FIN 46 to entities outside its originally interpreted scope, focusing on SPEs. In December 2003, the FASB revised FIN 46 (“FIN 46R”), which delayed the required implementation date for entities that are not SPEs. We have elected to defer the adoption of FIN 46R until March 31, 2004 for our non-SPE entities, such as our equity method investments in operating companies. We are analyzing the effect of FIN 46R on the accounting for our equity method investments and do not believe it will have a material impact on our financial condition or results of operations.</w:t>
      </w:r>
    </w:p>
    <w:p>
      <w:pPr>
        <w:spacing w:after="0" w:line="187"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EARNINGS PER SHARE</w:t>
      </w:r>
    </w:p>
    <w:p>
      <w:pPr>
        <w:spacing w:after="0" w:line="233" w:lineRule="exact"/>
        <w:rPr>
          <w:rFonts w:ascii="Arial" w:cs="Arial" w:eastAsia="Arial" w:hAnsi="Arial"/>
          <w:sz w:val="22"/>
          <w:szCs w:val="22"/>
          <w:color w:val="auto"/>
        </w:rPr>
      </w:pPr>
    </w:p>
    <w:p>
      <w:pPr>
        <w:ind w:left="460"/>
        <w:spacing w:after="0" w:line="238" w:lineRule="auto"/>
        <w:rPr>
          <w:rFonts w:ascii="Arial" w:cs="Arial" w:eastAsia="Arial" w:hAnsi="Arial"/>
          <w:sz w:val="22"/>
          <w:szCs w:val="22"/>
          <w:color w:val="auto"/>
        </w:rPr>
      </w:pPr>
      <w:r>
        <w:rPr>
          <w:rFonts w:ascii="Arial" w:cs="Arial" w:eastAsia="Arial" w:hAnsi="Arial"/>
          <w:sz w:val="22"/>
          <w:szCs w:val="22"/>
          <w:color w:val="auto"/>
        </w:rPr>
        <w:t>Earnings (loss) per common share is computed by dividing net income (loss) for common stockholders by the weighted average number of common shares outstanding during the period on a basic and diluted basis. Weighted average shares outstanding for 2002 include 158.8 million of the 1.348 billion of our Class A common stock we issued in connection with the Broadband acquisition on November 18, 2002.</w:t>
      </w:r>
    </w:p>
    <w:p>
      <w:pPr>
        <w:spacing w:after="0" w:line="212" w:lineRule="exact"/>
        <w:rPr>
          <w:rFonts w:ascii="Arial" w:cs="Arial" w:eastAsia="Arial" w:hAnsi="Arial"/>
          <w:sz w:val="22"/>
          <w:szCs w:val="22"/>
          <w:color w:val="auto"/>
        </w:rPr>
      </w:pPr>
    </w:p>
    <w:p>
      <w:pPr>
        <w:ind w:left="460" w:right="60"/>
        <w:spacing w:after="0" w:line="247" w:lineRule="auto"/>
        <w:rPr>
          <w:rFonts w:ascii="Arial" w:cs="Arial" w:eastAsia="Arial" w:hAnsi="Arial"/>
          <w:sz w:val="21"/>
          <w:szCs w:val="21"/>
          <w:color w:val="auto"/>
        </w:rPr>
      </w:pPr>
      <w:r>
        <w:rPr>
          <w:rFonts w:ascii="Arial" w:cs="Arial" w:eastAsia="Arial" w:hAnsi="Arial"/>
          <w:sz w:val="21"/>
          <w:szCs w:val="21"/>
          <w:color w:val="auto"/>
        </w:rPr>
        <w:t xml:space="preserve">Our potentially dilutive securities include potential common shares related to our Zero Coupon Convertible Debentures due 2020 (the “Zero Coupon Debentures” — see </w:t>
      </w:r>
      <w:hyperlink w:anchor="page83">
        <w:r>
          <w:rPr>
            <w:rFonts w:ascii="Arial" w:cs="Arial" w:eastAsia="Arial" w:hAnsi="Arial"/>
            <w:sz w:val="21"/>
            <w:szCs w:val="21"/>
            <w:u w:val="single" w:color="auto"/>
            <w:color w:val="0000EE"/>
          </w:rPr>
          <w:t>Note 8</w:t>
        </w:r>
      </w:hyperlink>
      <w:r>
        <w:rPr>
          <w:rFonts w:ascii="Arial" w:cs="Arial" w:eastAsia="Arial" w:hAnsi="Arial"/>
          <w:sz w:val="21"/>
          <w:szCs w:val="21"/>
          <w:color w:val="auto"/>
        </w:rPr>
        <w:t>), stock options, restricted stock, Series B convertible preferred stock, and Comcast Put Options. Diluted earnings for common stockholders per common share (“Diluted EPS”) considers the impact of potentially dilutive securities except in periods in which there is a loss as the inclusion of the potential common shares would have an antidilutive effect. Diluted EPS excludes the impact of potential common shares related to our Zero Coupon Debentures in periods in which the weighted average closing sale price of our Class A Special common stock during the period is not greater than 110% of the accreted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right="20"/>
        <w:spacing w:after="0" w:line="279" w:lineRule="auto"/>
        <w:rPr>
          <w:rFonts w:ascii="Arial" w:cs="Arial" w:eastAsia="Arial" w:hAnsi="Arial"/>
          <w:sz w:val="19"/>
          <w:szCs w:val="19"/>
          <w:color w:val="auto"/>
        </w:rPr>
      </w:pPr>
      <w:r>
        <w:rPr>
          <w:rFonts w:ascii="Arial" w:cs="Arial" w:eastAsia="Arial" w:hAnsi="Arial"/>
          <w:sz w:val="19"/>
          <w:szCs w:val="19"/>
          <w:color w:val="auto"/>
        </w:rPr>
        <w:t xml:space="preserve">conversion price. Diluted EPS excludes the impact of potential common shares related to our stock options in periods in which the option exercise price is greater than the average market price of our common stock for the period. Diluted EPS excludes the impact of potential common shares related to Comcast Put Options in periods in which the Comcast Put Options’ exercise price was less than the average market price of our Class A Special common stock during the period. Diluted EPS excludes the impact of potential common shares related to our Class A Special common stock held in treasury because it is our intent to settle the related Comcast exchangeable notes using cash (see </w:t>
      </w:r>
      <w:hyperlink w:anchor="page83">
        <w:r>
          <w:rPr>
            <w:rFonts w:ascii="Arial" w:cs="Arial" w:eastAsia="Arial" w:hAnsi="Arial"/>
            <w:sz w:val="19"/>
            <w:szCs w:val="19"/>
            <w:u w:val="single" w:color="auto"/>
            <w:color w:val="0000EE"/>
          </w:rPr>
          <w:t>Note 8</w:t>
        </w:r>
      </w:hyperlink>
      <w:r>
        <w:rPr>
          <w:rFonts w:ascii="Arial" w:cs="Arial" w:eastAsia="Arial" w:hAnsi="Arial"/>
          <w:sz w:val="19"/>
          <w:szCs w:val="19"/>
          <w:color w:val="auto"/>
        </w:rPr>
        <w:t>).</w:t>
      </w:r>
    </w:p>
    <w:p>
      <w:pPr>
        <w:spacing w:after="0" w:line="178" w:lineRule="exact"/>
        <w:rPr>
          <w:sz w:val="20"/>
          <w:szCs w:val="20"/>
          <w:color w:val="auto"/>
        </w:rPr>
      </w:pPr>
    </w:p>
    <w:p>
      <w:pPr>
        <w:ind w:left="460"/>
        <w:spacing w:after="0" w:line="297" w:lineRule="auto"/>
        <w:rPr>
          <w:sz w:val="20"/>
          <w:szCs w:val="20"/>
          <w:color w:val="auto"/>
        </w:rPr>
      </w:pPr>
      <w:r>
        <w:rPr>
          <w:rFonts w:ascii="Arial" w:cs="Arial" w:eastAsia="Arial" w:hAnsi="Arial"/>
          <w:sz w:val="19"/>
          <w:szCs w:val="19"/>
          <w:color w:val="auto"/>
        </w:rPr>
        <w:t>Diluted EPS for 2003 and 2002 excludes approximately 145.5 million and 90.8 million potential common shares, respectively, related to our stock option plans, restricted stock plan and Zero Coupon Debentures because the assumed issuance of such potential common shares is antidilutive in periods in which there is a loss from continuing operations.</w:t>
      </w:r>
    </w:p>
    <w:p>
      <w:pPr>
        <w:spacing w:after="0" w:line="161" w:lineRule="exact"/>
        <w:rPr>
          <w:sz w:val="20"/>
          <w:szCs w:val="20"/>
          <w:color w:val="auto"/>
        </w:rPr>
      </w:pPr>
    </w:p>
    <w:p>
      <w:pPr>
        <w:ind w:left="460" w:right="120"/>
        <w:spacing w:after="0" w:line="251" w:lineRule="auto"/>
        <w:rPr>
          <w:sz w:val="20"/>
          <w:szCs w:val="20"/>
          <w:color w:val="auto"/>
        </w:rPr>
      </w:pPr>
      <w:r>
        <w:rPr>
          <w:rFonts w:ascii="Arial" w:cs="Arial" w:eastAsia="Arial" w:hAnsi="Arial"/>
          <w:sz w:val="22"/>
          <w:szCs w:val="22"/>
          <w:color w:val="auto"/>
        </w:rPr>
        <w:t>Diluted EPS for 2001 excludes approximately 25.9 million potential common shares related to our Zero Coupon Debentures, our stock option plans and our Put Options.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The following table reconciles the numerator and denominator of the computations of Diluted EPS for common stockholders</w:t>
      </w:r>
    </w:p>
    <w:p>
      <w:pPr>
        <w:sectPr>
          <w:pgSz w:w="11900" w:h="16838" w:orient="portrait"/>
          <w:cols w:equalWidth="0" w:num="1">
            <w:col w:w="11400"/>
          </w:cols>
          <w:pgMar w:left="240" w:top="118" w:right="259" w:bottom="0" w:gutter="0" w:footer="0" w:header="0"/>
        </w:sectPr>
      </w:pPr>
    </w:p>
    <w:bookmarkStart w:id="72" w:name="page73"/>
    <w:bookmarkEnd w:id="72"/>
    <w:p>
      <w:pPr>
        <w:ind w:left="460"/>
        <w:spacing w:after="0"/>
        <w:rPr>
          <w:sz w:val="20"/>
          <w:szCs w:val="20"/>
          <w:color w:val="auto"/>
        </w:rPr>
      </w:pPr>
      <w:r>
        <w:rPr>
          <w:rFonts w:ascii="Arial" w:cs="Arial" w:eastAsia="Arial" w:hAnsi="Arial"/>
          <w:sz w:val="22"/>
          <w:szCs w:val="22"/>
          <w:color w:val="auto"/>
        </w:rPr>
        <w:t>from continuing operations before cumulative effect of accounting change for the years presented:</w:t>
      </w:r>
    </w:p>
    <w:p>
      <w:pPr>
        <w:spacing w:after="0" w:line="234" w:lineRule="exact"/>
        <w:rPr>
          <w:sz w:val="20"/>
          <w:szCs w:val="20"/>
          <w:color w:val="auto"/>
        </w:rPr>
      </w:pPr>
    </w:p>
    <w:p>
      <w:pPr>
        <w:jc w:val="center"/>
        <w:ind w:left="1760"/>
        <w:spacing w:after="0"/>
        <w:rPr>
          <w:sz w:val="20"/>
          <w:szCs w:val="20"/>
          <w:color w:val="auto"/>
        </w:rPr>
      </w:pPr>
      <w:r>
        <w:rPr>
          <w:rFonts w:ascii="Arial" w:cs="Arial" w:eastAsia="Arial" w:hAnsi="Arial"/>
          <w:sz w:val="22"/>
          <w:szCs w:val="22"/>
          <w:color w:val="auto"/>
        </w:rPr>
        <w:t>(Amounts in millions, except per share data)</w:t>
      </w:r>
    </w:p>
    <w:p>
      <w:pPr>
        <w:spacing w:after="0" w:line="8" w:lineRule="exact"/>
        <w:rPr>
          <w:sz w:val="20"/>
          <w:szCs w:val="20"/>
          <w:color w:val="auto"/>
        </w:rPr>
      </w:pPr>
    </w:p>
    <w:p>
      <w:pPr>
        <w:jc w:val="center"/>
        <w:ind w:left="1760"/>
        <w:spacing w:after="0"/>
        <w:rPr>
          <w:sz w:val="20"/>
          <w:szCs w:val="20"/>
          <w:color w:val="auto"/>
        </w:rPr>
      </w:pPr>
      <w:r>
        <w:rPr>
          <w:rFonts w:ascii="Arial" w:cs="Arial" w:eastAsia="Arial" w:hAnsi="Arial"/>
          <w:sz w:val="22"/>
          <w:szCs w:val="22"/>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64770</wp:posOffset>
            </wp:positionV>
            <wp:extent cx="4493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493895" cy="8890"/>
                    </a:xfrm>
                    <a:prstGeom prst="rect">
                      <a:avLst/>
                    </a:prstGeom>
                    <a:noFill/>
                  </pic:spPr>
                </pic:pic>
              </a:graphicData>
            </a:graphic>
          </wp:anchor>
        </w:drawing>
      </w:r>
    </w:p>
    <w:p>
      <w:pPr>
        <w:spacing w:after="0" w:line="182" w:lineRule="exact"/>
        <w:rPr>
          <w:sz w:val="20"/>
          <w:szCs w:val="20"/>
          <w:color w:val="auto"/>
        </w:rPr>
      </w:pPr>
    </w:p>
    <w:tbl>
      <w:tblPr>
        <w:tblLayout w:type="fixed"/>
        <w:tblInd w:w="280" w:type="dxa"/>
        <w:tblCellMar>
          <w:top w:w="0" w:type="dxa"/>
          <w:left w:w="0" w:type="dxa"/>
          <w:bottom w:w="0" w:type="dxa"/>
          <w:right w:w="0" w:type="dxa"/>
        </w:tblCellMar>
      </w:tblPr>
      <w:tr>
        <w:trPr>
          <w:trHeight w:val="275"/>
        </w:trPr>
        <w:tc>
          <w:tcPr>
            <w:tcW w:w="2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2"/>
                <w:szCs w:val="22"/>
                <w:color w:val="auto"/>
              </w:rPr>
              <w:t>2003</w:t>
            </w: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22"/>
                <w:szCs w:val="22"/>
                <w:color w:val="auto"/>
              </w:rPr>
              <w:t>2002</w:t>
            </w: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22"/>
                <w:szCs w:val="22"/>
                <w:color w:val="auto"/>
              </w:rPr>
              <w:t>2001</w:t>
            </w: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7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2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4"/>
          </w:tcPr>
          <w:p>
            <w:pPr>
              <w:jc w:val="right"/>
              <w:ind w:right="1180"/>
              <w:spacing w:after="0"/>
              <w:rPr>
                <w:sz w:val="20"/>
                <w:szCs w:val="20"/>
                <w:color w:val="auto"/>
              </w:rPr>
            </w:pPr>
            <w:r>
              <w:rPr>
                <w:rFonts w:ascii="Arial" w:cs="Arial" w:eastAsia="Arial" w:hAnsi="Arial"/>
                <w:sz w:val="22"/>
                <w:szCs w:val="22"/>
                <w:color w:val="auto"/>
              </w:rPr>
              <w:t>Per</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22"/>
                <w:szCs w:val="22"/>
                <w:color w:val="auto"/>
                <w:w w:val="87"/>
              </w:rPr>
              <w:t>Per</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112"/>
              <w:spacing w:after="0"/>
              <w:rPr>
                <w:sz w:val="20"/>
                <w:szCs w:val="20"/>
                <w:color w:val="auto"/>
              </w:rPr>
            </w:pPr>
            <w:r>
              <w:rPr>
                <w:rFonts w:ascii="Arial" w:cs="Arial" w:eastAsia="Arial" w:hAnsi="Arial"/>
                <w:sz w:val="22"/>
                <w:szCs w:val="22"/>
                <w:color w:val="auto"/>
              </w:rPr>
              <w:t>Per</w:t>
            </w: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gridSpan w:val="4"/>
          </w:tcPr>
          <w:p>
            <w:pPr>
              <w:jc w:val="right"/>
              <w:ind w:right="1080"/>
              <w:spacing w:after="0" w:line="243" w:lineRule="exact"/>
              <w:rPr>
                <w:sz w:val="20"/>
                <w:szCs w:val="20"/>
                <w:color w:val="auto"/>
              </w:rPr>
            </w:pPr>
            <w:r>
              <w:rPr>
                <w:rFonts w:ascii="Arial" w:cs="Arial" w:eastAsia="Arial" w:hAnsi="Arial"/>
                <w:sz w:val="22"/>
                <w:szCs w:val="22"/>
                <w:color w:val="auto"/>
                <w:w w:val="98"/>
              </w:rPr>
              <w:t>Share</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center"/>
              <w:ind w:right="240"/>
              <w:spacing w:after="0" w:line="243" w:lineRule="exact"/>
              <w:rPr>
                <w:sz w:val="20"/>
                <w:szCs w:val="20"/>
                <w:color w:val="auto"/>
              </w:rPr>
            </w:pPr>
            <w:r>
              <w:rPr>
                <w:rFonts w:ascii="Arial" w:cs="Arial" w:eastAsia="Arial" w:hAnsi="Arial"/>
                <w:sz w:val="22"/>
                <w:szCs w:val="22"/>
                <w:color w:val="auto"/>
                <w:w w:val="85"/>
              </w:rPr>
              <w:t>Share</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Share</w:t>
            </w:r>
          </w:p>
        </w:tc>
        <w:tc>
          <w:tcPr>
            <w:tcW w:w="0" w:type="dxa"/>
            <w:vAlign w:val="bottom"/>
          </w:tcPr>
          <w:p>
            <w:pPr>
              <w:spacing w:after="0"/>
              <w:rPr>
                <w:sz w:val="1"/>
                <w:szCs w:val="1"/>
                <w:color w:val="auto"/>
              </w:rPr>
            </w:pPr>
          </w:p>
        </w:tc>
      </w:tr>
      <w:tr>
        <w:trPr>
          <w:trHeight w:val="275"/>
        </w:trPr>
        <w:tc>
          <w:tcPr>
            <w:tcW w:w="276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22"/>
                <w:szCs w:val="22"/>
                <w:color w:val="auto"/>
                <w:w w:val="94"/>
              </w:rPr>
              <w:t>Loss</w:t>
            </w:r>
          </w:p>
        </w:tc>
        <w:tc>
          <w:tcPr>
            <w:tcW w:w="580" w:type="dxa"/>
            <w:vAlign w:val="bottom"/>
          </w:tcPr>
          <w:p>
            <w:pPr>
              <w:jc w:val="right"/>
              <w:spacing w:after="0"/>
              <w:rPr>
                <w:sz w:val="20"/>
                <w:szCs w:val="20"/>
                <w:color w:val="auto"/>
              </w:rPr>
            </w:pPr>
            <w:r>
              <w:rPr>
                <w:rFonts w:ascii="Arial" w:cs="Arial" w:eastAsia="Arial" w:hAnsi="Arial"/>
                <w:sz w:val="22"/>
                <w:szCs w:val="22"/>
                <w:color w:val="auto"/>
                <w:w w:val="80"/>
              </w:rPr>
              <w:t>Shares</w:t>
            </w:r>
          </w:p>
        </w:tc>
        <w:tc>
          <w:tcPr>
            <w:tcW w:w="160" w:type="dxa"/>
            <w:vAlign w:val="bottom"/>
          </w:tcPr>
          <w:p>
            <w:pPr>
              <w:spacing w:after="0"/>
              <w:rPr>
                <w:sz w:val="23"/>
                <w:szCs w:val="23"/>
                <w:color w:val="auto"/>
              </w:rPr>
            </w:pPr>
          </w:p>
        </w:tc>
        <w:tc>
          <w:tcPr>
            <w:tcW w:w="1680" w:type="dxa"/>
            <w:vAlign w:val="bottom"/>
            <w:gridSpan w:val="4"/>
          </w:tcPr>
          <w:p>
            <w:pPr>
              <w:jc w:val="right"/>
              <w:ind w:right="260"/>
              <w:spacing w:after="0"/>
              <w:rPr>
                <w:sz w:val="20"/>
                <w:szCs w:val="20"/>
                <w:color w:val="auto"/>
              </w:rPr>
            </w:pPr>
            <w:r>
              <w:rPr>
                <w:rFonts w:ascii="Arial" w:cs="Arial" w:eastAsia="Arial" w:hAnsi="Arial"/>
                <w:sz w:val="22"/>
                <w:szCs w:val="22"/>
                <w:color w:val="auto"/>
                <w:w w:val="99"/>
              </w:rPr>
              <w:t>Amount   Loss</w:t>
            </w:r>
          </w:p>
        </w:tc>
        <w:tc>
          <w:tcPr>
            <w:tcW w:w="580" w:type="dxa"/>
            <w:vAlign w:val="bottom"/>
          </w:tcPr>
          <w:p>
            <w:pPr>
              <w:jc w:val="right"/>
              <w:spacing w:after="0"/>
              <w:rPr>
                <w:sz w:val="20"/>
                <w:szCs w:val="20"/>
                <w:color w:val="auto"/>
              </w:rPr>
            </w:pPr>
            <w:r>
              <w:rPr>
                <w:rFonts w:ascii="Arial" w:cs="Arial" w:eastAsia="Arial" w:hAnsi="Arial"/>
                <w:sz w:val="22"/>
                <w:szCs w:val="22"/>
                <w:color w:val="auto"/>
                <w:w w:val="80"/>
              </w:rPr>
              <w:t>Shares</w:t>
            </w:r>
          </w:p>
        </w:tc>
        <w:tc>
          <w:tcPr>
            <w:tcW w:w="140" w:type="dxa"/>
            <w:vAlign w:val="bottom"/>
          </w:tcPr>
          <w:p>
            <w:pPr>
              <w:spacing w:after="0"/>
              <w:rPr>
                <w:sz w:val="23"/>
                <w:szCs w:val="2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22"/>
                <w:szCs w:val="22"/>
                <w:color w:val="auto"/>
                <w:w w:val="92"/>
              </w:rPr>
              <w:t>Amount</w:t>
            </w:r>
          </w:p>
        </w:tc>
        <w:tc>
          <w:tcPr>
            <w:tcW w:w="640" w:type="dxa"/>
            <w:vAlign w:val="bottom"/>
          </w:tcPr>
          <w:p>
            <w:pPr>
              <w:jc w:val="right"/>
              <w:spacing w:after="0"/>
              <w:rPr>
                <w:sz w:val="20"/>
                <w:szCs w:val="20"/>
                <w:color w:val="auto"/>
              </w:rPr>
            </w:pPr>
            <w:r>
              <w:rPr>
                <w:rFonts w:ascii="Arial" w:cs="Arial" w:eastAsia="Arial" w:hAnsi="Arial"/>
                <w:sz w:val="22"/>
                <w:szCs w:val="22"/>
                <w:color w:val="auto"/>
                <w:w w:val="85"/>
              </w:rPr>
              <w:t>Income</w:t>
            </w:r>
          </w:p>
        </w:tc>
        <w:tc>
          <w:tcPr>
            <w:tcW w:w="160" w:type="dxa"/>
            <w:vAlign w:val="bottom"/>
          </w:tcPr>
          <w:p>
            <w:pPr>
              <w:spacing w:after="0"/>
              <w:rPr>
                <w:sz w:val="23"/>
                <w:szCs w:val="23"/>
                <w:color w:val="auto"/>
              </w:rPr>
            </w:pPr>
          </w:p>
        </w:tc>
        <w:tc>
          <w:tcPr>
            <w:tcW w:w="720" w:type="dxa"/>
            <w:vAlign w:val="bottom"/>
            <w:gridSpan w:val="2"/>
          </w:tcPr>
          <w:p>
            <w:pPr>
              <w:spacing w:after="0"/>
              <w:rPr>
                <w:sz w:val="20"/>
                <w:szCs w:val="20"/>
                <w:color w:val="auto"/>
              </w:rPr>
            </w:pPr>
            <w:r>
              <w:rPr>
                <w:rFonts w:ascii="Arial" w:cs="Arial" w:eastAsia="Arial" w:hAnsi="Arial"/>
                <w:sz w:val="22"/>
                <w:szCs w:val="22"/>
                <w:color w:val="auto"/>
              </w:rPr>
              <w:t>Shares</w:t>
            </w:r>
          </w:p>
        </w:tc>
        <w:tc>
          <w:tcPr>
            <w:tcW w:w="720" w:type="dxa"/>
            <w:vAlign w:val="bottom"/>
          </w:tcPr>
          <w:p>
            <w:pPr>
              <w:jc w:val="right"/>
              <w:spacing w:after="0"/>
              <w:rPr>
                <w:sz w:val="20"/>
                <w:szCs w:val="20"/>
                <w:color w:val="auto"/>
              </w:rPr>
            </w:pPr>
            <w:r>
              <w:rPr>
                <w:rFonts w:ascii="Arial" w:cs="Arial" w:eastAsia="Arial" w:hAnsi="Arial"/>
                <w:sz w:val="22"/>
                <w:szCs w:val="22"/>
                <w:color w:val="auto"/>
                <w:w w:val="92"/>
              </w:rPr>
              <w:t>Amount</w:t>
            </w:r>
          </w:p>
        </w:tc>
        <w:tc>
          <w:tcPr>
            <w:tcW w:w="0" w:type="dxa"/>
            <w:vAlign w:val="bottom"/>
          </w:tcPr>
          <w:p>
            <w:pPr>
              <w:spacing w:after="0"/>
              <w:rPr>
                <w:sz w:val="1"/>
                <w:szCs w:val="1"/>
                <w:color w:val="auto"/>
              </w:rPr>
            </w:pPr>
          </w:p>
        </w:tc>
      </w:tr>
      <w:tr>
        <w:trPr>
          <w:trHeight w:val="98"/>
        </w:trPr>
        <w:tc>
          <w:tcPr>
            <w:tcW w:w="2760" w:type="dxa"/>
            <w:vAlign w:val="bottom"/>
            <w:vMerge w:val="restart"/>
          </w:tcPr>
          <w:p>
            <w:pPr>
              <w:spacing w:after="0"/>
              <w:rPr>
                <w:sz w:val="20"/>
                <w:szCs w:val="20"/>
                <w:color w:val="auto"/>
              </w:rPr>
            </w:pPr>
            <w:r>
              <w:rPr>
                <w:rFonts w:ascii="Arial" w:cs="Arial" w:eastAsia="Arial" w:hAnsi="Arial"/>
                <w:sz w:val="22"/>
                <w:szCs w:val="22"/>
                <w:color w:val="auto"/>
              </w:rPr>
              <w:t>Basic EPS for common</w:t>
            </w:r>
          </w:p>
        </w:tc>
        <w:tc>
          <w:tcPr>
            <w:tcW w:w="5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27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100"/>
              <w:spacing w:after="0" w:line="243" w:lineRule="exact"/>
              <w:rPr>
                <w:sz w:val="20"/>
                <w:szCs w:val="20"/>
                <w:color w:val="auto"/>
              </w:rPr>
            </w:pPr>
            <w:r>
              <w:rPr>
                <w:rFonts w:ascii="Arial" w:cs="Arial" w:eastAsia="Arial" w:hAnsi="Arial"/>
                <w:sz w:val="22"/>
                <w:szCs w:val="22"/>
                <w:color w:val="auto"/>
              </w:rPr>
              <w:t>stockholders</w:t>
            </w:r>
          </w:p>
        </w:tc>
        <w:tc>
          <w:tcPr>
            <w:tcW w:w="7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w w:val="91"/>
              </w:rPr>
              <w:t>($218)</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2,256</w:t>
            </w:r>
          </w:p>
        </w:tc>
        <w:tc>
          <w:tcPr>
            <w:tcW w:w="1840" w:type="dxa"/>
            <w:vAlign w:val="bottom"/>
            <w:gridSpan w:val="5"/>
          </w:tcPr>
          <w:p>
            <w:pPr>
              <w:jc w:val="right"/>
              <w:ind w:right="140"/>
              <w:spacing w:after="0" w:line="243" w:lineRule="exact"/>
              <w:rPr>
                <w:sz w:val="20"/>
                <w:szCs w:val="20"/>
                <w:color w:val="auto"/>
              </w:rPr>
            </w:pPr>
            <w:r>
              <w:rPr>
                <w:rFonts w:ascii="Arial" w:cs="Arial" w:eastAsia="Arial" w:hAnsi="Arial"/>
                <w:sz w:val="22"/>
                <w:szCs w:val="22"/>
                <w:color w:val="auto"/>
              </w:rPr>
              <w:t>($0.10) ($469)</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1,110</w:t>
            </w:r>
          </w:p>
        </w:tc>
        <w:tc>
          <w:tcPr>
            <w:tcW w:w="112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($0.42)</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c>
          <w:tcPr>
            <w:tcW w:w="88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950</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$0.00</w:t>
            </w:r>
          </w:p>
        </w:tc>
        <w:tc>
          <w:tcPr>
            <w:tcW w:w="0" w:type="dxa"/>
            <w:vAlign w:val="bottom"/>
          </w:tcPr>
          <w:p>
            <w:pPr>
              <w:spacing w:after="0"/>
              <w:rPr>
                <w:sz w:val="1"/>
                <w:szCs w:val="1"/>
                <w:color w:val="auto"/>
              </w:rPr>
            </w:pPr>
          </w:p>
        </w:tc>
      </w:tr>
      <w:tr>
        <w:trPr>
          <w:trHeight w:val="243"/>
        </w:trPr>
        <w:tc>
          <w:tcPr>
            <w:tcW w:w="2760" w:type="dxa"/>
            <w:vAlign w:val="bottom"/>
          </w:tcPr>
          <w:p>
            <w:pPr>
              <w:spacing w:after="0" w:line="243" w:lineRule="exact"/>
              <w:rPr>
                <w:sz w:val="20"/>
                <w:szCs w:val="20"/>
                <w:color w:val="auto"/>
              </w:rPr>
            </w:pPr>
            <w:r>
              <w:rPr>
                <w:rFonts w:ascii="Arial" w:cs="Arial" w:eastAsia="Arial" w:hAnsi="Arial"/>
                <w:sz w:val="22"/>
                <w:szCs w:val="22"/>
                <w:color w:val="auto"/>
              </w:rPr>
              <w:t>Effect of Dilutive</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spacing w:after="0" w:line="243" w:lineRule="exact"/>
              <w:rPr>
                <w:sz w:val="20"/>
                <w:szCs w:val="20"/>
                <w:color w:val="auto"/>
              </w:rPr>
            </w:pPr>
            <w:r>
              <w:rPr>
                <w:rFonts w:ascii="Arial" w:cs="Arial" w:eastAsia="Arial" w:hAnsi="Arial"/>
                <w:sz w:val="22"/>
                <w:szCs w:val="22"/>
                <w:color w:val="auto"/>
              </w:rPr>
              <w:t>Securities</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100"/>
              <w:spacing w:after="0" w:line="243" w:lineRule="exact"/>
              <w:rPr>
                <w:sz w:val="20"/>
                <w:szCs w:val="20"/>
                <w:color w:val="auto"/>
              </w:rPr>
            </w:pPr>
            <w:r>
              <w:rPr>
                <w:rFonts w:ascii="Arial" w:cs="Arial" w:eastAsia="Arial" w:hAnsi="Arial"/>
                <w:sz w:val="22"/>
                <w:szCs w:val="22"/>
                <w:color w:val="auto"/>
              </w:rPr>
              <w:t>Assumed conversion</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160"/>
              <w:spacing w:after="0" w:line="243" w:lineRule="exact"/>
              <w:rPr>
                <w:sz w:val="20"/>
                <w:szCs w:val="20"/>
                <w:color w:val="auto"/>
              </w:rPr>
            </w:pPr>
            <w:r>
              <w:rPr>
                <w:rFonts w:ascii="Arial" w:cs="Arial" w:eastAsia="Arial" w:hAnsi="Arial"/>
                <w:sz w:val="22"/>
                <w:szCs w:val="22"/>
                <w:color w:val="auto"/>
              </w:rPr>
              <w:t>of Series B convertible</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160"/>
              <w:spacing w:after="0" w:line="243" w:lineRule="exact"/>
              <w:rPr>
                <w:sz w:val="20"/>
                <w:szCs w:val="20"/>
                <w:color w:val="auto"/>
              </w:rPr>
            </w:pPr>
            <w:r>
              <w:rPr>
                <w:rFonts w:ascii="Arial" w:cs="Arial" w:eastAsia="Arial" w:hAnsi="Arial"/>
                <w:sz w:val="22"/>
                <w:szCs w:val="22"/>
                <w:color w:val="auto"/>
              </w:rPr>
              <w:t>preferred stock</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1</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100"/>
              <w:spacing w:after="0" w:line="243" w:lineRule="exact"/>
              <w:rPr>
                <w:sz w:val="20"/>
                <w:szCs w:val="20"/>
                <w:color w:val="auto"/>
              </w:rPr>
            </w:pPr>
            <w:r>
              <w:rPr>
                <w:rFonts w:ascii="Arial" w:cs="Arial" w:eastAsia="Arial" w:hAnsi="Arial"/>
                <w:sz w:val="22"/>
                <w:szCs w:val="22"/>
                <w:color w:val="auto"/>
              </w:rPr>
              <w:t>Assumed exercise of</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160"/>
              <w:spacing w:after="0" w:line="243" w:lineRule="exact"/>
              <w:rPr>
                <w:sz w:val="20"/>
                <w:szCs w:val="20"/>
                <w:color w:val="auto"/>
              </w:rPr>
            </w:pPr>
            <w:r>
              <w:rPr>
                <w:rFonts w:ascii="Arial" w:cs="Arial" w:eastAsia="Arial" w:hAnsi="Arial"/>
                <w:sz w:val="22"/>
                <w:szCs w:val="22"/>
                <w:color w:val="auto"/>
              </w:rPr>
              <w:t>stock option and</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760" w:type="dxa"/>
            <w:vAlign w:val="bottom"/>
          </w:tcPr>
          <w:p>
            <w:pPr>
              <w:ind w:left="160"/>
              <w:spacing w:after="0"/>
              <w:rPr>
                <w:sz w:val="20"/>
                <w:szCs w:val="20"/>
                <w:color w:val="auto"/>
              </w:rPr>
            </w:pPr>
            <w:r>
              <w:rPr>
                <w:rFonts w:ascii="Arial" w:cs="Arial" w:eastAsia="Arial" w:hAnsi="Arial"/>
                <w:sz w:val="22"/>
                <w:szCs w:val="22"/>
                <w:color w:val="auto"/>
              </w:rPr>
              <w:t>restricted stock plans</w:t>
            </w: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22"/>
                <w:szCs w:val="22"/>
                <w:color w:val="auto"/>
              </w:rPr>
              <w:t>14</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7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2760" w:type="dxa"/>
            <w:vAlign w:val="bottom"/>
          </w:tcPr>
          <w:p>
            <w:pPr>
              <w:spacing w:after="0"/>
              <w:rPr>
                <w:sz w:val="20"/>
                <w:szCs w:val="20"/>
                <w:color w:val="auto"/>
              </w:rPr>
            </w:pPr>
            <w:r>
              <w:rPr>
                <w:rFonts w:ascii="Arial" w:cs="Arial" w:eastAsia="Arial" w:hAnsi="Arial"/>
                <w:sz w:val="22"/>
                <w:szCs w:val="22"/>
                <w:color w:val="auto"/>
              </w:rPr>
              <w:t>Diluted EPS</w:t>
            </w:r>
          </w:p>
        </w:tc>
        <w:tc>
          <w:tcPr>
            <w:tcW w:w="720" w:type="dxa"/>
            <w:vAlign w:val="bottom"/>
            <w:gridSpan w:val="2"/>
          </w:tcPr>
          <w:p>
            <w:pPr>
              <w:jc w:val="right"/>
              <w:ind w:right="120"/>
              <w:spacing w:after="0"/>
              <w:rPr>
                <w:sz w:val="20"/>
                <w:szCs w:val="20"/>
                <w:color w:val="auto"/>
              </w:rPr>
            </w:pPr>
            <w:r>
              <w:rPr>
                <w:rFonts w:ascii="Arial" w:cs="Arial" w:eastAsia="Arial" w:hAnsi="Arial"/>
                <w:sz w:val="22"/>
                <w:szCs w:val="22"/>
                <w:color w:val="auto"/>
                <w:w w:val="91"/>
              </w:rPr>
              <w:t>($218)</w:t>
            </w:r>
          </w:p>
        </w:tc>
        <w:tc>
          <w:tcPr>
            <w:tcW w:w="580" w:type="dxa"/>
            <w:vAlign w:val="bottom"/>
          </w:tcPr>
          <w:p>
            <w:pPr>
              <w:jc w:val="right"/>
              <w:spacing w:after="0"/>
              <w:rPr>
                <w:sz w:val="20"/>
                <w:szCs w:val="20"/>
                <w:color w:val="auto"/>
              </w:rPr>
            </w:pPr>
            <w:r>
              <w:rPr>
                <w:rFonts w:ascii="Arial" w:cs="Arial" w:eastAsia="Arial" w:hAnsi="Arial"/>
                <w:sz w:val="22"/>
                <w:szCs w:val="22"/>
                <w:color w:val="auto"/>
              </w:rPr>
              <w:t>2,256</w:t>
            </w:r>
          </w:p>
        </w:tc>
        <w:tc>
          <w:tcPr>
            <w:tcW w:w="1840" w:type="dxa"/>
            <w:vAlign w:val="bottom"/>
            <w:gridSpan w:val="5"/>
          </w:tcPr>
          <w:p>
            <w:pPr>
              <w:jc w:val="right"/>
              <w:ind w:right="140"/>
              <w:spacing w:after="0"/>
              <w:rPr>
                <w:sz w:val="20"/>
                <w:szCs w:val="20"/>
                <w:color w:val="auto"/>
              </w:rPr>
            </w:pPr>
            <w:r>
              <w:rPr>
                <w:rFonts w:ascii="Arial" w:cs="Arial" w:eastAsia="Arial" w:hAnsi="Arial"/>
                <w:sz w:val="22"/>
                <w:szCs w:val="22"/>
                <w:color w:val="auto"/>
              </w:rPr>
              <w:t>($0.10) ($469)</w:t>
            </w:r>
          </w:p>
        </w:tc>
        <w:tc>
          <w:tcPr>
            <w:tcW w:w="580" w:type="dxa"/>
            <w:vAlign w:val="bottom"/>
          </w:tcPr>
          <w:p>
            <w:pPr>
              <w:jc w:val="right"/>
              <w:spacing w:after="0"/>
              <w:rPr>
                <w:sz w:val="20"/>
                <w:szCs w:val="20"/>
                <w:color w:val="auto"/>
              </w:rPr>
            </w:pPr>
            <w:r>
              <w:rPr>
                <w:rFonts w:ascii="Arial" w:cs="Arial" w:eastAsia="Arial" w:hAnsi="Arial"/>
                <w:sz w:val="22"/>
                <w:szCs w:val="22"/>
                <w:color w:val="auto"/>
              </w:rPr>
              <w:t>1,110</w:t>
            </w:r>
          </w:p>
        </w:tc>
        <w:tc>
          <w:tcPr>
            <w:tcW w:w="1120" w:type="dxa"/>
            <w:vAlign w:val="bottom"/>
            <w:gridSpan w:val="3"/>
          </w:tcPr>
          <w:p>
            <w:pPr>
              <w:jc w:val="right"/>
              <w:ind w:right="80"/>
              <w:spacing w:after="0"/>
              <w:rPr>
                <w:sz w:val="20"/>
                <w:szCs w:val="20"/>
                <w:color w:val="auto"/>
              </w:rPr>
            </w:pPr>
            <w:r>
              <w:rPr>
                <w:rFonts w:ascii="Arial" w:cs="Arial" w:eastAsia="Arial" w:hAnsi="Arial"/>
                <w:sz w:val="22"/>
                <w:szCs w:val="22"/>
                <w:color w:val="auto"/>
              </w:rPr>
              <w:t>($0.42)</w:t>
            </w:r>
          </w:p>
        </w:tc>
        <w:tc>
          <w:tcPr>
            <w:tcW w:w="640" w:type="dxa"/>
            <w:vAlign w:val="bottom"/>
          </w:tcPr>
          <w:p>
            <w:pPr>
              <w:jc w:val="right"/>
              <w:spacing w:after="0"/>
              <w:rPr>
                <w:sz w:val="20"/>
                <w:szCs w:val="20"/>
                <w:color w:val="auto"/>
              </w:rPr>
            </w:pPr>
            <w:r>
              <w:rPr>
                <w:rFonts w:ascii="Arial" w:cs="Arial" w:eastAsia="Arial" w:hAnsi="Arial"/>
                <w:sz w:val="22"/>
                <w:szCs w:val="22"/>
                <w:color w:val="auto"/>
              </w:rPr>
              <w:t>$4</w:t>
            </w:r>
          </w:p>
        </w:tc>
        <w:tc>
          <w:tcPr>
            <w:tcW w:w="880" w:type="dxa"/>
            <w:vAlign w:val="bottom"/>
            <w:gridSpan w:val="3"/>
          </w:tcPr>
          <w:p>
            <w:pPr>
              <w:jc w:val="right"/>
              <w:ind w:right="140"/>
              <w:spacing w:after="0"/>
              <w:rPr>
                <w:sz w:val="20"/>
                <w:szCs w:val="20"/>
                <w:color w:val="auto"/>
              </w:rPr>
            </w:pPr>
            <w:r>
              <w:rPr>
                <w:rFonts w:ascii="Arial" w:cs="Arial" w:eastAsia="Arial" w:hAnsi="Arial"/>
                <w:sz w:val="22"/>
                <w:szCs w:val="22"/>
                <w:color w:val="auto"/>
              </w:rPr>
              <w:t>965</w:t>
            </w:r>
          </w:p>
        </w:tc>
        <w:tc>
          <w:tcPr>
            <w:tcW w:w="720" w:type="dxa"/>
            <w:vAlign w:val="bottom"/>
          </w:tcPr>
          <w:p>
            <w:pPr>
              <w:jc w:val="right"/>
              <w:spacing w:after="0"/>
              <w:rPr>
                <w:sz w:val="20"/>
                <w:szCs w:val="20"/>
                <w:color w:val="auto"/>
              </w:rPr>
            </w:pPr>
            <w:r>
              <w:rPr>
                <w:rFonts w:ascii="Arial" w:cs="Arial" w:eastAsia="Arial" w:hAnsi="Arial"/>
                <w:sz w:val="22"/>
                <w:szCs w:val="22"/>
                <w:color w:val="auto"/>
              </w:rPr>
              <w:t>$0.00</w:t>
            </w:r>
          </w:p>
        </w:tc>
        <w:tc>
          <w:tcPr>
            <w:tcW w:w="0" w:type="dxa"/>
            <w:vAlign w:val="bottom"/>
          </w:tcPr>
          <w:p>
            <w:pPr>
              <w:spacing w:after="0"/>
              <w:rPr>
                <w:sz w:val="1"/>
                <w:szCs w:val="1"/>
                <w:color w:val="auto"/>
              </w:rPr>
            </w:pPr>
          </w:p>
        </w:tc>
      </w:tr>
      <w:tr>
        <w:trPr>
          <w:trHeight w:val="108"/>
        </w:trPr>
        <w:tc>
          <w:tcPr>
            <w:tcW w:w="27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ACQUISITIONS AND OTHER SIGNIFICANT EVENTS</w:t>
      </w:r>
    </w:p>
    <w:p>
      <w:pPr>
        <w:spacing w:after="0" w:line="233"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22"/>
          <w:szCs w:val="22"/>
          <w:i w:val="1"/>
          <w:iCs w:val="1"/>
          <w:color w:val="auto"/>
        </w:rPr>
        <w:t>Acquisition of Broadband</w:t>
      </w:r>
    </w:p>
    <w:p>
      <w:pPr>
        <w:spacing w:after="0" w:line="8" w:lineRule="exact"/>
        <w:rPr>
          <w:rFonts w:ascii="Arial" w:cs="Arial" w:eastAsia="Arial" w:hAnsi="Arial"/>
          <w:sz w:val="22"/>
          <w:szCs w:val="22"/>
          <w:color w:val="auto"/>
        </w:rPr>
      </w:pPr>
    </w:p>
    <w:p>
      <w:pPr>
        <w:jc w:val="both"/>
        <w:ind w:left="460" w:right="520"/>
        <w:spacing w:after="0" w:line="234" w:lineRule="auto"/>
        <w:rPr>
          <w:rFonts w:ascii="Arial" w:cs="Arial" w:eastAsia="Arial" w:hAnsi="Arial"/>
          <w:sz w:val="22"/>
          <w:szCs w:val="22"/>
          <w:color w:val="auto"/>
        </w:rPr>
      </w:pPr>
      <w:r>
        <w:rPr>
          <w:rFonts w:ascii="Arial" w:cs="Arial" w:eastAsia="Arial" w:hAnsi="Arial"/>
          <w:sz w:val="22"/>
          <w:szCs w:val="22"/>
          <w:color w:val="auto"/>
        </w:rPr>
        <w:t>On November 18, 2002, we completed the acquisition of Broadband. The results of the Broadband operations have been included in our consolidated financial statements since that date. The acquisition created the largest cable operator in the United States by combining Broadband’s and our cable networks.</w:t>
      </w:r>
    </w:p>
    <w:p>
      <w:pPr>
        <w:spacing w:after="0" w:line="214" w:lineRule="exact"/>
        <w:rPr>
          <w:rFonts w:ascii="Arial" w:cs="Arial" w:eastAsia="Arial" w:hAnsi="Arial"/>
          <w:sz w:val="22"/>
          <w:szCs w:val="22"/>
          <w:color w:val="auto"/>
        </w:rPr>
      </w:pPr>
    </w:p>
    <w:p>
      <w:pPr>
        <w:ind w:left="460"/>
        <w:spacing w:after="0" w:line="249" w:lineRule="auto"/>
        <w:rPr>
          <w:rFonts w:ascii="Arial" w:cs="Arial" w:eastAsia="Arial" w:hAnsi="Arial"/>
          <w:sz w:val="22"/>
          <w:szCs w:val="22"/>
          <w:color w:val="auto"/>
        </w:rPr>
      </w:pPr>
      <w:r>
        <w:rPr>
          <w:rFonts w:ascii="Arial" w:cs="Arial" w:eastAsia="Arial" w:hAnsi="Arial"/>
          <w:sz w:val="21"/>
          <w:szCs w:val="21"/>
          <w:color w:val="auto"/>
        </w:rPr>
        <w:t>The consideration to complete the acquisition of Broadband was $50.660 billion, consisting of $25.495 billion of our common stock and options, $24.740 billion of assumed debt, and $425 million of transaction costs directly related to the acquisition. We issued approximately 1.348 billion shares of our common stock (excluding shares of Class A common stock issued and classified as treasury stock) consisting of 1.233 billion shares of our Class A common stock to Broadband shareholders in exchange for all of AT&amp;T’s interests in Broadband, and the issuance of</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right="20"/>
        <w:spacing w:after="0" w:line="274" w:lineRule="auto"/>
        <w:rPr>
          <w:sz w:val="20"/>
          <w:szCs w:val="20"/>
          <w:color w:val="auto"/>
        </w:rPr>
      </w:pPr>
      <w:r>
        <w:rPr>
          <w:rFonts w:ascii="Arial" w:cs="Arial" w:eastAsia="Arial" w:hAnsi="Arial"/>
          <w:sz w:val="19"/>
          <w:szCs w:val="19"/>
          <w:color w:val="auto"/>
        </w:rPr>
        <w:t>approximately 100.6 million shares and 14.4 million shares of our Class A and Class A Special common stock, respectively, to Microsoft in exchange for Broadband shares that Microsoft received immediately prior to the completion of the Broadband acquisition for settlement of its $5 billion aggregate principal amount in quarterly income preferred securities. We also issued 61.1 million options in exchange for outstanding Broadband options. The shares issued for Broadband were valued based on a price per share of $18.80 that reflects the weighted average market price of Comcast Holdings common stock during the period beginning two days before and ending two days after August 12, 2002. The acquisition was structured as a tax-free transaction to us, to Comcast Holdings and to AT&amp;T. The identification of Comcast Holdings as the acquiring entity was made after careful consideration of all facts and circumstances, including those outlined in SFAS No. 141 related to voting rights, the existence of a large minority voting interest, governance arrangements and composition of senior management.</w:t>
      </w:r>
    </w:p>
    <w:p>
      <w:pPr>
        <w:spacing w:after="0" w:line="186" w:lineRule="exact"/>
        <w:rPr>
          <w:sz w:val="20"/>
          <w:szCs w:val="20"/>
          <w:color w:val="auto"/>
        </w:rPr>
      </w:pPr>
    </w:p>
    <w:p>
      <w:pPr>
        <w:ind w:left="460" w:right="40"/>
        <w:spacing w:after="0" w:line="274" w:lineRule="auto"/>
        <w:rPr>
          <w:sz w:val="20"/>
          <w:szCs w:val="20"/>
          <w:color w:val="auto"/>
        </w:rPr>
      </w:pPr>
      <w:r>
        <w:rPr>
          <w:rFonts w:ascii="Arial" w:cs="Arial" w:eastAsia="Arial" w:hAnsi="Arial"/>
          <w:sz w:val="19"/>
          <w:szCs w:val="19"/>
          <w:color w:val="auto"/>
        </w:rPr>
        <w:t>Under the terms of the original merger agreement dated December 19, 2001, we were to assume public debt of Broadband’s subsidiaries and fund Broadband’s intercompany payable due to AT&amp;T. Subsequent to the original merger agreement, economic and business factors changed resulting in a modification of the consideration to be exchanged. On August 12, 2002, in connection with the filing of a proposed exchange offer by AT&amp;T, the form of consideration to be exchanged was modified to provide for the assumption by Broadband of a portion of AT&amp;T’s public debt securities, thereby increasing the amount of debt assumed by us by $3.5 billion and reducing the amount of intercompany indebtedness paid at closing. This modification represented a substantive change in the non-equity, or “other” consideration, being paid, resulting in a new measurement date for determining the value of the common stock issued in the acquisition. Accordingly, the fair value of the shares issued for Broadband was based on the August 12, 2002 measurement date.</w:t>
      </w:r>
    </w:p>
    <w:p>
      <w:pPr>
        <w:sectPr>
          <w:pgSz w:w="11900" w:h="16838" w:orient="portrait"/>
          <w:cols w:equalWidth="0" w:num="1">
            <w:col w:w="11400"/>
          </w:cols>
          <w:pgMar w:left="240" w:top="118" w:right="259" w:bottom="0" w:gutter="0" w:footer="0" w:header="0"/>
        </w:sectPr>
      </w:pPr>
    </w:p>
    <w:bookmarkStart w:id="73" w:name="page74"/>
    <w:bookmarkEnd w:id="73"/>
    <w:p>
      <w:pPr>
        <w:ind w:left="460" w:right="40"/>
        <w:spacing w:after="0" w:line="273" w:lineRule="auto"/>
        <w:rPr>
          <w:rFonts w:ascii="Arial" w:cs="Arial" w:eastAsia="Arial" w:hAnsi="Arial"/>
          <w:sz w:val="19"/>
          <w:szCs w:val="19"/>
          <w:color w:val="auto"/>
        </w:rPr>
      </w:pPr>
      <w:r>
        <w:rPr>
          <w:rFonts w:ascii="Arial" w:cs="Arial" w:eastAsia="Arial" w:hAnsi="Arial"/>
          <w:sz w:val="19"/>
          <w:szCs w:val="19"/>
          <w:i w:val="1"/>
          <w:iCs w:val="1"/>
          <w:color w:val="auto"/>
        </w:rPr>
        <w:t xml:space="preserve">Purchase Price Allocation. </w:t>
      </w:r>
      <w:r>
        <w:rPr>
          <w:rFonts w:ascii="Arial" w:cs="Arial" w:eastAsia="Arial" w:hAnsi="Arial"/>
          <w:sz w:val="19"/>
          <w:szCs w:val="19"/>
          <w:color w:val="auto"/>
        </w:rPr>
        <w:t>The application of purchase accounting under SFAS No. 141 requires that the total purchase price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be allocated to the fair value of the assets acquired and liabilities assumed based on their fair values at the acquisition date. The allocation process requires an analysis of acquired contracts, franchise related customer relationships, employee benefit plans, contractual commitments and legal contingencies to identify and record the fair value of all assets acquired and liabilities assumed. In valuing acquired assets and liabilities, fair value estimates are based on, but are not limited to: future expected cash flows; market rate assumptions for contractual obligations; actuarial assumptions for benefit plans; settlement plans for litigation and contingencies; and appropriate discount rates. During 2003, we finalized the purchase price allocation except for certain of the litigation contingencies relating to our share of AT&amp;T’s potential liability associated with the At Home Corporation litigation where we are waiting for additional information that we have arranged with AT&amp;T to obtain. We expect to obtain this information during 2004 (see </w:t>
      </w:r>
      <w:hyperlink w:anchor="page92">
        <w:r>
          <w:rPr>
            <w:rFonts w:ascii="Arial" w:cs="Arial" w:eastAsia="Arial" w:hAnsi="Arial"/>
            <w:sz w:val="19"/>
            <w:szCs w:val="19"/>
            <w:u w:val="single" w:color="auto"/>
            <w:color w:val="0000EE"/>
          </w:rPr>
          <w:t>Note 13</w:t>
        </w:r>
      </w:hyperlink>
      <w:r>
        <w:rPr>
          <w:rFonts w:ascii="Arial" w:cs="Arial" w:eastAsia="Arial" w:hAnsi="Arial"/>
          <w:sz w:val="19"/>
          <w:szCs w:val="19"/>
          <w:color w:val="auto"/>
        </w:rPr>
        <w:t>).</w:t>
      </w:r>
    </w:p>
    <w:p>
      <w:pPr>
        <w:spacing w:after="0" w:line="189" w:lineRule="exact"/>
        <w:rPr>
          <w:sz w:val="20"/>
          <w:szCs w:val="20"/>
          <w:color w:val="auto"/>
        </w:rPr>
      </w:pPr>
    </w:p>
    <w:p>
      <w:pPr>
        <w:ind w:left="460" w:right="80"/>
        <w:spacing w:after="0" w:line="246" w:lineRule="auto"/>
        <w:rPr>
          <w:sz w:val="20"/>
          <w:szCs w:val="20"/>
          <w:color w:val="auto"/>
        </w:rPr>
      </w:pPr>
      <w:r>
        <w:rPr>
          <w:rFonts w:ascii="Arial" w:cs="Arial" w:eastAsia="Arial" w:hAnsi="Arial"/>
          <w:sz w:val="21"/>
          <w:szCs w:val="21"/>
          <w:color w:val="auto"/>
        </w:rPr>
        <w:t>As of the acquisition date, we initiated certain integration activities based on a preliminary plan to terminate employees and exit certain contractual obligations. Under the guidance in EITF 95-3 “Recognition of Liabilities in Connection with a Purchase Business Combination,” the plan must be finalized within one year of the acquisition date and must identify all significant actions to be taken to complete the plan. Therefore, costs related to terminating employees and exiting contractual obligations of the acquired entity are included in the purchase price allocation. Changes to these estimated termination or exit costs are reflected as adjustments to the purchase price allocation to the extent they occur within one year of the acquisition date or if there are reductions in the amount of estimated termination or exit costs accrued. Otherwise, changes will affect results of operations.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right="140"/>
        <w:spacing w:after="0" w:line="328" w:lineRule="auto"/>
        <w:rPr>
          <w:sz w:val="20"/>
          <w:szCs w:val="20"/>
          <w:color w:val="auto"/>
        </w:rPr>
      </w:pPr>
      <w:r>
        <w:rPr>
          <w:rFonts w:ascii="Arial" w:cs="Arial" w:eastAsia="Arial" w:hAnsi="Arial"/>
          <w:sz w:val="19"/>
          <w:szCs w:val="19"/>
          <w:color w:val="auto"/>
        </w:rPr>
        <w:t>The following table summarizes the fair values of the assets acquired and liabilities assumed and the related deferred income taxes as of the acquisition date and reflects adjustments to the purchase price allocation during 2003.</w:t>
      </w:r>
    </w:p>
    <w:p>
      <w:pPr>
        <w:spacing w:after="0" w:line="365"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8500" w:type="dxa"/>
            <w:vAlign w:val="bottom"/>
          </w:tcPr>
          <w:p>
            <w:pPr>
              <w:spacing w:after="0"/>
              <w:rPr>
                <w:sz w:val="20"/>
                <w:szCs w:val="20"/>
                <w:color w:val="auto"/>
              </w:rPr>
            </w:pPr>
            <w:r>
              <w:rPr>
                <w:rFonts w:ascii="Arial" w:cs="Arial" w:eastAsia="Arial" w:hAnsi="Arial"/>
                <w:sz w:val="22"/>
                <w:szCs w:val="22"/>
                <w:color w:val="auto"/>
              </w:rPr>
              <w:t>Current assets</w:t>
            </w:r>
          </w:p>
        </w:tc>
        <w:tc>
          <w:tcPr>
            <w:tcW w:w="800" w:type="dxa"/>
            <w:vAlign w:val="bottom"/>
          </w:tcPr>
          <w:p>
            <w:pPr>
              <w:jc w:val="right"/>
              <w:spacing w:after="0"/>
              <w:rPr>
                <w:sz w:val="20"/>
                <w:szCs w:val="20"/>
                <w:color w:val="auto"/>
              </w:rPr>
            </w:pPr>
            <w:r>
              <w:rPr>
                <w:rFonts w:ascii="Arial" w:cs="Arial" w:eastAsia="Arial" w:hAnsi="Arial"/>
                <w:sz w:val="22"/>
                <w:szCs w:val="22"/>
                <w:color w:val="auto"/>
              </w:rPr>
              <w:t>$1,768</w:t>
            </w:r>
          </w:p>
        </w:tc>
        <w:tc>
          <w:tcPr>
            <w:tcW w:w="80" w:type="dxa"/>
            <w:vAlign w:val="bottom"/>
          </w:tcPr>
          <w:p>
            <w:pPr>
              <w:spacing w:after="0"/>
              <w:rPr>
                <w:sz w:val="21"/>
                <w:szCs w:val="21"/>
                <w:color w:val="auto"/>
              </w:rPr>
            </w:pPr>
          </w:p>
        </w:tc>
      </w:tr>
      <w:tr>
        <w:trPr>
          <w:trHeight w:val="243"/>
        </w:trPr>
        <w:tc>
          <w:tcPr>
            <w:tcW w:w="8500" w:type="dxa"/>
            <w:vAlign w:val="bottom"/>
          </w:tcPr>
          <w:p>
            <w:pPr>
              <w:spacing w:after="0" w:line="243" w:lineRule="exact"/>
              <w:rPr>
                <w:sz w:val="20"/>
                <w:szCs w:val="20"/>
                <w:color w:val="auto"/>
              </w:rPr>
            </w:pPr>
            <w:r>
              <w:rPr>
                <w:rFonts w:ascii="Arial" w:cs="Arial" w:eastAsia="Arial" w:hAnsi="Arial"/>
                <w:sz w:val="22"/>
                <w:szCs w:val="22"/>
                <w:color w:val="auto"/>
              </w:rPr>
              <w:t>Investments</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17,325</w:t>
            </w:r>
          </w:p>
        </w:tc>
        <w:tc>
          <w:tcPr>
            <w:tcW w:w="80" w:type="dxa"/>
            <w:vAlign w:val="bottom"/>
          </w:tcPr>
          <w:p>
            <w:pPr>
              <w:spacing w:after="0"/>
              <w:rPr>
                <w:sz w:val="21"/>
                <w:szCs w:val="21"/>
                <w:color w:val="auto"/>
              </w:rPr>
            </w:pPr>
          </w:p>
        </w:tc>
      </w:tr>
      <w:tr>
        <w:trPr>
          <w:trHeight w:val="243"/>
        </w:trPr>
        <w:tc>
          <w:tcPr>
            <w:tcW w:w="8500" w:type="dxa"/>
            <w:vAlign w:val="bottom"/>
          </w:tcPr>
          <w:p>
            <w:pPr>
              <w:spacing w:after="0" w:line="243" w:lineRule="exact"/>
              <w:rPr>
                <w:sz w:val="20"/>
                <w:szCs w:val="20"/>
                <w:color w:val="auto"/>
              </w:rPr>
            </w:pPr>
            <w:r>
              <w:rPr>
                <w:rFonts w:ascii="Arial" w:cs="Arial" w:eastAsia="Arial" w:hAnsi="Arial"/>
                <w:sz w:val="22"/>
                <w:szCs w:val="22"/>
                <w:color w:val="auto"/>
              </w:rPr>
              <w:t>Property, plant &amp; equipment</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11,023</w:t>
            </w:r>
          </w:p>
        </w:tc>
        <w:tc>
          <w:tcPr>
            <w:tcW w:w="80" w:type="dxa"/>
            <w:vAlign w:val="bottom"/>
          </w:tcPr>
          <w:p>
            <w:pPr>
              <w:spacing w:after="0"/>
              <w:rPr>
                <w:sz w:val="21"/>
                <w:szCs w:val="21"/>
                <w:color w:val="auto"/>
              </w:rPr>
            </w:pPr>
          </w:p>
        </w:tc>
      </w:tr>
      <w:tr>
        <w:trPr>
          <w:trHeight w:val="243"/>
        </w:trPr>
        <w:tc>
          <w:tcPr>
            <w:tcW w:w="8500" w:type="dxa"/>
            <w:vAlign w:val="bottom"/>
          </w:tcPr>
          <w:p>
            <w:pPr>
              <w:spacing w:after="0" w:line="243" w:lineRule="exact"/>
              <w:rPr>
                <w:sz w:val="20"/>
                <w:szCs w:val="20"/>
                <w:color w:val="auto"/>
              </w:rPr>
            </w:pPr>
            <w:r>
              <w:rPr>
                <w:rFonts w:ascii="Arial" w:cs="Arial" w:eastAsia="Arial" w:hAnsi="Arial"/>
                <w:sz w:val="22"/>
                <w:szCs w:val="22"/>
                <w:color w:val="auto"/>
              </w:rPr>
              <w:t>Amortizable intangible assets:</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8500" w:type="dxa"/>
            <w:vAlign w:val="bottom"/>
          </w:tcPr>
          <w:p>
            <w:pPr>
              <w:ind w:left="280"/>
              <w:spacing w:after="0" w:line="243" w:lineRule="exact"/>
              <w:rPr>
                <w:sz w:val="20"/>
                <w:szCs w:val="20"/>
                <w:color w:val="auto"/>
              </w:rPr>
            </w:pPr>
            <w:r>
              <w:rPr>
                <w:rFonts w:ascii="Arial" w:cs="Arial" w:eastAsia="Arial" w:hAnsi="Arial"/>
                <w:sz w:val="22"/>
                <w:szCs w:val="22"/>
                <w:color w:val="auto"/>
              </w:rPr>
              <w:t>Franchise related customer relationships</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3,386</w:t>
            </w:r>
          </w:p>
        </w:tc>
        <w:tc>
          <w:tcPr>
            <w:tcW w:w="80" w:type="dxa"/>
            <w:vAlign w:val="bottom"/>
          </w:tcPr>
          <w:p>
            <w:pPr>
              <w:spacing w:after="0"/>
              <w:rPr>
                <w:sz w:val="21"/>
                <w:szCs w:val="21"/>
                <w:color w:val="auto"/>
              </w:rPr>
            </w:pPr>
          </w:p>
        </w:tc>
      </w:tr>
      <w:tr>
        <w:trPr>
          <w:trHeight w:val="243"/>
        </w:trPr>
        <w:tc>
          <w:tcPr>
            <w:tcW w:w="8500" w:type="dxa"/>
            <w:vAlign w:val="bottom"/>
          </w:tcPr>
          <w:p>
            <w:pPr>
              <w:ind w:left="280"/>
              <w:spacing w:after="0" w:line="243" w:lineRule="exact"/>
              <w:rPr>
                <w:sz w:val="20"/>
                <w:szCs w:val="20"/>
                <w:color w:val="auto"/>
              </w:rPr>
            </w:pPr>
            <w:r>
              <w:rPr>
                <w:rFonts w:ascii="Arial" w:cs="Arial" w:eastAsia="Arial" w:hAnsi="Arial"/>
                <w:sz w:val="22"/>
                <w:szCs w:val="22"/>
                <w:color w:val="auto"/>
              </w:rPr>
              <w:t>Other</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146</w:t>
            </w:r>
          </w:p>
        </w:tc>
        <w:tc>
          <w:tcPr>
            <w:tcW w:w="80" w:type="dxa"/>
            <w:vAlign w:val="bottom"/>
          </w:tcPr>
          <w:p>
            <w:pPr>
              <w:spacing w:after="0"/>
              <w:rPr>
                <w:sz w:val="21"/>
                <w:szCs w:val="21"/>
                <w:color w:val="auto"/>
              </w:rPr>
            </w:pPr>
          </w:p>
        </w:tc>
      </w:tr>
      <w:tr>
        <w:trPr>
          <w:trHeight w:val="243"/>
        </w:trPr>
        <w:tc>
          <w:tcPr>
            <w:tcW w:w="8500" w:type="dxa"/>
            <w:vAlign w:val="bottom"/>
          </w:tcPr>
          <w:p>
            <w:pPr>
              <w:spacing w:after="0" w:line="243" w:lineRule="exact"/>
              <w:rPr>
                <w:sz w:val="20"/>
                <w:szCs w:val="20"/>
                <w:color w:val="auto"/>
              </w:rPr>
            </w:pPr>
            <w:r>
              <w:rPr>
                <w:rFonts w:ascii="Arial" w:cs="Arial" w:eastAsia="Arial" w:hAnsi="Arial"/>
                <w:sz w:val="22"/>
                <w:szCs w:val="22"/>
                <w:color w:val="auto"/>
              </w:rPr>
              <w:t>Cable franchise rights</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34,390</w:t>
            </w:r>
          </w:p>
        </w:tc>
        <w:tc>
          <w:tcPr>
            <w:tcW w:w="80" w:type="dxa"/>
            <w:vAlign w:val="bottom"/>
          </w:tcPr>
          <w:p>
            <w:pPr>
              <w:spacing w:after="0"/>
              <w:rPr>
                <w:sz w:val="21"/>
                <w:szCs w:val="21"/>
                <w:color w:val="auto"/>
              </w:rPr>
            </w:pPr>
          </w:p>
        </w:tc>
      </w:tr>
      <w:tr>
        <w:trPr>
          <w:trHeight w:val="243"/>
        </w:trPr>
        <w:tc>
          <w:tcPr>
            <w:tcW w:w="8500" w:type="dxa"/>
            <w:vAlign w:val="bottom"/>
          </w:tcPr>
          <w:p>
            <w:pPr>
              <w:spacing w:after="0" w:line="243" w:lineRule="exact"/>
              <w:rPr>
                <w:sz w:val="20"/>
                <w:szCs w:val="20"/>
                <w:color w:val="auto"/>
              </w:rPr>
            </w:pPr>
            <w:r>
              <w:rPr>
                <w:rFonts w:ascii="Arial" w:cs="Arial" w:eastAsia="Arial" w:hAnsi="Arial"/>
                <w:sz w:val="22"/>
                <w:szCs w:val="22"/>
                <w:color w:val="auto"/>
              </w:rPr>
              <w:t>Goodwill</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9,178</w:t>
            </w:r>
          </w:p>
        </w:tc>
        <w:tc>
          <w:tcPr>
            <w:tcW w:w="80" w:type="dxa"/>
            <w:vAlign w:val="bottom"/>
          </w:tcPr>
          <w:p>
            <w:pPr>
              <w:spacing w:after="0"/>
              <w:rPr>
                <w:sz w:val="21"/>
                <w:szCs w:val="21"/>
                <w:color w:val="auto"/>
              </w:rPr>
            </w:pPr>
          </w:p>
        </w:tc>
      </w:tr>
      <w:tr>
        <w:trPr>
          <w:trHeight w:val="275"/>
        </w:trPr>
        <w:tc>
          <w:tcPr>
            <w:tcW w:w="850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800" w:type="dxa"/>
            <w:vAlign w:val="bottom"/>
          </w:tcPr>
          <w:p>
            <w:pPr>
              <w:jc w:val="right"/>
              <w:spacing w:after="0"/>
              <w:rPr>
                <w:sz w:val="20"/>
                <w:szCs w:val="20"/>
                <w:color w:val="auto"/>
              </w:rPr>
            </w:pPr>
            <w:r>
              <w:rPr>
                <w:rFonts w:ascii="Arial" w:cs="Arial" w:eastAsia="Arial" w:hAnsi="Arial"/>
                <w:sz w:val="22"/>
                <w:szCs w:val="22"/>
                <w:color w:val="auto"/>
              </w:rPr>
              <w:t>300</w:t>
            </w:r>
          </w:p>
        </w:tc>
        <w:tc>
          <w:tcPr>
            <w:tcW w:w="80" w:type="dxa"/>
            <w:vAlign w:val="bottom"/>
          </w:tcPr>
          <w:p>
            <w:pPr>
              <w:spacing w:after="0"/>
              <w:rPr>
                <w:sz w:val="23"/>
                <w:szCs w:val="23"/>
                <w:color w:val="auto"/>
              </w:rPr>
            </w:pPr>
          </w:p>
        </w:tc>
      </w:tr>
      <w:tr>
        <w:trPr>
          <w:trHeight w:val="98"/>
        </w:trPr>
        <w:tc>
          <w:tcPr>
            <w:tcW w:w="85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55"/>
        </w:trPr>
        <w:tc>
          <w:tcPr>
            <w:tcW w:w="8500" w:type="dxa"/>
            <w:vAlign w:val="bottom"/>
          </w:tcPr>
          <w:p>
            <w:pPr>
              <w:ind w:left="480"/>
              <w:spacing w:after="0"/>
              <w:rPr>
                <w:sz w:val="20"/>
                <w:szCs w:val="20"/>
                <w:color w:val="auto"/>
              </w:rPr>
            </w:pPr>
            <w:r>
              <w:rPr>
                <w:rFonts w:ascii="Arial" w:cs="Arial" w:eastAsia="Arial" w:hAnsi="Arial"/>
                <w:sz w:val="22"/>
                <w:szCs w:val="22"/>
                <w:color w:val="auto"/>
              </w:rPr>
              <w:t>Total assets</w:t>
            </w:r>
          </w:p>
        </w:tc>
        <w:tc>
          <w:tcPr>
            <w:tcW w:w="800" w:type="dxa"/>
            <w:vAlign w:val="bottom"/>
          </w:tcPr>
          <w:p>
            <w:pPr>
              <w:jc w:val="right"/>
              <w:spacing w:after="0"/>
              <w:rPr>
                <w:sz w:val="20"/>
                <w:szCs w:val="20"/>
                <w:color w:val="auto"/>
              </w:rPr>
            </w:pPr>
            <w:r>
              <w:rPr>
                <w:rFonts w:ascii="Arial" w:cs="Arial" w:eastAsia="Arial" w:hAnsi="Arial"/>
                <w:sz w:val="22"/>
                <w:szCs w:val="22"/>
                <w:color w:val="auto"/>
              </w:rPr>
              <w:t>77,516</w:t>
            </w:r>
          </w:p>
        </w:tc>
        <w:tc>
          <w:tcPr>
            <w:tcW w:w="80" w:type="dxa"/>
            <w:vAlign w:val="bottom"/>
          </w:tcPr>
          <w:p>
            <w:pPr>
              <w:spacing w:after="0"/>
              <w:rPr>
                <w:sz w:val="24"/>
                <w:szCs w:val="24"/>
                <w:color w:val="auto"/>
              </w:rPr>
            </w:pPr>
          </w:p>
        </w:tc>
      </w:tr>
      <w:tr>
        <w:trPr>
          <w:trHeight w:val="98"/>
        </w:trPr>
        <w:tc>
          <w:tcPr>
            <w:tcW w:w="85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23"/>
        </w:trPr>
        <w:tc>
          <w:tcPr>
            <w:tcW w:w="8500" w:type="dxa"/>
            <w:vAlign w:val="bottom"/>
          </w:tcPr>
          <w:p>
            <w:pPr>
              <w:spacing w:after="0"/>
              <w:rPr>
                <w:sz w:val="20"/>
                <w:szCs w:val="20"/>
                <w:color w:val="auto"/>
              </w:rPr>
            </w:pPr>
            <w:r>
              <w:rPr>
                <w:rFonts w:ascii="Arial" w:cs="Arial" w:eastAsia="Arial" w:hAnsi="Arial"/>
                <w:sz w:val="22"/>
                <w:szCs w:val="22"/>
                <w:color w:val="auto"/>
              </w:rPr>
              <w:t>Accounts payable, accrued expenses and other current liabilities</w:t>
            </w:r>
          </w:p>
        </w:tc>
        <w:tc>
          <w:tcPr>
            <w:tcW w:w="880" w:type="dxa"/>
            <w:vAlign w:val="bottom"/>
            <w:gridSpan w:val="2"/>
          </w:tcPr>
          <w:p>
            <w:pPr>
              <w:jc w:val="right"/>
              <w:spacing w:after="0"/>
              <w:rPr>
                <w:sz w:val="20"/>
                <w:szCs w:val="20"/>
                <w:color w:val="auto"/>
              </w:rPr>
            </w:pPr>
            <w:r>
              <w:rPr>
                <w:rFonts w:ascii="Arial" w:cs="Arial" w:eastAsia="Arial" w:hAnsi="Arial"/>
                <w:sz w:val="22"/>
                <w:szCs w:val="22"/>
                <w:color w:val="auto"/>
              </w:rPr>
              <w:t>(4,407)</w:t>
            </w:r>
          </w:p>
        </w:tc>
      </w:tr>
      <w:tr>
        <w:trPr>
          <w:trHeight w:val="243"/>
        </w:trPr>
        <w:tc>
          <w:tcPr>
            <w:tcW w:w="8500" w:type="dxa"/>
            <w:vAlign w:val="bottom"/>
          </w:tcPr>
          <w:p>
            <w:pPr>
              <w:spacing w:after="0" w:line="243" w:lineRule="exact"/>
              <w:rPr>
                <w:sz w:val="20"/>
                <w:szCs w:val="20"/>
                <w:color w:val="auto"/>
              </w:rPr>
            </w:pPr>
            <w:r>
              <w:rPr>
                <w:rFonts w:ascii="Arial" w:cs="Arial" w:eastAsia="Arial" w:hAnsi="Arial"/>
                <w:sz w:val="22"/>
                <w:szCs w:val="22"/>
                <w:color w:val="auto"/>
              </w:rPr>
              <w:t>Short-term debt and current portion of long-term debt</w:t>
            </w: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(8,049)</w:t>
            </w:r>
          </w:p>
        </w:tc>
      </w:tr>
      <w:tr>
        <w:trPr>
          <w:trHeight w:val="243"/>
        </w:trPr>
        <w:tc>
          <w:tcPr>
            <w:tcW w:w="8500" w:type="dxa"/>
            <w:vAlign w:val="bottom"/>
          </w:tcPr>
          <w:p>
            <w:pPr>
              <w:spacing w:after="0" w:line="243" w:lineRule="exact"/>
              <w:rPr>
                <w:sz w:val="20"/>
                <w:szCs w:val="20"/>
                <w:color w:val="auto"/>
              </w:rPr>
            </w:pPr>
            <w:r>
              <w:rPr>
                <w:rFonts w:ascii="Arial" w:cs="Arial" w:eastAsia="Arial" w:hAnsi="Arial"/>
                <w:sz w:val="22"/>
                <w:szCs w:val="22"/>
                <w:color w:val="auto"/>
              </w:rPr>
              <w:t>Long-term debt</w:t>
            </w: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(16,691)</w:t>
            </w:r>
          </w:p>
        </w:tc>
      </w:tr>
      <w:tr>
        <w:trPr>
          <w:trHeight w:val="243"/>
        </w:trPr>
        <w:tc>
          <w:tcPr>
            <w:tcW w:w="8500" w:type="dxa"/>
            <w:vAlign w:val="bottom"/>
          </w:tcPr>
          <w:p>
            <w:pPr>
              <w:spacing w:after="0" w:line="243" w:lineRule="exact"/>
              <w:rPr>
                <w:sz w:val="20"/>
                <w:szCs w:val="20"/>
                <w:color w:val="auto"/>
              </w:rPr>
            </w:pPr>
            <w:r>
              <w:rPr>
                <w:rFonts w:ascii="Arial" w:cs="Arial" w:eastAsia="Arial" w:hAnsi="Arial"/>
                <w:sz w:val="22"/>
                <w:szCs w:val="22"/>
                <w:color w:val="auto"/>
              </w:rPr>
              <w:t>Deferred income taxes</w:t>
            </w: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(18,397)</w:t>
            </w:r>
          </w:p>
        </w:tc>
      </w:tr>
      <w:tr>
        <w:trPr>
          <w:trHeight w:val="275"/>
        </w:trPr>
        <w:tc>
          <w:tcPr>
            <w:tcW w:w="850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880" w:type="dxa"/>
            <w:vAlign w:val="bottom"/>
            <w:gridSpan w:val="2"/>
          </w:tcPr>
          <w:p>
            <w:pPr>
              <w:jc w:val="right"/>
              <w:spacing w:after="0"/>
              <w:rPr>
                <w:sz w:val="20"/>
                <w:szCs w:val="20"/>
                <w:color w:val="auto"/>
              </w:rPr>
            </w:pPr>
            <w:r>
              <w:rPr>
                <w:rFonts w:ascii="Arial" w:cs="Arial" w:eastAsia="Arial" w:hAnsi="Arial"/>
                <w:sz w:val="22"/>
                <w:szCs w:val="22"/>
                <w:color w:val="auto"/>
              </w:rPr>
              <w:t>(5,178)</w:t>
            </w:r>
          </w:p>
        </w:tc>
      </w:tr>
      <w:tr>
        <w:trPr>
          <w:trHeight w:val="98"/>
        </w:trPr>
        <w:tc>
          <w:tcPr>
            <w:tcW w:w="85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55"/>
        </w:trPr>
        <w:tc>
          <w:tcPr>
            <w:tcW w:w="8500" w:type="dxa"/>
            <w:vAlign w:val="bottom"/>
          </w:tcPr>
          <w:p>
            <w:pPr>
              <w:ind w:left="480"/>
              <w:spacing w:after="0"/>
              <w:rPr>
                <w:sz w:val="20"/>
                <w:szCs w:val="20"/>
                <w:color w:val="auto"/>
              </w:rPr>
            </w:pPr>
            <w:r>
              <w:rPr>
                <w:rFonts w:ascii="Arial" w:cs="Arial" w:eastAsia="Arial" w:hAnsi="Arial"/>
                <w:sz w:val="22"/>
                <w:szCs w:val="22"/>
                <w:color w:val="auto"/>
              </w:rPr>
              <w:t>Total liabilities</w:t>
            </w:r>
          </w:p>
        </w:tc>
        <w:tc>
          <w:tcPr>
            <w:tcW w:w="880" w:type="dxa"/>
            <w:vAlign w:val="bottom"/>
            <w:gridSpan w:val="2"/>
          </w:tcPr>
          <w:p>
            <w:pPr>
              <w:jc w:val="right"/>
              <w:spacing w:after="0"/>
              <w:rPr>
                <w:sz w:val="20"/>
                <w:szCs w:val="20"/>
                <w:color w:val="auto"/>
              </w:rPr>
            </w:pPr>
            <w:r>
              <w:rPr>
                <w:rFonts w:ascii="Arial" w:cs="Arial" w:eastAsia="Arial" w:hAnsi="Arial"/>
                <w:sz w:val="22"/>
                <w:szCs w:val="22"/>
                <w:color w:val="auto"/>
              </w:rPr>
              <w:t>(52,722)</w:t>
            </w:r>
          </w:p>
        </w:tc>
      </w:tr>
      <w:tr>
        <w:trPr>
          <w:trHeight w:val="98"/>
        </w:trPr>
        <w:tc>
          <w:tcPr>
            <w:tcW w:w="85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55"/>
        </w:trPr>
        <w:tc>
          <w:tcPr>
            <w:tcW w:w="8500" w:type="dxa"/>
            <w:vAlign w:val="bottom"/>
          </w:tcPr>
          <w:p>
            <w:pPr>
              <w:spacing w:after="0"/>
              <w:rPr>
                <w:sz w:val="20"/>
                <w:szCs w:val="20"/>
                <w:color w:val="auto"/>
              </w:rPr>
            </w:pPr>
            <w:r>
              <w:rPr>
                <w:rFonts w:ascii="Arial" w:cs="Arial" w:eastAsia="Arial" w:hAnsi="Arial"/>
                <w:sz w:val="22"/>
                <w:szCs w:val="22"/>
                <w:color w:val="auto"/>
              </w:rPr>
              <w:t>Comcast shares held by Broadband, classified as treasury stock</w:t>
            </w:r>
          </w:p>
        </w:tc>
        <w:tc>
          <w:tcPr>
            <w:tcW w:w="800" w:type="dxa"/>
            <w:vAlign w:val="bottom"/>
          </w:tcPr>
          <w:p>
            <w:pPr>
              <w:jc w:val="right"/>
              <w:spacing w:after="0"/>
              <w:rPr>
                <w:sz w:val="20"/>
                <w:szCs w:val="20"/>
                <w:color w:val="auto"/>
              </w:rPr>
            </w:pPr>
            <w:r>
              <w:rPr>
                <w:rFonts w:ascii="Arial" w:cs="Arial" w:eastAsia="Arial" w:hAnsi="Arial"/>
                <w:sz w:val="22"/>
                <w:szCs w:val="22"/>
                <w:color w:val="auto"/>
              </w:rPr>
              <w:t>1,126</w:t>
            </w:r>
          </w:p>
        </w:tc>
        <w:tc>
          <w:tcPr>
            <w:tcW w:w="80" w:type="dxa"/>
            <w:vAlign w:val="bottom"/>
          </w:tcPr>
          <w:p>
            <w:pPr>
              <w:spacing w:after="0"/>
              <w:rPr>
                <w:sz w:val="24"/>
                <w:szCs w:val="24"/>
                <w:color w:val="auto"/>
              </w:rPr>
            </w:pPr>
          </w:p>
        </w:tc>
      </w:tr>
      <w:tr>
        <w:trPr>
          <w:trHeight w:val="98"/>
        </w:trPr>
        <w:tc>
          <w:tcPr>
            <w:tcW w:w="85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55"/>
        </w:trPr>
        <w:tc>
          <w:tcPr>
            <w:tcW w:w="8500" w:type="dxa"/>
            <w:vAlign w:val="bottom"/>
          </w:tcPr>
          <w:p>
            <w:pPr>
              <w:ind w:left="500"/>
              <w:spacing w:after="0"/>
              <w:rPr>
                <w:sz w:val="20"/>
                <w:szCs w:val="20"/>
                <w:color w:val="auto"/>
              </w:rPr>
            </w:pPr>
            <w:r>
              <w:rPr>
                <w:rFonts w:ascii="Arial" w:cs="Arial" w:eastAsia="Arial" w:hAnsi="Arial"/>
                <w:sz w:val="22"/>
                <w:szCs w:val="22"/>
                <w:color w:val="auto"/>
              </w:rPr>
              <w:t>Net assets acquired</w:t>
            </w:r>
          </w:p>
        </w:tc>
        <w:tc>
          <w:tcPr>
            <w:tcW w:w="800" w:type="dxa"/>
            <w:vAlign w:val="bottom"/>
          </w:tcPr>
          <w:p>
            <w:pPr>
              <w:jc w:val="right"/>
              <w:spacing w:after="0"/>
              <w:rPr>
                <w:sz w:val="20"/>
                <w:szCs w:val="20"/>
                <w:color w:val="auto"/>
              </w:rPr>
            </w:pPr>
            <w:r>
              <w:rPr>
                <w:rFonts w:ascii="Arial" w:cs="Arial" w:eastAsia="Arial" w:hAnsi="Arial"/>
                <w:sz w:val="22"/>
                <w:szCs w:val="22"/>
                <w:color w:val="auto"/>
                <w:w w:val="98"/>
              </w:rPr>
              <w:t>$25,920</w:t>
            </w:r>
          </w:p>
        </w:tc>
        <w:tc>
          <w:tcPr>
            <w:tcW w:w="80" w:type="dxa"/>
            <w:vAlign w:val="bottom"/>
          </w:tcPr>
          <w:p>
            <w:pPr>
              <w:spacing w:after="0"/>
              <w:rPr>
                <w:sz w:val="24"/>
                <w:szCs w:val="24"/>
                <w:color w:val="auto"/>
              </w:rPr>
            </w:pPr>
          </w:p>
        </w:tc>
      </w:tr>
      <w:tr>
        <w:trPr>
          <w:trHeight w:val="108"/>
        </w:trPr>
        <w:tc>
          <w:tcPr>
            <w:tcW w:w="85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 the aggregate, the intangible assets that are subject to amortization have a weighted average useful life of 4 years. Franchise related customer relationships have a weighted average useful life of 4 years. The $9.178 billion of goodwill, none of which was deductible for income tax purposes, was assigned to our cable segment.</w:t>
      </w:r>
    </w:p>
    <w:p>
      <w:pPr>
        <w:spacing w:after="0" w:line="213" w:lineRule="exact"/>
        <w:rPr>
          <w:sz w:val="20"/>
          <w:szCs w:val="20"/>
          <w:color w:val="auto"/>
        </w:rPr>
      </w:pPr>
    </w:p>
    <w:p>
      <w:pPr>
        <w:ind w:left="460" w:right="200"/>
        <w:spacing w:after="0" w:line="252" w:lineRule="auto"/>
        <w:rPr>
          <w:sz w:val="20"/>
          <w:szCs w:val="20"/>
          <w:color w:val="auto"/>
        </w:rPr>
      </w:pPr>
      <w:r>
        <w:rPr>
          <w:rFonts w:ascii="Arial" w:cs="Arial" w:eastAsia="Arial" w:hAnsi="Arial"/>
          <w:sz w:val="21"/>
          <w:szCs w:val="21"/>
          <w:color w:val="auto"/>
        </w:rPr>
        <w:t>Liabilities associated with exit activities originally recorded in the purchase price allocation consist of accrued employee termination and related costs of $602 million and $929 million associated with either the cost of terminating contracts or the present value of remaining amounts payable under non-cancelable contracts. Amounts paid, adjustments made against these accruals and interest accretion during 2003 were as follows (in millions):</w:t>
      </w:r>
    </w:p>
    <w:p>
      <w:pPr>
        <w:spacing w:after="0" w:line="201" w:lineRule="exact"/>
        <w:rPr>
          <w:sz w:val="20"/>
          <w:szCs w:val="20"/>
          <w:color w:val="auto"/>
        </w:rPr>
      </w:pPr>
    </w:p>
    <w:p>
      <w:pPr>
        <w:ind w:left="6560"/>
        <w:spacing w:after="0"/>
        <w:tabs>
          <w:tab w:leader="none" w:pos="8940" w:val="left"/>
        </w:tabs>
        <w:rPr>
          <w:sz w:val="20"/>
          <w:szCs w:val="20"/>
          <w:color w:val="auto"/>
        </w:rPr>
      </w:pPr>
      <w:r>
        <w:rPr>
          <w:rFonts w:ascii="Arial" w:cs="Arial" w:eastAsia="Arial" w:hAnsi="Arial"/>
          <w:sz w:val="22"/>
          <w:szCs w:val="22"/>
          <w:color w:val="auto"/>
        </w:rPr>
        <w:t>Employee</w:t>
      </w:r>
      <w:r>
        <w:rPr>
          <w:sz w:val="20"/>
          <w:szCs w:val="20"/>
          <w:color w:val="auto"/>
        </w:rPr>
        <w:tab/>
      </w:r>
      <w:r>
        <w:rPr>
          <w:rFonts w:ascii="Arial" w:cs="Arial" w:eastAsia="Arial" w:hAnsi="Arial"/>
          <w:sz w:val="22"/>
          <w:szCs w:val="22"/>
          <w:color w:val="auto"/>
        </w:rPr>
        <w:t>Contract</w:t>
      </w:r>
    </w:p>
    <w:p>
      <w:pPr>
        <w:sectPr>
          <w:pgSz w:w="11900" w:h="16838" w:orient="portrait"/>
          <w:cols w:equalWidth="0" w:num="1">
            <w:col w:w="11400"/>
          </w:cols>
          <w:pgMar w:left="240" w:top="118" w:right="259" w:bottom="0" w:gutter="0" w:footer="0" w:header="0"/>
        </w:sectPr>
      </w:pPr>
    </w:p>
    <w:bookmarkStart w:id="74" w:name="page75"/>
    <w:bookmarkEnd w:id="74"/>
    <w:tbl>
      <w:tblPr>
        <w:tblLayout w:type="fixed"/>
        <w:tblInd w:w="260" w:type="dxa"/>
        <w:tblCellMar>
          <w:top w:w="0" w:type="dxa"/>
          <w:left w:w="0" w:type="dxa"/>
          <w:bottom w:w="0" w:type="dxa"/>
          <w:right w:w="0" w:type="dxa"/>
        </w:tblCellMar>
      </w:tblPr>
      <w:tr>
        <w:trPr>
          <w:trHeight w:val="253"/>
        </w:trPr>
        <w:tc>
          <w:tcPr>
            <w:tcW w:w="6020" w:type="dxa"/>
            <w:vAlign w:val="bottom"/>
          </w:tcPr>
          <w:p>
            <w:pPr>
              <w:spacing w:after="0"/>
              <w:rPr>
                <w:sz w:val="21"/>
                <w:szCs w:val="21"/>
                <w:color w:val="auto"/>
              </w:rPr>
            </w:pPr>
          </w:p>
        </w:tc>
        <w:tc>
          <w:tcPr>
            <w:tcW w:w="2360" w:type="dxa"/>
            <w:vAlign w:val="bottom"/>
            <w:gridSpan w:val="2"/>
          </w:tcPr>
          <w:p>
            <w:pPr>
              <w:jc w:val="right"/>
              <w:ind w:right="920"/>
              <w:spacing w:after="0"/>
              <w:rPr>
                <w:sz w:val="20"/>
                <w:szCs w:val="20"/>
                <w:color w:val="auto"/>
              </w:rPr>
            </w:pPr>
            <w:r>
              <w:rPr>
                <w:rFonts w:ascii="Arial" w:cs="Arial" w:eastAsia="Arial" w:hAnsi="Arial"/>
                <w:sz w:val="22"/>
                <w:szCs w:val="22"/>
                <w:color w:val="auto"/>
                <w:w w:val="89"/>
              </w:rPr>
              <w:t>Termination and</w:t>
            </w:r>
          </w:p>
        </w:tc>
        <w:tc>
          <w:tcPr>
            <w:tcW w:w="1500" w:type="dxa"/>
            <w:vAlign w:val="bottom"/>
            <w:gridSpan w:val="2"/>
          </w:tcPr>
          <w:p>
            <w:pPr>
              <w:jc w:val="right"/>
              <w:ind w:right="340"/>
              <w:spacing w:after="0"/>
              <w:rPr>
                <w:sz w:val="20"/>
                <w:szCs w:val="20"/>
                <w:color w:val="auto"/>
              </w:rPr>
            </w:pPr>
            <w:r>
              <w:rPr>
                <w:rFonts w:ascii="Arial" w:cs="Arial" w:eastAsia="Arial" w:hAnsi="Arial"/>
                <w:sz w:val="22"/>
                <w:szCs w:val="22"/>
                <w:color w:val="auto"/>
              </w:rPr>
              <w:t>Exit Costs</w:t>
            </w:r>
          </w:p>
        </w:tc>
      </w:tr>
      <w:tr>
        <w:trPr>
          <w:trHeight w:val="275"/>
        </w:trPr>
        <w:tc>
          <w:tcPr>
            <w:tcW w:w="6020" w:type="dxa"/>
            <w:vAlign w:val="bottom"/>
          </w:tcPr>
          <w:p>
            <w:pPr>
              <w:spacing w:after="0"/>
              <w:rPr>
                <w:sz w:val="23"/>
                <w:szCs w:val="23"/>
                <w:color w:val="auto"/>
              </w:rPr>
            </w:pPr>
          </w:p>
        </w:tc>
        <w:tc>
          <w:tcPr>
            <w:tcW w:w="2360" w:type="dxa"/>
            <w:vAlign w:val="bottom"/>
            <w:gridSpan w:val="2"/>
          </w:tcPr>
          <w:p>
            <w:pPr>
              <w:jc w:val="right"/>
              <w:ind w:right="1040"/>
              <w:spacing w:after="0"/>
              <w:rPr>
                <w:sz w:val="20"/>
                <w:szCs w:val="20"/>
                <w:color w:val="auto"/>
              </w:rPr>
            </w:pPr>
            <w:r>
              <w:rPr>
                <w:rFonts w:ascii="Arial" w:cs="Arial" w:eastAsia="Arial" w:hAnsi="Arial"/>
                <w:sz w:val="22"/>
                <w:szCs w:val="22"/>
                <w:color w:val="auto"/>
                <w:w w:val="94"/>
              </w:rPr>
              <w:t>Related Costs</w:t>
            </w: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98"/>
        </w:trPr>
        <w:tc>
          <w:tcPr>
            <w:tcW w:w="602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92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23"/>
        </w:trPr>
        <w:tc>
          <w:tcPr>
            <w:tcW w:w="6020" w:type="dxa"/>
            <w:vAlign w:val="bottom"/>
          </w:tcPr>
          <w:p>
            <w:pPr>
              <w:ind w:left="20"/>
              <w:spacing w:after="0"/>
              <w:rPr>
                <w:sz w:val="20"/>
                <w:szCs w:val="20"/>
                <w:color w:val="auto"/>
              </w:rPr>
            </w:pPr>
            <w:r>
              <w:rPr>
                <w:rFonts w:ascii="Arial" w:cs="Arial" w:eastAsia="Arial" w:hAnsi="Arial"/>
                <w:sz w:val="22"/>
                <w:szCs w:val="22"/>
                <w:color w:val="auto"/>
              </w:rPr>
              <w:t>Balance, December 31, 2002</w:t>
            </w:r>
          </w:p>
        </w:tc>
        <w:tc>
          <w:tcPr>
            <w:tcW w:w="1440" w:type="dxa"/>
            <w:vAlign w:val="bottom"/>
          </w:tcPr>
          <w:p>
            <w:pPr>
              <w:jc w:val="right"/>
              <w:spacing w:after="0"/>
              <w:rPr>
                <w:sz w:val="20"/>
                <w:szCs w:val="20"/>
                <w:color w:val="auto"/>
              </w:rPr>
            </w:pPr>
            <w:r>
              <w:rPr>
                <w:rFonts w:ascii="Arial" w:cs="Arial" w:eastAsia="Arial" w:hAnsi="Arial"/>
                <w:sz w:val="22"/>
                <w:szCs w:val="22"/>
                <w:color w:val="auto"/>
              </w:rPr>
              <w:t>$492</w:t>
            </w:r>
          </w:p>
        </w:tc>
        <w:tc>
          <w:tcPr>
            <w:tcW w:w="9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$913</w:t>
            </w:r>
          </w:p>
        </w:tc>
        <w:tc>
          <w:tcPr>
            <w:tcW w:w="80" w:type="dxa"/>
            <w:vAlign w:val="bottom"/>
          </w:tcPr>
          <w:p>
            <w:pPr>
              <w:spacing w:after="0"/>
              <w:rPr>
                <w:sz w:val="24"/>
                <w:szCs w:val="24"/>
                <w:color w:val="auto"/>
              </w:rPr>
            </w:pPr>
          </w:p>
        </w:tc>
      </w:tr>
      <w:tr>
        <w:trPr>
          <w:trHeight w:val="243"/>
        </w:trPr>
        <w:tc>
          <w:tcPr>
            <w:tcW w:w="6020" w:type="dxa"/>
            <w:vAlign w:val="bottom"/>
          </w:tcPr>
          <w:p>
            <w:pPr>
              <w:ind w:left="20"/>
              <w:spacing w:after="0" w:line="243" w:lineRule="exact"/>
              <w:rPr>
                <w:sz w:val="20"/>
                <w:szCs w:val="20"/>
                <w:color w:val="auto"/>
              </w:rPr>
            </w:pPr>
            <w:r>
              <w:rPr>
                <w:rFonts w:ascii="Arial" w:cs="Arial" w:eastAsia="Arial" w:hAnsi="Arial"/>
                <w:sz w:val="22"/>
                <w:szCs w:val="22"/>
                <w:color w:val="auto"/>
              </w:rPr>
              <w:t>Payments</w:t>
            </w:r>
          </w:p>
        </w:tc>
        <w:tc>
          <w:tcPr>
            <w:tcW w:w="2360" w:type="dxa"/>
            <w:vAlign w:val="bottom"/>
            <w:gridSpan w:val="2"/>
          </w:tcPr>
          <w:p>
            <w:pPr>
              <w:jc w:val="right"/>
              <w:ind w:right="840"/>
              <w:spacing w:after="0" w:line="243" w:lineRule="exact"/>
              <w:rPr>
                <w:sz w:val="20"/>
                <w:szCs w:val="20"/>
                <w:color w:val="auto"/>
              </w:rPr>
            </w:pPr>
            <w:r>
              <w:rPr>
                <w:rFonts w:ascii="Arial" w:cs="Arial" w:eastAsia="Arial" w:hAnsi="Arial"/>
                <w:sz w:val="22"/>
                <w:szCs w:val="22"/>
                <w:color w:val="auto"/>
              </w:rPr>
              <w:t>(216)</w:t>
            </w:r>
          </w:p>
        </w:tc>
        <w:tc>
          <w:tcPr>
            <w:tcW w:w="15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6020" w:type="dxa"/>
            <w:vAlign w:val="bottom"/>
          </w:tcPr>
          <w:p>
            <w:pPr>
              <w:spacing w:after="0" w:line="243" w:lineRule="exact"/>
              <w:rPr>
                <w:sz w:val="20"/>
                <w:szCs w:val="20"/>
                <w:color w:val="auto"/>
              </w:rPr>
            </w:pPr>
            <w:r>
              <w:rPr>
                <w:rFonts w:ascii="Arial" w:cs="Arial" w:eastAsia="Arial" w:hAnsi="Arial"/>
                <w:sz w:val="22"/>
                <w:szCs w:val="22"/>
                <w:color w:val="auto"/>
              </w:rPr>
              <w:t>Adjustments</w:t>
            </w:r>
          </w:p>
        </w:tc>
        <w:tc>
          <w:tcPr>
            <w:tcW w:w="2360" w:type="dxa"/>
            <w:vAlign w:val="bottom"/>
            <w:gridSpan w:val="2"/>
          </w:tcPr>
          <w:p>
            <w:pPr>
              <w:jc w:val="right"/>
              <w:ind w:right="840"/>
              <w:spacing w:after="0" w:line="243" w:lineRule="exact"/>
              <w:rPr>
                <w:sz w:val="20"/>
                <w:szCs w:val="20"/>
                <w:color w:val="auto"/>
              </w:rPr>
            </w:pPr>
            <w:r>
              <w:rPr>
                <w:rFonts w:ascii="Arial" w:cs="Arial" w:eastAsia="Arial" w:hAnsi="Arial"/>
                <w:sz w:val="22"/>
                <w:szCs w:val="22"/>
                <w:color w:val="auto"/>
              </w:rPr>
              <w:t>(141)</w:t>
            </w:r>
          </w:p>
        </w:tc>
        <w:tc>
          <w:tcPr>
            <w:tcW w:w="15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(412)</w:t>
            </w:r>
          </w:p>
        </w:tc>
      </w:tr>
      <w:tr>
        <w:trPr>
          <w:trHeight w:val="275"/>
        </w:trPr>
        <w:tc>
          <w:tcPr>
            <w:tcW w:w="6020" w:type="dxa"/>
            <w:vAlign w:val="bottom"/>
          </w:tcPr>
          <w:p>
            <w:pPr>
              <w:ind w:left="20"/>
              <w:spacing w:after="0"/>
              <w:rPr>
                <w:sz w:val="20"/>
                <w:szCs w:val="20"/>
                <w:color w:val="auto"/>
              </w:rPr>
            </w:pPr>
            <w:r>
              <w:rPr>
                <w:rFonts w:ascii="Arial" w:cs="Arial" w:eastAsia="Arial" w:hAnsi="Arial"/>
                <w:sz w:val="22"/>
                <w:szCs w:val="22"/>
                <w:color w:val="auto"/>
              </w:rPr>
              <w:t>Interest accretion</w:t>
            </w:r>
          </w:p>
        </w:tc>
        <w:tc>
          <w:tcPr>
            <w:tcW w:w="1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8</w:t>
            </w:r>
          </w:p>
        </w:tc>
        <w:tc>
          <w:tcPr>
            <w:tcW w:w="80" w:type="dxa"/>
            <w:vAlign w:val="bottom"/>
          </w:tcPr>
          <w:p>
            <w:pPr>
              <w:spacing w:after="0"/>
              <w:rPr>
                <w:sz w:val="23"/>
                <w:szCs w:val="23"/>
                <w:color w:val="auto"/>
              </w:rPr>
            </w:pPr>
          </w:p>
        </w:tc>
      </w:tr>
      <w:tr>
        <w:trPr>
          <w:trHeight w:val="98"/>
        </w:trPr>
        <w:tc>
          <w:tcPr>
            <w:tcW w:w="602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92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55"/>
        </w:trPr>
        <w:tc>
          <w:tcPr>
            <w:tcW w:w="6020" w:type="dxa"/>
            <w:vAlign w:val="bottom"/>
          </w:tcPr>
          <w:p>
            <w:pPr>
              <w:ind w:left="20"/>
              <w:spacing w:after="0"/>
              <w:rPr>
                <w:sz w:val="20"/>
                <w:szCs w:val="20"/>
                <w:color w:val="auto"/>
              </w:rPr>
            </w:pPr>
            <w:r>
              <w:rPr>
                <w:rFonts w:ascii="Arial" w:cs="Arial" w:eastAsia="Arial" w:hAnsi="Arial"/>
                <w:sz w:val="22"/>
                <w:szCs w:val="22"/>
                <w:color w:val="auto"/>
              </w:rPr>
              <w:t>Balance, December 31, 2003</w:t>
            </w:r>
          </w:p>
        </w:tc>
        <w:tc>
          <w:tcPr>
            <w:tcW w:w="1440" w:type="dxa"/>
            <w:vAlign w:val="bottom"/>
          </w:tcPr>
          <w:p>
            <w:pPr>
              <w:jc w:val="right"/>
              <w:spacing w:after="0"/>
              <w:rPr>
                <w:sz w:val="20"/>
                <w:szCs w:val="20"/>
                <w:color w:val="auto"/>
              </w:rPr>
            </w:pPr>
            <w:r>
              <w:rPr>
                <w:rFonts w:ascii="Arial" w:cs="Arial" w:eastAsia="Arial" w:hAnsi="Arial"/>
                <w:sz w:val="22"/>
                <w:szCs w:val="22"/>
                <w:color w:val="auto"/>
              </w:rPr>
              <w:t>$135</w:t>
            </w:r>
          </w:p>
        </w:tc>
        <w:tc>
          <w:tcPr>
            <w:tcW w:w="9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$461</w:t>
            </w:r>
          </w:p>
        </w:tc>
        <w:tc>
          <w:tcPr>
            <w:tcW w:w="80" w:type="dxa"/>
            <w:vAlign w:val="bottom"/>
          </w:tcPr>
          <w:p>
            <w:pPr>
              <w:spacing w:after="0"/>
              <w:rPr>
                <w:sz w:val="24"/>
                <w:szCs w:val="24"/>
                <w:color w:val="auto"/>
              </w:rPr>
            </w:pPr>
          </w:p>
        </w:tc>
      </w:tr>
      <w:tr>
        <w:trPr>
          <w:trHeight w:val="108"/>
        </w:trPr>
        <w:tc>
          <w:tcPr>
            <w:tcW w:w="6020" w:type="dxa"/>
            <w:vAlign w:val="bottom"/>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92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460" w:right="580"/>
        <w:spacing w:after="0" w:line="251" w:lineRule="auto"/>
        <w:rPr>
          <w:sz w:val="20"/>
          <w:szCs w:val="20"/>
          <w:color w:val="auto"/>
        </w:rPr>
      </w:pPr>
      <w:r>
        <w:rPr>
          <w:rFonts w:ascii="Arial" w:cs="Arial" w:eastAsia="Arial" w:hAnsi="Arial"/>
          <w:sz w:val="22"/>
          <w:szCs w:val="22"/>
          <w:color w:val="auto"/>
        </w:rPr>
        <w:t>The adjustments in the preceding table reflect reductions in the estimated payments related to employee termination and contract exit costs.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2003 Acquisitions</w:t>
      </w:r>
    </w:p>
    <w:p>
      <w:pPr>
        <w:spacing w:after="0" w:line="8" w:lineRule="exact"/>
        <w:rPr>
          <w:sz w:val="20"/>
          <w:szCs w:val="20"/>
          <w:color w:val="auto"/>
        </w:rPr>
      </w:pPr>
    </w:p>
    <w:p>
      <w:pPr>
        <w:ind w:left="460" w:right="380"/>
        <w:spacing w:after="0" w:line="246" w:lineRule="auto"/>
        <w:rPr>
          <w:sz w:val="20"/>
          <w:szCs w:val="20"/>
          <w:color w:val="auto"/>
        </w:rPr>
      </w:pPr>
      <w:r>
        <w:rPr>
          <w:rFonts w:ascii="Arial" w:cs="Arial" w:eastAsia="Arial" w:hAnsi="Arial"/>
          <w:sz w:val="21"/>
          <w:szCs w:val="21"/>
          <w:color w:val="auto"/>
        </w:rPr>
        <w:t>In December 2003, we, in conjunction with affiliates of the Chicago Blackhawks, Bulls, Cubs and White Sox professional sports teams, formed Comcast SportsNet Chicago. This new 24-hour regional sports network will be available to approximately 1.5 million of our Chicago-area subscribers upon its launch in October 2004. We acquired our controlling interest in this network for approximately $87 million in cash. The preliminary purchase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right="420"/>
        <w:spacing w:after="0" w:line="251" w:lineRule="auto"/>
        <w:rPr>
          <w:sz w:val="20"/>
          <w:szCs w:val="20"/>
          <w:color w:val="auto"/>
        </w:rPr>
      </w:pPr>
      <w:r>
        <w:rPr>
          <w:rFonts w:ascii="Arial" w:cs="Arial" w:eastAsia="Arial" w:hAnsi="Arial"/>
          <w:sz w:val="22"/>
          <w:szCs w:val="22"/>
          <w:color w:val="auto"/>
        </w:rPr>
        <w:t>price allocation resulted in the recording of $87 million of contract-related intangibles to be amortized over a period of 15 years.</w:t>
      </w:r>
    </w:p>
    <w:p>
      <w:pPr>
        <w:spacing w:after="0" w:line="200" w:lineRule="exact"/>
        <w:rPr>
          <w:sz w:val="20"/>
          <w:szCs w:val="20"/>
          <w:color w:val="auto"/>
        </w:rPr>
      </w:pPr>
    </w:p>
    <w:p>
      <w:pPr>
        <w:ind w:left="460" w:right="440"/>
        <w:spacing w:after="0"/>
        <w:rPr>
          <w:sz w:val="20"/>
          <w:szCs w:val="20"/>
          <w:color w:val="auto"/>
        </w:rPr>
      </w:pPr>
      <w:r>
        <w:rPr>
          <w:rFonts w:ascii="Arial" w:cs="Arial" w:eastAsia="Arial" w:hAnsi="Arial"/>
          <w:sz w:val="22"/>
          <w:szCs w:val="22"/>
          <w:color w:val="auto"/>
        </w:rPr>
        <w:t>In December 2003, we acquired the approximate 8.6% interest in TGC previously held by the Tribune Company for $100 million in cash. This amount has been allocated to cable and satellite television distribution rights and goodwill pending completion of a valuation. As a result, we now own 99.9% of TGC.</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Bresnan Transaction</w:t>
      </w:r>
    </w:p>
    <w:p>
      <w:pPr>
        <w:spacing w:after="0" w:line="8" w:lineRule="exact"/>
        <w:rPr>
          <w:sz w:val="20"/>
          <w:szCs w:val="20"/>
          <w:color w:val="auto"/>
        </w:rPr>
      </w:pPr>
    </w:p>
    <w:p>
      <w:pPr>
        <w:ind w:left="460" w:right="60"/>
        <w:spacing w:after="0" w:line="272" w:lineRule="auto"/>
        <w:rPr>
          <w:sz w:val="20"/>
          <w:szCs w:val="20"/>
          <w:color w:val="auto"/>
        </w:rPr>
      </w:pPr>
      <w:r>
        <w:rPr>
          <w:rFonts w:ascii="Arial" w:cs="Arial" w:eastAsia="Arial" w:hAnsi="Arial"/>
          <w:sz w:val="19"/>
          <w:szCs w:val="19"/>
          <w:color w:val="auto"/>
        </w:rPr>
        <w:t>On March 20, 2003, we completed the previously announced transaction with Bresnan Broadband Holdings, LLC and Bresnan Communications, LLC (together, “Bresnan”) pursuant to which we transferred cable systems serving approximately 314,000 subscribers in Montana, Wyoming, Colorado and Utah to Bresnan that we had acquired in connection with the Broadband acquisition. We received $525 million in cash, plus preferred and common equity interests in Bresnan in exchange for these cable systems. The assets of $613 million (which consist primarily of cable franchise rights, other intangible assets and property and equipment) were reported as current assets held for sale in accordance with SFAS No. 144 in our consolidated balance sheet as of December 31, 2002. The transfer of these cable systems was accounted for at fair value with no gain or loss recognized. The results of operations for these cable systems for the first quarter of 2003 were not significant and were included in equity in net losses of affiliates in our consolidated statement of operations.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TWE Restructuring</w:t>
      </w:r>
    </w:p>
    <w:p>
      <w:pPr>
        <w:spacing w:after="0" w:line="8" w:lineRule="exact"/>
        <w:rPr>
          <w:sz w:val="20"/>
          <w:szCs w:val="20"/>
          <w:color w:val="auto"/>
        </w:rPr>
      </w:pPr>
    </w:p>
    <w:p>
      <w:pPr>
        <w:ind w:left="460"/>
        <w:spacing w:after="0" w:line="270" w:lineRule="auto"/>
        <w:rPr>
          <w:sz w:val="20"/>
          <w:szCs w:val="20"/>
          <w:color w:val="auto"/>
        </w:rPr>
      </w:pPr>
      <w:r>
        <w:rPr>
          <w:rFonts w:ascii="Arial" w:cs="Arial" w:eastAsia="Arial" w:hAnsi="Arial"/>
          <w:sz w:val="19"/>
          <w:szCs w:val="19"/>
          <w:color w:val="auto"/>
        </w:rPr>
        <w:t>On March 31, 2003, we completed the restructuring of our investment in Time Warner Entertainment Company L.P. (“TWE”). As a result of the restructuring, Time Warner Inc. (“Time Warner”) assumed complete control over TWE’s content assets, including Home Box Office, Warner Bros., and stakes in The WB Network, Comedy Central and Court TV. All of Time Warner’s interests in cable, including those held through TWE, are now held through or for the benefit of a new subsidiary of Time Warner called Time Warner Cable Inc. (“TWC”). In exchange for our 27.6% interest in TWE, we received common-equivalent preferred stock of Time Warner, which will be converted into $1.5 billion of Time Warner common stock valued upon completion of an effective registration statement filing with the SEC, and we received a 21% economic stake in the business of TWC. In addition, we received $2.1 billion in cash that was used immediately to repay amounts outstanding under certain of our credit facilities (see Notes 6 and 8). The TWE restructuring was accounted for as a fair value exchange with no gain or loss recognized. Under the restructuring agreement, we have registration rights that should facilitate the disposal or monetization of our shares in TWC and in Time Warner. On December 29, 2003, demand registration rights were exercised to start the registration process for the sale of up to 17.9% of TWC.</w:t>
      </w:r>
    </w:p>
    <w:p>
      <w:pPr>
        <w:spacing w:after="0" w:line="193" w:lineRule="exact"/>
        <w:rPr>
          <w:sz w:val="20"/>
          <w:szCs w:val="20"/>
          <w:color w:val="auto"/>
        </w:rPr>
      </w:pPr>
    </w:p>
    <w:p>
      <w:pPr>
        <w:ind w:left="460" w:right="220"/>
        <w:spacing w:after="0" w:line="236" w:lineRule="auto"/>
        <w:rPr>
          <w:sz w:val="20"/>
          <w:szCs w:val="20"/>
          <w:color w:val="auto"/>
        </w:rPr>
      </w:pPr>
      <w:r>
        <w:rPr>
          <w:rFonts w:ascii="Arial" w:cs="Arial" w:eastAsia="Arial" w:hAnsi="Arial"/>
          <w:sz w:val="22"/>
          <w:szCs w:val="22"/>
          <w:color w:val="auto"/>
        </w:rPr>
        <w:t>As part of the process of obtaining approval of the Broadband acquisition from the Federal Communications Commission (“FCC”), at the closing of the Broadband acquisition, we placed our entire interest in TWE in trust for orderly disposition. Any non-cash consideration received in respect of such interest as a result of the TWE restructuring, including the Time Warner and TWC stock, will remain in trust until disposed of or FCC approval is obtained to remove such interests from the trust.</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Under the trust, the trustee has exclusive authority to exercise any management or governance rights associated with the</w:t>
      </w:r>
    </w:p>
    <w:p>
      <w:pPr>
        <w:sectPr>
          <w:pgSz w:w="11900" w:h="16838" w:orient="portrait"/>
          <w:cols w:equalWidth="0" w:num="1">
            <w:col w:w="11420"/>
          </w:cols>
          <w:pgMar w:left="240" w:top="108" w:right="239" w:bottom="0" w:gutter="0" w:footer="0" w:header="0"/>
        </w:sectPr>
      </w:pPr>
    </w:p>
    <w:bookmarkStart w:id="75" w:name="page76"/>
    <w:bookmarkEnd w:id="75"/>
    <w:p>
      <w:pPr>
        <w:ind w:left="460" w:right="20"/>
        <w:spacing w:after="0" w:line="279" w:lineRule="auto"/>
        <w:rPr>
          <w:sz w:val="20"/>
          <w:szCs w:val="20"/>
          <w:color w:val="auto"/>
        </w:rPr>
      </w:pPr>
      <w:r>
        <w:rPr>
          <w:rFonts w:ascii="Arial" w:cs="Arial" w:eastAsia="Arial" w:hAnsi="Arial"/>
          <w:sz w:val="19"/>
          <w:szCs w:val="19"/>
          <w:color w:val="auto"/>
        </w:rPr>
        <w:t>securities in trust. The trustee also has the obligation, subject to our rights as described in the last sentence of this paragraph, to exercise available registration rights to effect the sale of such interests in a manner intended to maximize the value received consistent with the goal of disposing such securities in their entirety by November 2007. Following this time, if any securities remain in trust, the trustee will be obligated to dispose of the remaining interests as quickly as possible, and in any event by May 2008. The trustee is also obligated, through November 2007, to effect certain specified types of sale or monetization transactions with respect to the securities as may be proposed by us from time to time.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Sale of QVC</w:t>
      </w:r>
    </w:p>
    <w:p>
      <w:pPr>
        <w:spacing w:after="0" w:line="8" w:lineRule="exact"/>
        <w:rPr>
          <w:sz w:val="20"/>
          <w:szCs w:val="20"/>
          <w:color w:val="auto"/>
        </w:rPr>
      </w:pPr>
    </w:p>
    <w:p>
      <w:pPr>
        <w:ind w:left="460"/>
        <w:spacing w:after="0" w:line="273" w:lineRule="auto"/>
        <w:rPr>
          <w:sz w:val="20"/>
          <w:szCs w:val="20"/>
          <w:color w:val="auto"/>
        </w:rPr>
      </w:pPr>
      <w:r>
        <w:rPr>
          <w:rFonts w:ascii="Arial" w:cs="Arial" w:eastAsia="Arial" w:hAnsi="Arial"/>
          <w:sz w:val="19"/>
          <w:szCs w:val="19"/>
          <w:color w:val="auto"/>
        </w:rPr>
        <w:t>On September 17, 2003, we completed the sale to Liberty Media Corporation (“Liberty”) of all shares of QVC common stock held by a number of our direct wholly-owned subsidiaries for an aggregate value of approximately $7.7 billion, consisting of $4 billion principal amount of Liberty’s Floating Rate Senior Notes due 2006 (the “Liberty Notes”), $1.35 billion in cash and approximately 218 million shares of Liberty Series A common stock. The shares had a fair value on the closing date of $10.73 per share. As a condition of closing, certain equity awards were required to be settled. The cost of settling the awards was included in costs of the transaction. The consideration received, net of transaction costs, over our carrying value of the net assets of QVC resulted in a gain of approximately $3.290 billion, net of approximately $2.865 billion of related income taxes.</w:t>
      </w:r>
    </w:p>
    <w:p>
      <w:pPr>
        <w:spacing w:after="0" w:line="187" w:lineRule="exact"/>
        <w:rPr>
          <w:sz w:val="20"/>
          <w:szCs w:val="20"/>
          <w:color w:val="auto"/>
        </w:rPr>
      </w:pPr>
    </w:p>
    <w:p>
      <w:pPr>
        <w:ind w:left="460" w:right="240"/>
        <w:spacing w:after="0" w:line="251" w:lineRule="auto"/>
        <w:rPr>
          <w:sz w:val="20"/>
          <w:szCs w:val="20"/>
          <w:color w:val="auto"/>
        </w:rPr>
      </w:pPr>
      <w:r>
        <w:rPr>
          <w:rFonts w:ascii="Arial" w:cs="Arial" w:eastAsia="Arial" w:hAnsi="Arial"/>
          <w:sz w:val="22"/>
          <w:szCs w:val="22"/>
          <w:color w:val="auto"/>
        </w:rPr>
        <w:t>The current and noncurrent assets and liabilities of QVC included within the related discontinued operations captions are as follows (in millions):</w:t>
      </w:r>
    </w:p>
    <w:p>
      <w:pPr>
        <w:sectPr>
          <w:pgSz w:w="11900" w:h="16838" w:orient="portrait"/>
          <w:cols w:equalWidth="0" w:num="1">
            <w:col w:w="11400"/>
          </w:cols>
          <w:pgMar w:left="240" w:top="118" w:right="259" w:bottom="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80"/>
        <w:spacing w:after="0"/>
        <w:rPr>
          <w:sz w:val="20"/>
          <w:szCs w:val="20"/>
          <w:color w:val="auto"/>
        </w:rPr>
      </w:pPr>
      <w:r>
        <w:rPr>
          <w:rFonts w:ascii="Arial" w:cs="Arial" w:eastAsia="Arial" w:hAnsi="Arial"/>
          <w:sz w:val="22"/>
          <w:szCs w:val="22"/>
          <w:color w:val="auto"/>
        </w:rPr>
        <w:t>Cash</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19"/>
          <w:szCs w:val="19"/>
          <w:color w:val="auto"/>
        </w:rPr>
        <w:t>Accounts receivable, less allowance for doubtful accounts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22"/>
          <w:szCs w:val="22"/>
          <w:color w:val="auto"/>
        </w:rPr>
        <w:t>Inventories, net</w:t>
      </w:r>
    </w:p>
    <w:p>
      <w:pPr>
        <w:ind w:left="280"/>
        <w:spacing w:after="0"/>
        <w:rPr>
          <w:sz w:val="20"/>
          <w:szCs w:val="20"/>
          <w:color w:val="auto"/>
        </w:rPr>
      </w:pPr>
      <w:r>
        <w:rPr>
          <w:rFonts w:ascii="Arial" w:cs="Arial" w:eastAsia="Arial" w:hAnsi="Arial"/>
          <w:sz w:val="22"/>
          <w:szCs w:val="22"/>
          <w:color w:val="auto"/>
        </w:rPr>
        <w:t>Other current assets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Total current assets of discontinued operations</w:t>
      </w:r>
    </w:p>
    <w:p>
      <w:pPr>
        <w:spacing w:after="0" w:line="200" w:lineRule="exact"/>
        <w:rPr>
          <w:sz w:val="20"/>
          <w:szCs w:val="20"/>
          <w:color w:val="auto"/>
        </w:rPr>
      </w:pPr>
    </w:p>
    <w:p>
      <w:pPr>
        <w:spacing w:after="0" w:line="276" w:lineRule="exact"/>
        <w:rPr>
          <w:sz w:val="20"/>
          <w:szCs w:val="20"/>
          <w:color w:val="auto"/>
        </w:rPr>
      </w:pPr>
    </w:p>
    <w:p>
      <w:pPr>
        <w:ind w:left="280" w:right="2140"/>
        <w:spacing w:after="0" w:line="239" w:lineRule="auto"/>
        <w:rPr>
          <w:sz w:val="20"/>
          <w:szCs w:val="20"/>
          <w:color w:val="auto"/>
        </w:rPr>
      </w:pPr>
      <w:r>
        <w:rPr>
          <w:rFonts w:ascii="Arial" w:cs="Arial" w:eastAsia="Arial" w:hAnsi="Arial"/>
          <w:sz w:val="22"/>
          <w:szCs w:val="22"/>
          <w:color w:val="auto"/>
        </w:rPr>
        <w:t>Property and equipment, net of accumulated depreciation Goodwill</w:t>
      </w:r>
    </w:p>
    <w:p>
      <w:pPr>
        <w:ind w:left="280" w:right="2220"/>
        <w:spacing w:after="0" w:line="237" w:lineRule="auto"/>
        <w:rPr>
          <w:sz w:val="20"/>
          <w:szCs w:val="20"/>
          <w:color w:val="auto"/>
        </w:rPr>
      </w:pPr>
      <w:r>
        <w:rPr>
          <w:rFonts w:ascii="Arial" w:cs="Arial" w:eastAsia="Arial" w:hAnsi="Arial"/>
          <w:sz w:val="22"/>
          <w:szCs w:val="22"/>
          <w:color w:val="auto"/>
        </w:rPr>
        <w:t>Other intangible assets, net of accumulated amortization Other noncurrent assets, net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21"/>
          <w:szCs w:val="21"/>
          <w:color w:val="auto"/>
        </w:rPr>
        <w:t>Total noncurrent assets of discontinued operations</w:t>
      </w:r>
    </w:p>
    <w:p>
      <w:pPr>
        <w:spacing w:after="0" w:line="200" w:lineRule="exact"/>
        <w:rPr>
          <w:sz w:val="20"/>
          <w:szCs w:val="20"/>
          <w:color w:val="auto"/>
        </w:rPr>
      </w:pPr>
    </w:p>
    <w:p>
      <w:pPr>
        <w:spacing w:after="0" w:line="28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Accounts payable</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Accrued expenses and other current liabilities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21"/>
          <w:szCs w:val="21"/>
          <w:color w:val="auto"/>
        </w:rPr>
        <w:t>Total current liabilities of discontinued operations</w:t>
      </w:r>
    </w:p>
    <w:p>
      <w:pPr>
        <w:spacing w:after="0" w:line="200" w:lineRule="exact"/>
        <w:rPr>
          <w:sz w:val="20"/>
          <w:szCs w:val="20"/>
          <w:color w:val="auto"/>
        </w:rPr>
      </w:pPr>
    </w:p>
    <w:p>
      <w:pPr>
        <w:spacing w:after="0" w:line="2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Minority interest</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Other noncurrent liabilities</w:t>
      </w:r>
    </w:p>
    <w:p>
      <w:pPr>
        <w:spacing w:after="0" w:line="202" w:lineRule="exact"/>
        <w:rPr>
          <w:sz w:val="20"/>
          <w:szCs w:val="20"/>
          <w:color w:val="auto"/>
        </w:rPr>
      </w:pPr>
    </w:p>
    <w:p>
      <w:pPr>
        <w:ind w:left="660" w:right="2680" w:hanging="111"/>
        <w:spacing w:after="0" w:line="251" w:lineRule="auto"/>
        <w:rPr>
          <w:sz w:val="20"/>
          <w:szCs w:val="20"/>
          <w:color w:val="auto"/>
        </w:rPr>
      </w:pPr>
      <w:r>
        <w:rPr>
          <w:rFonts w:ascii="Arial" w:cs="Arial" w:eastAsia="Arial" w:hAnsi="Arial"/>
          <w:sz w:val="22"/>
          <w:szCs w:val="22"/>
          <w:color w:val="auto"/>
        </w:rPr>
        <w:t>Total noncurrent liabilities and minority interest of discontinued operations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2420"/>
        <w:spacing w:after="0"/>
        <w:rPr>
          <w:sz w:val="20"/>
          <w:szCs w:val="20"/>
          <w:color w:val="auto"/>
        </w:rPr>
      </w:pPr>
      <w:r>
        <w:rPr>
          <w:rFonts w:ascii="Arial" w:cs="Arial" w:eastAsia="Arial" w:hAnsi="Arial"/>
          <w:sz w:val="19"/>
          <w:szCs w:val="19"/>
          <w:color w:val="auto"/>
        </w:rPr>
        <w:t>December</w:t>
      </w:r>
    </w:p>
    <w:p>
      <w:pPr>
        <w:spacing w:after="0" w:line="33" w:lineRule="exact"/>
        <w:rPr>
          <w:sz w:val="20"/>
          <w:szCs w:val="20"/>
          <w:color w:val="auto"/>
        </w:rPr>
      </w:pPr>
    </w:p>
    <w:p>
      <w:pPr>
        <w:jc w:val="center"/>
        <w:ind w:right="2420"/>
        <w:spacing w:after="0"/>
        <w:rPr>
          <w:sz w:val="20"/>
          <w:szCs w:val="20"/>
          <w:color w:val="auto"/>
        </w:rPr>
      </w:pPr>
      <w:r>
        <w:rPr>
          <w:rFonts w:ascii="Arial" w:cs="Arial" w:eastAsia="Arial" w:hAnsi="Arial"/>
          <w:sz w:val="22"/>
          <w:szCs w:val="22"/>
          <w:color w:val="auto"/>
        </w:rPr>
        <w:t>31,</w:t>
      </w:r>
    </w:p>
    <w:p>
      <w:pPr>
        <w:jc w:val="center"/>
        <w:ind w:right="2420"/>
        <w:spacing w:after="0"/>
        <w:rPr>
          <w:sz w:val="20"/>
          <w:szCs w:val="20"/>
          <w:color w:val="auto"/>
        </w:rPr>
      </w:pPr>
      <w:r>
        <w:rPr>
          <w:rFonts w:ascii="Arial" w:cs="Arial" w:eastAsia="Arial" w:hAnsi="Arial"/>
          <w:sz w:val="22"/>
          <w:szCs w:val="22"/>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64770</wp:posOffset>
            </wp:positionV>
            <wp:extent cx="6515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right"/>
        <w:ind w:right="2360"/>
        <w:spacing w:after="0"/>
        <w:rPr>
          <w:sz w:val="20"/>
          <w:szCs w:val="20"/>
          <w:color w:val="auto"/>
        </w:rPr>
      </w:pPr>
      <w:r>
        <w:rPr>
          <w:rFonts w:ascii="Arial" w:cs="Arial" w:eastAsia="Arial" w:hAnsi="Arial"/>
          <w:sz w:val="22"/>
          <w:szCs w:val="22"/>
          <w:color w:val="auto"/>
        </w:rPr>
        <w:t>$276</w:t>
      </w:r>
    </w:p>
    <w:p>
      <w:pPr>
        <w:jc w:val="right"/>
        <w:ind w:right="2360"/>
        <w:spacing w:after="0" w:line="238" w:lineRule="auto"/>
        <w:rPr>
          <w:sz w:val="20"/>
          <w:szCs w:val="20"/>
          <w:color w:val="auto"/>
        </w:rPr>
      </w:pPr>
      <w:r>
        <w:rPr>
          <w:rFonts w:ascii="Arial" w:cs="Arial" w:eastAsia="Arial" w:hAnsi="Arial"/>
          <w:sz w:val="22"/>
          <w:szCs w:val="22"/>
          <w:color w:val="auto"/>
        </w:rPr>
        <w:t>569</w:t>
      </w:r>
    </w:p>
    <w:p>
      <w:pPr>
        <w:jc w:val="right"/>
        <w:ind w:right="2360"/>
        <w:spacing w:after="0" w:line="230" w:lineRule="auto"/>
        <w:rPr>
          <w:sz w:val="20"/>
          <w:szCs w:val="20"/>
          <w:color w:val="auto"/>
        </w:rPr>
      </w:pPr>
      <w:r>
        <w:rPr>
          <w:rFonts w:ascii="Arial" w:cs="Arial" w:eastAsia="Arial" w:hAnsi="Arial"/>
          <w:sz w:val="22"/>
          <w:szCs w:val="22"/>
          <w:color w:val="auto"/>
        </w:rPr>
        <w:t>479</w:t>
      </w:r>
    </w:p>
    <w:p>
      <w:pPr>
        <w:spacing w:after="0" w:line="1" w:lineRule="exact"/>
        <w:rPr>
          <w:sz w:val="20"/>
          <w:szCs w:val="20"/>
          <w:color w:val="auto"/>
        </w:rPr>
      </w:pPr>
    </w:p>
    <w:p>
      <w:pPr>
        <w:jc w:val="right"/>
        <w:ind w:right="2360"/>
        <w:spacing w:after="0"/>
        <w:rPr>
          <w:sz w:val="20"/>
          <w:szCs w:val="20"/>
          <w:color w:val="auto"/>
        </w:rPr>
      </w:pPr>
      <w:r>
        <w:rPr>
          <w:rFonts w:ascii="Arial" w:cs="Arial" w:eastAsia="Arial" w:hAnsi="Arial"/>
          <w:sz w:val="22"/>
          <w:szCs w:val="2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64770</wp:posOffset>
            </wp:positionV>
            <wp:extent cx="65151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82" w:lineRule="exact"/>
        <w:rPr>
          <w:sz w:val="20"/>
          <w:szCs w:val="20"/>
          <w:color w:val="auto"/>
        </w:rPr>
      </w:pPr>
    </w:p>
    <w:p>
      <w:pPr>
        <w:jc w:val="right"/>
        <w:ind w:right="2360"/>
        <w:spacing w:after="0"/>
        <w:rPr>
          <w:sz w:val="20"/>
          <w:szCs w:val="20"/>
          <w:color w:val="auto"/>
        </w:rPr>
      </w:pPr>
      <w:r>
        <w:rPr>
          <w:rFonts w:ascii="Arial" w:cs="Arial" w:eastAsia="Arial" w:hAnsi="Arial"/>
          <w:sz w:val="22"/>
          <w:szCs w:val="22"/>
          <w:color w:val="auto"/>
        </w:rPr>
        <w:t>$1,481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73660</wp:posOffset>
            </wp:positionV>
            <wp:extent cx="655955"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5955" cy="215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right"/>
        <w:ind w:right="2360"/>
        <w:spacing w:after="0"/>
        <w:rPr>
          <w:sz w:val="20"/>
          <w:szCs w:val="20"/>
          <w:color w:val="auto"/>
        </w:rPr>
      </w:pPr>
      <w:r>
        <w:rPr>
          <w:rFonts w:ascii="Arial" w:cs="Arial" w:eastAsia="Arial" w:hAnsi="Arial"/>
          <w:sz w:val="22"/>
          <w:szCs w:val="22"/>
          <w:color w:val="auto"/>
        </w:rPr>
        <w:t>$485</w:t>
      </w:r>
    </w:p>
    <w:p>
      <w:pPr>
        <w:jc w:val="right"/>
        <w:ind w:right="2360"/>
        <w:spacing w:after="0" w:line="238" w:lineRule="auto"/>
        <w:rPr>
          <w:sz w:val="20"/>
          <w:szCs w:val="20"/>
          <w:color w:val="auto"/>
        </w:rPr>
      </w:pPr>
      <w:r>
        <w:rPr>
          <w:rFonts w:ascii="Arial" w:cs="Arial" w:eastAsia="Arial" w:hAnsi="Arial"/>
          <w:sz w:val="22"/>
          <w:szCs w:val="22"/>
          <w:color w:val="auto"/>
        </w:rPr>
        <w:t>835</w:t>
      </w:r>
    </w:p>
    <w:p>
      <w:pPr>
        <w:jc w:val="right"/>
        <w:ind w:right="2360"/>
        <w:spacing w:after="0" w:line="230" w:lineRule="auto"/>
        <w:rPr>
          <w:sz w:val="20"/>
          <w:szCs w:val="20"/>
          <w:color w:val="auto"/>
        </w:rPr>
      </w:pPr>
      <w:r>
        <w:rPr>
          <w:rFonts w:ascii="Arial" w:cs="Arial" w:eastAsia="Arial" w:hAnsi="Arial"/>
          <w:sz w:val="22"/>
          <w:szCs w:val="22"/>
          <w:color w:val="auto"/>
        </w:rPr>
        <w:t>170</w:t>
      </w:r>
    </w:p>
    <w:p>
      <w:pPr>
        <w:spacing w:after="0" w:line="1" w:lineRule="exact"/>
        <w:rPr>
          <w:sz w:val="20"/>
          <w:szCs w:val="20"/>
          <w:color w:val="auto"/>
        </w:rPr>
      </w:pPr>
    </w:p>
    <w:p>
      <w:pPr>
        <w:jc w:val="right"/>
        <w:ind w:right="2360"/>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64770</wp:posOffset>
            </wp:positionV>
            <wp:extent cx="65151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82" w:lineRule="exact"/>
        <w:rPr>
          <w:sz w:val="20"/>
          <w:szCs w:val="20"/>
          <w:color w:val="auto"/>
        </w:rPr>
      </w:pPr>
    </w:p>
    <w:p>
      <w:pPr>
        <w:jc w:val="right"/>
        <w:ind w:right="2360"/>
        <w:spacing w:after="0"/>
        <w:rPr>
          <w:sz w:val="20"/>
          <w:szCs w:val="20"/>
          <w:color w:val="auto"/>
        </w:rPr>
      </w:pPr>
      <w:r>
        <w:rPr>
          <w:rFonts w:ascii="Arial" w:cs="Arial" w:eastAsia="Arial" w:hAnsi="Arial"/>
          <w:sz w:val="22"/>
          <w:szCs w:val="22"/>
          <w:color w:val="auto"/>
        </w:rPr>
        <w:t>$1,595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73660</wp:posOffset>
            </wp:positionV>
            <wp:extent cx="65595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5955" cy="215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$367</w:t>
      </w:r>
    </w:p>
    <w:p>
      <w:pPr>
        <w:spacing w:after="0" w:line="5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86360</wp:posOffset>
            </wp:positionV>
            <wp:extent cx="6515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16" w:lineRule="exact"/>
        <w:rPr>
          <w:sz w:val="20"/>
          <w:szCs w:val="20"/>
          <w:color w:val="auto"/>
        </w:rPr>
      </w:pPr>
    </w:p>
    <w:p>
      <w:pPr>
        <w:jc w:val="right"/>
        <w:ind w:right="2360"/>
        <w:spacing w:after="0"/>
        <w:rPr>
          <w:sz w:val="20"/>
          <w:szCs w:val="20"/>
          <w:color w:val="auto"/>
        </w:rPr>
      </w:pPr>
      <w:r>
        <w:rPr>
          <w:rFonts w:ascii="Arial" w:cs="Arial" w:eastAsia="Arial" w:hAnsi="Arial"/>
          <w:sz w:val="22"/>
          <w:szCs w:val="22"/>
          <w:color w:val="auto"/>
        </w:rPr>
        <w:t>$816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73660</wp:posOffset>
            </wp:positionV>
            <wp:extent cx="655955"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5955" cy="215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$867</w:t>
      </w:r>
    </w:p>
    <w:p>
      <w:pPr>
        <w:spacing w:after="0" w:line="54" w:lineRule="exact"/>
        <w:rPr>
          <w:sz w:val="20"/>
          <w:szCs w:val="20"/>
          <w:color w:val="auto"/>
        </w:rPr>
      </w:pPr>
    </w:p>
    <w:p>
      <w:pPr>
        <w:ind w:left="740"/>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86360</wp:posOffset>
            </wp:positionV>
            <wp:extent cx="65151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right"/>
        <w:ind w:right="2360"/>
        <w:spacing w:after="0"/>
        <w:rPr>
          <w:sz w:val="20"/>
          <w:szCs w:val="20"/>
          <w:color w:val="auto"/>
        </w:rPr>
      </w:pPr>
      <w:r>
        <w:rPr>
          <w:rFonts w:ascii="Arial" w:cs="Arial" w:eastAsia="Arial" w:hAnsi="Arial"/>
          <w:sz w:val="22"/>
          <w:szCs w:val="22"/>
          <w:color w:val="auto"/>
        </w:rPr>
        <w:t>$923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73660</wp:posOffset>
            </wp:positionV>
            <wp:extent cx="655955"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55955" cy="21590"/>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7360" w:space="720"/>
            <w:col w:w="3320"/>
          </w:cols>
          <w:pgMar w:left="240" w:top="118" w:right="259" w:bottom="29" w:gutter="0" w:footer="0" w:header="0"/>
          <w:type w:val="continuous"/>
        </w:sectPr>
      </w:pPr>
    </w:p>
    <w:p>
      <w:pPr>
        <w:spacing w:after="0" w:line="243" w:lineRule="exact"/>
        <w:rPr>
          <w:sz w:val="20"/>
          <w:szCs w:val="20"/>
          <w:color w:val="auto"/>
        </w:rPr>
      </w:pPr>
    </w:p>
    <w:p>
      <w:pPr>
        <w:ind w:left="460" w:right="160"/>
        <w:spacing w:after="0" w:line="251" w:lineRule="auto"/>
        <w:rPr>
          <w:sz w:val="20"/>
          <w:szCs w:val="20"/>
          <w:color w:val="auto"/>
        </w:rPr>
      </w:pPr>
      <w:r>
        <w:rPr>
          <w:rFonts w:ascii="Arial" w:cs="Arial" w:eastAsia="Arial" w:hAnsi="Arial"/>
          <w:sz w:val="22"/>
          <w:szCs w:val="22"/>
          <w:color w:val="auto"/>
        </w:rPr>
        <w:t>The results of operations of QVC prior to its disposition are included within income from discontinued operations, net of tax as follows (in millions):</w:t>
      </w:r>
    </w:p>
    <w:p>
      <w:pPr>
        <w:spacing w:after="0" w:line="200" w:lineRule="exact"/>
        <w:rPr>
          <w:sz w:val="20"/>
          <w:szCs w:val="20"/>
          <w:color w:val="auto"/>
        </w:rPr>
      </w:pPr>
    </w:p>
    <w:p>
      <w:pPr>
        <w:jc w:val="center"/>
        <w:ind w:left="5140"/>
        <w:spacing w:after="0"/>
        <w:rPr>
          <w:sz w:val="20"/>
          <w:szCs w:val="20"/>
          <w:color w:val="auto"/>
        </w:rPr>
      </w:pPr>
      <w:r>
        <w:rPr>
          <w:rFonts w:ascii="Arial" w:cs="Arial" w:eastAsia="Arial" w:hAnsi="Arial"/>
          <w:sz w:val="22"/>
          <w:szCs w:val="22"/>
          <w:color w:val="auto"/>
        </w:rPr>
        <w:t>Year Ended December 31,</w:t>
      </w:r>
    </w:p>
    <w:p>
      <w:pPr>
        <w:spacing w:after="0" w:line="8" w:lineRule="exact"/>
        <w:rPr>
          <w:sz w:val="20"/>
          <w:szCs w:val="20"/>
          <w:color w:val="auto"/>
        </w:rPr>
      </w:pPr>
    </w:p>
    <w:p>
      <w:pPr>
        <w:ind w:left="6740"/>
        <w:spacing w:after="0"/>
        <w:tabs>
          <w:tab w:leader="none" w:pos="8060" w:val="left"/>
          <w:tab w:leader="none" w:pos="9380" w:val="left"/>
        </w:tabs>
        <w:rPr>
          <w:sz w:val="20"/>
          <w:szCs w:val="20"/>
          <w:color w:val="auto"/>
        </w:rPr>
      </w:pPr>
      <w:r>
        <w:rPr>
          <w:rFonts w:ascii="Arial" w:cs="Arial" w:eastAsia="Arial" w:hAnsi="Arial"/>
          <w:sz w:val="22"/>
          <w:szCs w:val="22"/>
          <w:color w:val="auto"/>
        </w:rPr>
        <w:t>2003</w:t>
      </w:r>
      <w:r>
        <w:rPr>
          <w:sz w:val="20"/>
          <w:szCs w:val="20"/>
          <w:color w:val="auto"/>
        </w:rPr>
        <w:tab/>
      </w:r>
      <w:r>
        <w:rPr>
          <w:rFonts w:ascii="Arial" w:cs="Arial" w:eastAsia="Arial" w:hAnsi="Arial"/>
          <w:sz w:val="22"/>
          <w:szCs w:val="22"/>
          <w:color w:val="auto"/>
        </w:rPr>
        <w:t>2002</w:t>
      </w:r>
      <w:r>
        <w:rPr>
          <w:sz w:val="20"/>
          <w:szCs w:val="20"/>
          <w:color w:val="auto"/>
        </w:rPr>
        <w:tab/>
      </w:r>
      <w:r>
        <w:rPr>
          <w:rFonts w:ascii="Arial" w:cs="Arial" w:eastAsia="Arial" w:hAnsi="Arial"/>
          <w:sz w:val="18"/>
          <w:szCs w:val="18"/>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64770</wp:posOffset>
            </wp:positionV>
            <wp:extent cx="22726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ectPr>
          <w:pgSz w:w="11900" w:h="16838" w:orient="portrait"/>
          <w:cols w:equalWidth="0" w:num="1">
            <w:col w:w="11400"/>
          </w:cols>
          <w:pgMar w:left="240" w:top="118" w:right="259" w:bottom="29" w:gutter="0" w:footer="0" w:header="0"/>
          <w:type w:val="continuous"/>
        </w:sectPr>
      </w:pPr>
    </w:p>
    <w:bookmarkStart w:id="76" w:name="page77"/>
    <w:bookmarkEnd w:id="76"/>
    <w:tbl>
      <w:tblPr>
        <w:tblLayout w:type="fixed"/>
        <w:tblInd w:w="280" w:type="dxa"/>
        <w:tblCellMar>
          <w:top w:w="0" w:type="dxa"/>
          <w:left w:w="0" w:type="dxa"/>
          <w:bottom w:w="0" w:type="dxa"/>
          <w:right w:w="0" w:type="dxa"/>
        </w:tblCellMar>
      </w:tblPr>
      <w:tr>
        <w:trPr>
          <w:trHeight w:val="253"/>
        </w:trPr>
        <w:tc>
          <w:tcPr>
            <w:tcW w:w="5420" w:type="dxa"/>
            <w:vAlign w:val="bottom"/>
          </w:tcPr>
          <w:p>
            <w:pPr>
              <w:spacing w:after="0"/>
              <w:rPr>
                <w:sz w:val="20"/>
                <w:szCs w:val="20"/>
                <w:color w:val="auto"/>
              </w:rPr>
            </w:pPr>
            <w:r>
              <w:rPr>
                <w:rFonts w:ascii="Arial" w:cs="Arial" w:eastAsia="Arial" w:hAnsi="Arial"/>
                <w:sz w:val="22"/>
                <w:szCs w:val="22"/>
                <w:color w:val="auto"/>
              </w:rPr>
              <w:t>Revenues</w:t>
            </w:r>
          </w:p>
        </w:tc>
        <w:tc>
          <w:tcPr>
            <w:tcW w:w="2080" w:type="dxa"/>
            <w:vAlign w:val="bottom"/>
          </w:tcPr>
          <w:p>
            <w:pPr>
              <w:jc w:val="right"/>
              <w:ind w:right="252"/>
              <w:spacing w:after="0"/>
              <w:rPr>
                <w:sz w:val="20"/>
                <w:szCs w:val="20"/>
                <w:color w:val="auto"/>
              </w:rPr>
            </w:pPr>
            <w:r>
              <w:rPr>
                <w:rFonts w:ascii="Arial" w:cs="Arial" w:eastAsia="Arial" w:hAnsi="Arial"/>
                <w:sz w:val="22"/>
                <w:szCs w:val="22"/>
                <w:color w:val="auto"/>
              </w:rPr>
              <w:t>$2,915</w:t>
            </w:r>
          </w:p>
        </w:tc>
        <w:tc>
          <w:tcPr>
            <w:tcW w:w="1340" w:type="dxa"/>
            <w:vAlign w:val="bottom"/>
          </w:tcPr>
          <w:p>
            <w:pPr>
              <w:jc w:val="right"/>
              <w:ind w:right="272"/>
              <w:spacing w:after="0"/>
              <w:rPr>
                <w:sz w:val="20"/>
                <w:szCs w:val="20"/>
                <w:color w:val="auto"/>
              </w:rPr>
            </w:pPr>
            <w:r>
              <w:rPr>
                <w:rFonts w:ascii="Arial" w:cs="Arial" w:eastAsia="Arial" w:hAnsi="Arial"/>
                <w:sz w:val="22"/>
                <w:szCs w:val="22"/>
                <w:color w:val="auto"/>
              </w:rPr>
              <w:t>$4,381</w:t>
            </w:r>
          </w:p>
        </w:tc>
        <w:tc>
          <w:tcPr>
            <w:tcW w:w="940" w:type="dxa"/>
            <w:vAlign w:val="bottom"/>
          </w:tcPr>
          <w:p>
            <w:pPr>
              <w:jc w:val="right"/>
              <w:spacing w:after="0"/>
              <w:rPr>
                <w:sz w:val="20"/>
                <w:szCs w:val="20"/>
                <w:color w:val="auto"/>
              </w:rPr>
            </w:pPr>
            <w:r>
              <w:rPr>
                <w:rFonts w:ascii="Arial" w:cs="Arial" w:eastAsia="Arial" w:hAnsi="Arial"/>
                <w:sz w:val="22"/>
                <w:szCs w:val="22"/>
                <w:color w:val="auto"/>
              </w:rPr>
              <w:t>$3,917</w:t>
            </w:r>
          </w:p>
        </w:tc>
      </w:tr>
      <w:tr>
        <w:trPr>
          <w:trHeight w:val="243"/>
        </w:trPr>
        <w:tc>
          <w:tcPr>
            <w:tcW w:w="5420" w:type="dxa"/>
            <w:vAlign w:val="bottom"/>
          </w:tcPr>
          <w:p>
            <w:pPr>
              <w:spacing w:after="0" w:line="243" w:lineRule="exact"/>
              <w:rPr>
                <w:sz w:val="20"/>
                <w:szCs w:val="20"/>
                <w:color w:val="auto"/>
              </w:rPr>
            </w:pPr>
            <w:r>
              <w:rPr>
                <w:rFonts w:ascii="Arial" w:cs="Arial" w:eastAsia="Arial" w:hAnsi="Arial"/>
                <w:sz w:val="22"/>
                <w:szCs w:val="22"/>
                <w:color w:val="auto"/>
              </w:rPr>
              <w:t>Income before income taxes and minority interest</w:t>
            </w:r>
          </w:p>
        </w:tc>
        <w:tc>
          <w:tcPr>
            <w:tcW w:w="208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$496</w:t>
            </w:r>
          </w:p>
        </w:tc>
        <w:tc>
          <w:tcPr>
            <w:tcW w:w="134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$624</w:t>
            </w: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$627</w:t>
            </w:r>
          </w:p>
        </w:tc>
      </w:tr>
      <w:tr>
        <w:trPr>
          <w:trHeight w:val="275"/>
        </w:trPr>
        <w:tc>
          <w:tcPr>
            <w:tcW w:w="5420" w:type="dxa"/>
            <w:vAlign w:val="bottom"/>
          </w:tcPr>
          <w:p>
            <w:pPr>
              <w:spacing w:after="0"/>
              <w:rPr>
                <w:sz w:val="20"/>
                <w:szCs w:val="20"/>
                <w:color w:val="auto"/>
              </w:rPr>
            </w:pPr>
            <w:r>
              <w:rPr>
                <w:rFonts w:ascii="Arial" w:cs="Arial" w:eastAsia="Arial" w:hAnsi="Arial"/>
                <w:sz w:val="22"/>
                <w:szCs w:val="22"/>
                <w:color w:val="auto"/>
              </w:rPr>
              <w:t>Income tax expense</w:t>
            </w:r>
          </w:p>
        </w:tc>
        <w:tc>
          <w:tcPr>
            <w:tcW w:w="2080" w:type="dxa"/>
            <w:vAlign w:val="bottom"/>
          </w:tcPr>
          <w:p>
            <w:pPr>
              <w:jc w:val="right"/>
              <w:ind w:right="252"/>
              <w:spacing w:after="0"/>
              <w:rPr>
                <w:sz w:val="20"/>
                <w:szCs w:val="20"/>
                <w:color w:val="auto"/>
              </w:rPr>
            </w:pPr>
            <w:r>
              <w:rPr>
                <w:rFonts w:ascii="Arial" w:cs="Arial" w:eastAsia="Arial" w:hAnsi="Arial"/>
                <w:sz w:val="22"/>
                <w:szCs w:val="22"/>
                <w:color w:val="auto"/>
              </w:rPr>
              <w:t>$184</w:t>
            </w:r>
          </w:p>
        </w:tc>
        <w:tc>
          <w:tcPr>
            <w:tcW w:w="1340" w:type="dxa"/>
            <w:vAlign w:val="bottom"/>
          </w:tcPr>
          <w:p>
            <w:pPr>
              <w:jc w:val="right"/>
              <w:ind w:right="272"/>
              <w:spacing w:after="0"/>
              <w:rPr>
                <w:sz w:val="20"/>
                <w:szCs w:val="20"/>
                <w:color w:val="auto"/>
              </w:rPr>
            </w:pPr>
            <w:r>
              <w:rPr>
                <w:rFonts w:ascii="Arial" w:cs="Arial" w:eastAsia="Arial" w:hAnsi="Arial"/>
                <w:sz w:val="22"/>
                <w:szCs w:val="22"/>
                <w:color w:val="auto"/>
              </w:rPr>
              <w:t>$263</w:t>
            </w:r>
          </w:p>
        </w:tc>
        <w:tc>
          <w:tcPr>
            <w:tcW w:w="940" w:type="dxa"/>
            <w:vAlign w:val="bottom"/>
          </w:tcPr>
          <w:p>
            <w:pPr>
              <w:jc w:val="right"/>
              <w:spacing w:after="0"/>
              <w:rPr>
                <w:sz w:val="20"/>
                <w:szCs w:val="20"/>
                <w:color w:val="auto"/>
              </w:rPr>
            </w:pPr>
            <w:r>
              <w:rPr>
                <w:rFonts w:ascii="Arial" w:cs="Arial" w:eastAsia="Arial" w:hAnsi="Arial"/>
                <w:sz w:val="22"/>
                <w:szCs w:val="22"/>
                <w:color w:val="auto"/>
              </w:rPr>
              <w:t>$254</w:t>
            </w:r>
          </w:p>
        </w:tc>
      </w:tr>
    </w:tbl>
    <w:p>
      <w:pPr>
        <w:spacing w:after="0" w:line="212" w:lineRule="exact"/>
        <w:rPr>
          <w:sz w:val="20"/>
          <w:szCs w:val="20"/>
          <w:color w:val="auto"/>
        </w:rPr>
      </w:pPr>
    </w:p>
    <w:p>
      <w:pPr>
        <w:ind w:left="460" w:right="400"/>
        <w:spacing w:after="0" w:line="274" w:lineRule="auto"/>
        <w:rPr>
          <w:sz w:val="20"/>
          <w:szCs w:val="20"/>
          <w:color w:val="auto"/>
        </w:rPr>
      </w:pPr>
      <w:r>
        <w:rPr>
          <w:rFonts w:ascii="Arial" w:cs="Arial" w:eastAsia="Arial" w:hAnsi="Arial"/>
          <w:sz w:val="21"/>
          <w:szCs w:val="21"/>
          <w:color w:val="auto"/>
        </w:rPr>
        <w:t>For financial reporting purposes, the QVC transaction is presented as having occurred on September 1, 2003. As such, the 2003 period includes QVC operations through August 31, 2003, as reported to us by QVC.</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2001 Acquisitions and Exchanges</w:t>
      </w:r>
    </w:p>
    <w:p>
      <w:pPr>
        <w:spacing w:after="0" w:line="8" w:lineRule="exact"/>
        <w:rPr>
          <w:sz w:val="20"/>
          <w:szCs w:val="20"/>
          <w:color w:val="auto"/>
        </w:rPr>
      </w:pPr>
    </w:p>
    <w:p>
      <w:pPr>
        <w:ind w:left="460" w:right="140"/>
        <w:spacing w:after="0" w:line="243" w:lineRule="auto"/>
        <w:rPr>
          <w:sz w:val="20"/>
          <w:szCs w:val="20"/>
          <w:color w:val="auto"/>
        </w:rPr>
      </w:pPr>
      <w:r>
        <w:rPr>
          <w:rFonts w:ascii="Arial" w:cs="Arial" w:eastAsia="Arial" w:hAnsi="Arial"/>
          <w:sz w:val="21"/>
          <w:szCs w:val="21"/>
          <w:color w:val="auto"/>
        </w:rPr>
        <w:t>In 2001, we acquired the regional sports programming network Home Team Sports (“HTS”) from Viacom, Inc. (“Viacom”) and Affiliated Regional Communications, Ltd. (“ARC”), various cable systems serving an aggregate of 697,000 subscribers from AT&amp;T, and additional interests in programming networks TGC and OLN from Fox Entertainment Group, Inc. (“Fox Entertainment”). Upon closing of the OLN acquisition, we exchanged our 14.5% interest in the Speedvision Network (“SVN”), together with a previously made loan, for Fox Entertainment’s interest in OLN and recorded to other income a pre-tax gain of $107 million, representing the difference between the estimated fair value of our interest in SVN as of the closing date of the transaction and our cost basis in SVN. In 2001, we also completed our cable systems exchange with Adelphia Communications Corporation (“Adelphia”). We recorded to other income a pre-tax gain of $1.199 billion, representing the difference between the estimated fair value of $1.799 billion as of the closing date of the transaction and our cost basis in the systems exchanged.</w:t>
      </w:r>
    </w:p>
    <w:p>
      <w:pPr>
        <w:spacing w:after="0" w:line="211" w:lineRule="exact"/>
        <w:rPr>
          <w:sz w:val="20"/>
          <w:szCs w:val="20"/>
          <w:color w:val="auto"/>
        </w:rPr>
      </w:pPr>
    </w:p>
    <w:p>
      <w:pPr>
        <w:jc w:val="both"/>
        <w:ind w:left="460"/>
        <w:spacing w:after="0"/>
        <w:rPr>
          <w:sz w:val="20"/>
          <w:szCs w:val="20"/>
          <w:color w:val="auto"/>
        </w:rPr>
      </w:pPr>
      <w:r>
        <w:rPr>
          <w:rFonts w:ascii="Arial" w:cs="Arial" w:eastAsia="Arial" w:hAnsi="Arial"/>
          <w:sz w:val="22"/>
          <w:szCs w:val="22"/>
          <w:color w:val="auto"/>
        </w:rPr>
        <w:t>The acquisitions we completed during 2001 were accounted for under the purchase method of accounting. As such, our results include the operating results of the acquired businesses from the dates of acquisition. A summary of our acquisitions and cable systems exchange for 2001 is as follows (dollars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4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rPr>
              <w: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Interest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81"/>
        </w:trPr>
        <w:tc>
          <w:tcPr>
            <w:tcW w:w="2120" w:type="dxa"/>
            <w:vAlign w:val="bottom"/>
            <w:gridSpan w:val="3"/>
          </w:tcPr>
          <w:p>
            <w:pPr>
              <w:spacing w:after="0"/>
              <w:rPr>
                <w:sz w:val="20"/>
                <w:szCs w:val="20"/>
                <w:color w:val="auto"/>
              </w:rPr>
            </w:pPr>
            <w:r>
              <w:rPr>
                <w:rFonts w:ascii="Arial" w:cs="Arial" w:eastAsia="Arial" w:hAnsi="Arial"/>
                <w:sz w:val="22"/>
                <w:szCs w:val="22"/>
                <w:b w:val="1"/>
                <w:bCs w:val="1"/>
                <w:color w:val="auto"/>
                <w:w w:val="91"/>
              </w:rPr>
              <w:t>Acquisition/Exchange</w:t>
            </w:r>
          </w:p>
        </w:tc>
        <w:tc>
          <w:tcPr>
            <w:tcW w:w="1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28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Arial" w:cs="Arial" w:eastAsia="Arial" w:hAnsi="Arial"/>
                <w:sz w:val="22"/>
                <w:szCs w:val="22"/>
                <w:b w:val="1"/>
                <w:bCs w:val="1"/>
                <w:color w:val="auto"/>
              </w:rPr>
              <w:t>Date</w:t>
            </w:r>
          </w:p>
        </w:tc>
        <w:tc>
          <w:tcPr>
            <w:tcW w:w="200" w:type="dxa"/>
            <w:vAlign w:val="bottom"/>
          </w:tcPr>
          <w:p>
            <w:pPr>
              <w:spacing w:after="0"/>
              <w:rPr>
                <w:sz w:val="24"/>
                <w:szCs w:val="24"/>
                <w:color w:val="auto"/>
              </w:rPr>
            </w:pPr>
          </w:p>
        </w:tc>
        <w:tc>
          <w:tcPr>
            <w:tcW w:w="1420" w:type="dxa"/>
            <w:vAlign w:val="bottom"/>
          </w:tcPr>
          <w:p>
            <w:pPr>
              <w:ind w:left="440"/>
              <w:spacing w:after="0"/>
              <w:rPr>
                <w:sz w:val="20"/>
                <w:szCs w:val="20"/>
                <w:color w:val="auto"/>
              </w:rPr>
            </w:pPr>
            <w:r>
              <w:rPr>
                <w:rFonts w:ascii="Arial" w:cs="Arial" w:eastAsia="Arial" w:hAnsi="Arial"/>
                <w:sz w:val="22"/>
                <w:szCs w:val="22"/>
                <w:b w:val="1"/>
                <w:bCs w:val="1"/>
                <w:color w:val="auto"/>
              </w:rPr>
              <w:t>Seller</w:t>
            </w:r>
          </w:p>
        </w:tc>
        <w:tc>
          <w:tcPr>
            <w:tcW w:w="180" w:type="dxa"/>
            <w:vAlign w:val="bottom"/>
          </w:tcPr>
          <w:p>
            <w:pPr>
              <w:spacing w:after="0"/>
              <w:rPr>
                <w:sz w:val="24"/>
                <w:szCs w:val="24"/>
                <w:color w:val="auto"/>
              </w:rPr>
            </w:pPr>
          </w:p>
        </w:tc>
        <w:tc>
          <w:tcPr>
            <w:tcW w:w="3160" w:type="dxa"/>
            <w:vAlign w:val="bottom"/>
          </w:tcPr>
          <w:p>
            <w:pPr>
              <w:ind w:left="920"/>
              <w:spacing w:after="0"/>
              <w:rPr>
                <w:sz w:val="20"/>
                <w:szCs w:val="20"/>
                <w:color w:val="auto"/>
              </w:rPr>
            </w:pPr>
            <w:r>
              <w:rPr>
                <w:rFonts w:ascii="Arial" w:cs="Arial" w:eastAsia="Arial" w:hAnsi="Arial"/>
                <w:sz w:val="22"/>
                <w:szCs w:val="22"/>
                <w:b w:val="1"/>
                <w:bCs w:val="1"/>
                <w:color w:val="auto"/>
              </w:rPr>
              <w:t>Consideration</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2"/>
                <w:szCs w:val="22"/>
                <w:b w:val="1"/>
                <w:bCs w:val="1"/>
                <w:color w:val="auto"/>
                <w:w w:val="91"/>
              </w:rPr>
              <w:t>Value</w:t>
            </w:r>
          </w:p>
        </w:tc>
      </w:tr>
      <w:tr>
        <w:trPr>
          <w:trHeight w:val="98"/>
        </w:trPr>
        <w:tc>
          <w:tcPr>
            <w:tcW w:w="2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1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r>
      <w:tr>
        <w:trPr>
          <w:trHeight w:val="547"/>
        </w:trPr>
        <w:tc>
          <w:tcPr>
            <w:tcW w:w="2120" w:type="dxa"/>
            <w:vAlign w:val="bottom"/>
            <w:gridSpan w:val="3"/>
          </w:tcPr>
          <w:p>
            <w:pPr>
              <w:ind w:left="280"/>
              <w:spacing w:after="0"/>
              <w:rPr>
                <w:sz w:val="20"/>
                <w:szCs w:val="20"/>
                <w:color w:val="auto"/>
              </w:rPr>
            </w:pPr>
            <w:r>
              <w:rPr>
                <w:rFonts w:ascii="Arial" w:cs="Arial" w:eastAsia="Arial" w:hAnsi="Arial"/>
                <w:sz w:val="22"/>
                <w:szCs w:val="22"/>
                <w:b w:val="1"/>
                <w:bCs w:val="1"/>
                <w:color w:val="auto"/>
              </w:rPr>
              <w:t>2001</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5"/>
        </w:trPr>
        <w:tc>
          <w:tcPr>
            <w:tcW w:w="2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22"/>
                <w:szCs w:val="22"/>
                <w:color w:val="auto"/>
              </w:rPr>
              <w:t>October</w:t>
            </w:r>
          </w:p>
        </w:tc>
        <w:tc>
          <w:tcPr>
            <w:tcW w:w="1620" w:type="dxa"/>
            <w:vAlign w:val="bottom"/>
            <w:gridSpan w:val="2"/>
          </w:tcPr>
          <w:p>
            <w:pPr>
              <w:ind w:left="200"/>
              <w:spacing w:after="0"/>
              <w:rPr>
                <w:sz w:val="20"/>
                <w:szCs w:val="20"/>
                <w:color w:val="auto"/>
              </w:rPr>
            </w:pPr>
            <w:r>
              <w:rPr>
                <w:rFonts w:ascii="Arial" w:cs="Arial" w:eastAsia="Arial" w:hAnsi="Arial"/>
                <w:sz w:val="22"/>
                <w:szCs w:val="22"/>
                <w:color w:val="auto"/>
              </w:rPr>
              <w:t>Fox</w:t>
            </w:r>
          </w:p>
        </w:tc>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5"/>
        </w:trPr>
        <w:tc>
          <w:tcPr>
            <w:tcW w:w="280" w:type="dxa"/>
            <w:vAlign w:val="bottom"/>
          </w:tcPr>
          <w:p>
            <w:pPr>
              <w:spacing w:after="0"/>
              <w:rPr>
                <w:sz w:val="23"/>
                <w:szCs w:val="23"/>
                <w:color w:val="auto"/>
              </w:rPr>
            </w:pPr>
          </w:p>
        </w:tc>
        <w:tc>
          <w:tcPr>
            <w:tcW w:w="1840" w:type="dxa"/>
            <w:vAlign w:val="bottom"/>
            <w:gridSpan w:val="2"/>
          </w:tcPr>
          <w:p>
            <w:pPr>
              <w:spacing w:after="0"/>
              <w:rPr>
                <w:sz w:val="20"/>
                <w:szCs w:val="20"/>
                <w:color w:val="auto"/>
              </w:rPr>
            </w:pPr>
            <w:r>
              <w:rPr>
                <w:rFonts w:ascii="Arial" w:cs="Arial" w:eastAsia="Arial" w:hAnsi="Arial"/>
                <w:sz w:val="22"/>
                <w:szCs w:val="22"/>
                <w:color w:val="auto"/>
              </w:rPr>
              <w:t>OLN</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83.2%</w:t>
            </w:r>
          </w:p>
        </w:tc>
        <w:tc>
          <w:tcPr>
            <w:tcW w:w="1180" w:type="dxa"/>
            <w:vAlign w:val="bottom"/>
            <w:gridSpan w:val="2"/>
          </w:tcPr>
          <w:p>
            <w:pPr>
              <w:ind w:left="280"/>
              <w:spacing w:after="0"/>
              <w:rPr>
                <w:sz w:val="20"/>
                <w:szCs w:val="20"/>
                <w:color w:val="auto"/>
              </w:rPr>
            </w:pPr>
            <w:r>
              <w:rPr>
                <w:rFonts w:ascii="Arial" w:cs="Arial" w:eastAsia="Arial" w:hAnsi="Arial"/>
                <w:sz w:val="22"/>
                <w:szCs w:val="22"/>
                <w:color w:val="auto"/>
              </w:rPr>
              <w:t>30</w:t>
            </w:r>
          </w:p>
        </w:tc>
        <w:tc>
          <w:tcPr>
            <w:tcW w:w="1620" w:type="dxa"/>
            <w:vAlign w:val="bottom"/>
            <w:gridSpan w:val="2"/>
          </w:tcPr>
          <w:p>
            <w:pPr>
              <w:ind w:left="200"/>
              <w:spacing w:after="0"/>
              <w:rPr>
                <w:sz w:val="20"/>
                <w:szCs w:val="20"/>
                <w:color w:val="auto"/>
              </w:rPr>
            </w:pPr>
            <w:r>
              <w:rPr>
                <w:rFonts w:ascii="Arial" w:cs="Arial" w:eastAsia="Arial" w:hAnsi="Arial"/>
                <w:sz w:val="22"/>
                <w:szCs w:val="22"/>
                <w:color w:val="auto"/>
              </w:rPr>
              <w:t>Entertainment</w:t>
            </w:r>
          </w:p>
        </w:tc>
        <w:tc>
          <w:tcPr>
            <w:tcW w:w="3340" w:type="dxa"/>
            <w:vAlign w:val="bottom"/>
            <w:gridSpan w:val="2"/>
          </w:tcPr>
          <w:p>
            <w:pPr>
              <w:ind w:left="180"/>
              <w:spacing w:after="0"/>
              <w:rPr>
                <w:sz w:val="20"/>
                <w:szCs w:val="20"/>
                <w:color w:val="auto"/>
              </w:rPr>
            </w:pPr>
            <w:r>
              <w:rPr>
                <w:rFonts w:ascii="Arial" w:cs="Arial" w:eastAsia="Arial" w:hAnsi="Arial"/>
                <w:sz w:val="22"/>
                <w:szCs w:val="22"/>
                <w:color w:val="auto"/>
                <w:w w:val="99"/>
              </w:rPr>
              <w:t>Cash and 14.5% interest in SVN</w:t>
            </w:r>
          </w:p>
        </w:tc>
        <w:tc>
          <w:tcPr>
            <w:tcW w:w="780" w:type="dxa"/>
            <w:vAlign w:val="bottom"/>
            <w:gridSpan w:val="2"/>
          </w:tcPr>
          <w:p>
            <w:pPr>
              <w:jc w:val="right"/>
              <w:spacing w:after="0"/>
              <w:rPr>
                <w:sz w:val="20"/>
                <w:szCs w:val="20"/>
                <w:color w:val="auto"/>
              </w:rPr>
            </w:pPr>
            <w:r>
              <w:rPr>
                <w:rFonts w:ascii="Arial" w:cs="Arial" w:eastAsia="Arial" w:hAnsi="Arial"/>
                <w:sz w:val="22"/>
                <w:szCs w:val="22"/>
                <w:color w:val="auto"/>
              </w:rPr>
              <w:t>$512</w:t>
            </w:r>
          </w:p>
        </w:tc>
      </w:tr>
      <w:tr>
        <w:trPr>
          <w:trHeight w:val="486"/>
        </w:trPr>
        <w:tc>
          <w:tcPr>
            <w:tcW w:w="2120" w:type="dxa"/>
            <w:vAlign w:val="bottom"/>
            <w:gridSpan w:val="3"/>
          </w:tcPr>
          <w:p>
            <w:pPr>
              <w:ind w:left="260"/>
              <w:spacing w:after="0"/>
              <w:rPr>
                <w:sz w:val="20"/>
                <w:szCs w:val="20"/>
                <w:color w:val="auto"/>
              </w:rPr>
            </w:pPr>
            <w:r>
              <w:rPr>
                <w:rFonts w:ascii="Arial" w:cs="Arial" w:eastAsia="Arial" w:hAnsi="Arial"/>
                <w:sz w:val="22"/>
                <w:szCs w:val="22"/>
                <w:color w:val="auto"/>
                <w:w w:val="92"/>
              </w:rPr>
              <w:t>AT&amp;T Cable System</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100%</w:t>
            </w:r>
          </w:p>
        </w:tc>
        <w:tc>
          <w:tcPr>
            <w:tcW w:w="2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22"/>
                <w:szCs w:val="22"/>
                <w:color w:val="auto"/>
              </w:rPr>
              <w:t>June 30</w:t>
            </w:r>
          </w:p>
        </w:tc>
        <w:tc>
          <w:tcPr>
            <w:tcW w:w="1620" w:type="dxa"/>
            <w:vAlign w:val="bottom"/>
            <w:gridSpan w:val="2"/>
          </w:tcPr>
          <w:p>
            <w:pPr>
              <w:ind w:left="200"/>
              <w:spacing w:after="0"/>
              <w:rPr>
                <w:sz w:val="20"/>
                <w:szCs w:val="20"/>
                <w:color w:val="auto"/>
              </w:rPr>
            </w:pPr>
            <w:r>
              <w:rPr>
                <w:rFonts w:ascii="Arial" w:cs="Arial" w:eastAsia="Arial" w:hAnsi="Arial"/>
                <w:sz w:val="22"/>
                <w:szCs w:val="22"/>
                <w:color w:val="auto"/>
              </w:rPr>
              <w:t>AT&amp;T</w:t>
            </w:r>
          </w:p>
        </w:tc>
        <w:tc>
          <w:tcPr>
            <w:tcW w:w="3340" w:type="dxa"/>
            <w:vAlign w:val="bottom"/>
            <w:gridSpan w:val="2"/>
          </w:tcPr>
          <w:p>
            <w:pPr>
              <w:ind w:left="180"/>
              <w:spacing w:after="0"/>
              <w:rPr>
                <w:sz w:val="20"/>
                <w:szCs w:val="20"/>
                <w:color w:val="auto"/>
              </w:rPr>
            </w:pPr>
            <w:r>
              <w:rPr>
                <w:rFonts w:ascii="Arial" w:cs="Arial" w:eastAsia="Arial" w:hAnsi="Arial"/>
                <w:sz w:val="22"/>
                <w:szCs w:val="22"/>
                <w:color w:val="auto"/>
              </w:rPr>
              <w:t>Cash</w:t>
            </w:r>
          </w:p>
        </w:tc>
        <w:tc>
          <w:tcPr>
            <w:tcW w:w="780" w:type="dxa"/>
            <w:vAlign w:val="bottom"/>
            <w:gridSpan w:val="2"/>
          </w:tcPr>
          <w:p>
            <w:pPr>
              <w:jc w:val="right"/>
              <w:spacing w:after="0"/>
              <w:rPr>
                <w:sz w:val="20"/>
                <w:szCs w:val="20"/>
                <w:color w:val="auto"/>
              </w:rPr>
            </w:pPr>
            <w:r>
              <w:rPr>
                <w:rFonts w:ascii="Arial" w:cs="Arial" w:eastAsia="Arial" w:hAnsi="Arial"/>
                <w:sz w:val="22"/>
                <w:szCs w:val="22"/>
                <w:color w:val="auto"/>
              </w:rPr>
              <w:t>$519</w:t>
            </w:r>
          </w:p>
        </w:tc>
      </w:tr>
      <w:tr>
        <w:trPr>
          <w:trHeight w:val="455"/>
        </w:trPr>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gridSpan w:val="2"/>
          </w:tcPr>
          <w:p>
            <w:pPr>
              <w:ind w:left="200"/>
              <w:spacing w:after="0"/>
              <w:rPr>
                <w:sz w:val="20"/>
                <w:szCs w:val="20"/>
                <w:color w:val="auto"/>
              </w:rPr>
            </w:pPr>
            <w:r>
              <w:rPr>
                <w:rFonts w:ascii="Arial" w:cs="Arial" w:eastAsia="Arial" w:hAnsi="Arial"/>
                <w:sz w:val="22"/>
                <w:szCs w:val="22"/>
                <w:color w:val="auto"/>
              </w:rPr>
              <w:t>Fox</w:t>
            </w:r>
          </w:p>
        </w:tc>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5"/>
        </w:trPr>
        <w:tc>
          <w:tcPr>
            <w:tcW w:w="2120" w:type="dxa"/>
            <w:vAlign w:val="bottom"/>
            <w:gridSpan w:val="3"/>
          </w:tcPr>
          <w:p>
            <w:pPr>
              <w:ind w:left="280"/>
              <w:spacing w:after="0"/>
              <w:rPr>
                <w:sz w:val="20"/>
                <w:szCs w:val="20"/>
                <w:color w:val="auto"/>
              </w:rPr>
            </w:pPr>
            <w:r>
              <w:rPr>
                <w:rFonts w:ascii="Arial" w:cs="Arial" w:eastAsia="Arial" w:hAnsi="Arial"/>
                <w:sz w:val="22"/>
                <w:szCs w:val="22"/>
                <w:color w:val="auto"/>
              </w:rPr>
              <w:t>TGC</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30.8%</w:t>
            </w:r>
          </w:p>
        </w:tc>
        <w:tc>
          <w:tcPr>
            <w:tcW w:w="28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Arial" w:cs="Arial" w:eastAsia="Arial" w:hAnsi="Arial"/>
                <w:sz w:val="22"/>
                <w:szCs w:val="22"/>
                <w:color w:val="auto"/>
              </w:rPr>
              <w:t>June 8</w:t>
            </w:r>
          </w:p>
        </w:tc>
        <w:tc>
          <w:tcPr>
            <w:tcW w:w="1620" w:type="dxa"/>
            <w:vAlign w:val="bottom"/>
            <w:gridSpan w:val="2"/>
          </w:tcPr>
          <w:p>
            <w:pPr>
              <w:ind w:left="200"/>
              <w:spacing w:after="0"/>
              <w:rPr>
                <w:sz w:val="20"/>
                <w:szCs w:val="20"/>
                <w:color w:val="auto"/>
              </w:rPr>
            </w:pPr>
            <w:r>
              <w:rPr>
                <w:rFonts w:ascii="Arial" w:cs="Arial" w:eastAsia="Arial" w:hAnsi="Arial"/>
                <w:sz w:val="22"/>
                <w:szCs w:val="22"/>
                <w:color w:val="auto"/>
              </w:rPr>
              <w:t>Entertainment</w:t>
            </w:r>
          </w:p>
        </w:tc>
        <w:tc>
          <w:tcPr>
            <w:tcW w:w="3340" w:type="dxa"/>
            <w:vAlign w:val="bottom"/>
            <w:gridSpan w:val="2"/>
          </w:tcPr>
          <w:p>
            <w:pPr>
              <w:ind w:left="180"/>
              <w:spacing w:after="0"/>
              <w:rPr>
                <w:sz w:val="20"/>
                <w:szCs w:val="20"/>
                <w:color w:val="auto"/>
              </w:rPr>
            </w:pPr>
            <w:r>
              <w:rPr>
                <w:rFonts w:ascii="Arial" w:cs="Arial" w:eastAsia="Arial" w:hAnsi="Arial"/>
                <w:sz w:val="22"/>
                <w:szCs w:val="22"/>
                <w:color w:val="auto"/>
              </w:rPr>
              <w:t>Cash</w:t>
            </w:r>
          </w:p>
        </w:tc>
        <w:tc>
          <w:tcPr>
            <w:tcW w:w="780" w:type="dxa"/>
            <w:vAlign w:val="bottom"/>
            <w:gridSpan w:val="2"/>
          </w:tcPr>
          <w:p>
            <w:pPr>
              <w:jc w:val="right"/>
              <w:spacing w:after="0"/>
              <w:rPr>
                <w:sz w:val="20"/>
                <w:szCs w:val="20"/>
                <w:color w:val="auto"/>
              </w:rPr>
            </w:pPr>
            <w:r>
              <w:rPr>
                <w:rFonts w:ascii="Arial" w:cs="Arial" w:eastAsia="Arial" w:hAnsi="Arial"/>
                <w:sz w:val="22"/>
                <w:szCs w:val="22"/>
                <w:color w:val="auto"/>
              </w:rPr>
              <w:t>$365</w:t>
            </w:r>
          </w:p>
        </w:tc>
      </w:tr>
      <w:tr>
        <w:trPr>
          <w:trHeight w:val="455"/>
        </w:trPr>
        <w:tc>
          <w:tcPr>
            <w:tcW w:w="2120" w:type="dxa"/>
            <w:vAlign w:val="bottom"/>
            <w:gridSpan w:val="3"/>
          </w:tcPr>
          <w:p>
            <w:pPr>
              <w:ind w:left="260"/>
              <w:spacing w:after="0"/>
              <w:rPr>
                <w:sz w:val="20"/>
                <w:szCs w:val="20"/>
                <w:color w:val="auto"/>
              </w:rPr>
            </w:pPr>
            <w:r>
              <w:rPr>
                <w:rFonts w:ascii="Arial" w:cs="Arial" w:eastAsia="Arial" w:hAnsi="Arial"/>
                <w:sz w:val="22"/>
                <w:szCs w:val="22"/>
                <w:color w:val="auto"/>
              </w:rPr>
              <w:t>AT&amp;T Cable</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340" w:type="dxa"/>
            <w:vAlign w:val="bottom"/>
            <w:gridSpan w:val="2"/>
          </w:tcPr>
          <w:p>
            <w:pPr>
              <w:ind w:left="180"/>
              <w:spacing w:after="0"/>
              <w:rPr>
                <w:sz w:val="20"/>
                <w:szCs w:val="20"/>
                <w:color w:val="auto"/>
              </w:rPr>
            </w:pPr>
            <w:r>
              <w:rPr>
                <w:rFonts w:ascii="Arial" w:cs="Arial" w:eastAsia="Arial" w:hAnsi="Arial"/>
                <w:sz w:val="22"/>
                <w:szCs w:val="22"/>
                <w:color w:val="auto"/>
              </w:rPr>
              <w:t>63.9 million shares of AT&amp;T</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5"/>
        </w:trPr>
        <w:tc>
          <w:tcPr>
            <w:tcW w:w="2120" w:type="dxa"/>
            <w:vAlign w:val="bottom"/>
            <w:gridSpan w:val="3"/>
          </w:tcPr>
          <w:p>
            <w:pPr>
              <w:spacing w:after="0"/>
              <w:rPr>
                <w:sz w:val="20"/>
                <w:szCs w:val="20"/>
                <w:color w:val="auto"/>
              </w:rPr>
            </w:pPr>
            <w:r>
              <w:rPr>
                <w:rFonts w:ascii="Arial" w:cs="Arial" w:eastAsia="Arial" w:hAnsi="Arial"/>
                <w:sz w:val="22"/>
                <w:szCs w:val="22"/>
                <w:color w:val="auto"/>
              </w:rPr>
              <w:t>Systems</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100%</w:t>
            </w:r>
          </w:p>
        </w:tc>
        <w:tc>
          <w:tcPr>
            <w:tcW w:w="28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Arial" w:cs="Arial" w:eastAsia="Arial" w:hAnsi="Arial"/>
                <w:sz w:val="22"/>
                <w:szCs w:val="22"/>
                <w:color w:val="auto"/>
              </w:rPr>
              <w:t>April 30</w:t>
            </w:r>
          </w:p>
        </w:tc>
        <w:tc>
          <w:tcPr>
            <w:tcW w:w="1620" w:type="dxa"/>
            <w:vAlign w:val="bottom"/>
            <w:gridSpan w:val="2"/>
          </w:tcPr>
          <w:p>
            <w:pPr>
              <w:ind w:left="200"/>
              <w:spacing w:after="0"/>
              <w:rPr>
                <w:sz w:val="20"/>
                <w:szCs w:val="20"/>
                <w:color w:val="auto"/>
              </w:rPr>
            </w:pPr>
            <w:r>
              <w:rPr>
                <w:rFonts w:ascii="Arial" w:cs="Arial" w:eastAsia="Arial" w:hAnsi="Arial"/>
                <w:sz w:val="22"/>
                <w:szCs w:val="22"/>
                <w:color w:val="auto"/>
              </w:rPr>
              <w:t>AT&amp;T</w:t>
            </w:r>
          </w:p>
        </w:tc>
        <w:tc>
          <w:tcPr>
            <w:tcW w:w="3340" w:type="dxa"/>
            <w:vAlign w:val="bottom"/>
            <w:gridSpan w:val="2"/>
          </w:tcPr>
          <w:p>
            <w:pPr>
              <w:ind w:left="180"/>
              <w:spacing w:after="0"/>
              <w:rPr>
                <w:sz w:val="20"/>
                <w:szCs w:val="20"/>
                <w:color w:val="auto"/>
              </w:rPr>
            </w:pPr>
            <w:r>
              <w:rPr>
                <w:rFonts w:ascii="Arial" w:cs="Arial" w:eastAsia="Arial" w:hAnsi="Arial"/>
                <w:sz w:val="22"/>
                <w:szCs w:val="22"/>
                <w:color w:val="auto"/>
              </w:rPr>
              <w:t>common stock</w:t>
            </w:r>
          </w:p>
        </w:tc>
        <w:tc>
          <w:tcPr>
            <w:tcW w:w="780" w:type="dxa"/>
            <w:vAlign w:val="bottom"/>
            <w:gridSpan w:val="2"/>
          </w:tcPr>
          <w:p>
            <w:pPr>
              <w:jc w:val="right"/>
              <w:spacing w:after="0"/>
              <w:rPr>
                <w:sz w:val="20"/>
                <w:szCs w:val="20"/>
                <w:color w:val="auto"/>
              </w:rPr>
            </w:pPr>
            <w:r>
              <w:rPr>
                <w:rFonts w:ascii="Arial" w:cs="Arial" w:eastAsia="Arial" w:hAnsi="Arial"/>
                <w:sz w:val="22"/>
                <w:szCs w:val="22"/>
                <w:color w:val="auto"/>
              </w:rPr>
              <w:t>$1,423</w:t>
            </w:r>
          </w:p>
        </w:tc>
      </w:tr>
      <w:tr>
        <w:trPr>
          <w:trHeight w:val="455"/>
        </w:trPr>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22"/>
                <w:szCs w:val="22"/>
                <w:color w:val="auto"/>
                <w:w w:val="99"/>
              </w:rPr>
              <w:t>February</w:t>
            </w:r>
          </w:p>
        </w:tc>
        <w:tc>
          <w:tcPr>
            <w:tcW w:w="1620" w:type="dxa"/>
            <w:vAlign w:val="bottom"/>
            <w:gridSpan w:val="2"/>
          </w:tcPr>
          <w:p>
            <w:pPr>
              <w:ind w:left="200"/>
              <w:spacing w:after="0"/>
              <w:rPr>
                <w:sz w:val="20"/>
                <w:szCs w:val="20"/>
                <w:color w:val="auto"/>
              </w:rPr>
            </w:pPr>
            <w:r>
              <w:rPr>
                <w:rFonts w:ascii="Arial" w:cs="Arial" w:eastAsia="Arial" w:hAnsi="Arial"/>
                <w:sz w:val="22"/>
                <w:szCs w:val="22"/>
                <w:color w:val="auto"/>
              </w:rPr>
              <w:t>Viacom and</w:t>
            </w:r>
          </w:p>
        </w:tc>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5"/>
        </w:trPr>
        <w:tc>
          <w:tcPr>
            <w:tcW w:w="280" w:type="dxa"/>
            <w:vAlign w:val="bottom"/>
          </w:tcPr>
          <w:p>
            <w:pPr>
              <w:spacing w:after="0"/>
              <w:rPr>
                <w:sz w:val="23"/>
                <w:szCs w:val="23"/>
                <w:color w:val="auto"/>
              </w:rPr>
            </w:pPr>
          </w:p>
        </w:tc>
        <w:tc>
          <w:tcPr>
            <w:tcW w:w="1840" w:type="dxa"/>
            <w:vAlign w:val="bottom"/>
            <w:gridSpan w:val="2"/>
          </w:tcPr>
          <w:p>
            <w:pPr>
              <w:spacing w:after="0"/>
              <w:rPr>
                <w:sz w:val="20"/>
                <w:szCs w:val="20"/>
                <w:color w:val="auto"/>
              </w:rPr>
            </w:pPr>
            <w:r>
              <w:rPr>
                <w:rFonts w:ascii="Arial" w:cs="Arial" w:eastAsia="Arial" w:hAnsi="Arial"/>
                <w:sz w:val="22"/>
                <w:szCs w:val="22"/>
                <w:color w:val="auto"/>
              </w:rPr>
              <w:t>HTS</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100%</w:t>
            </w:r>
          </w:p>
        </w:tc>
        <w:tc>
          <w:tcPr>
            <w:tcW w:w="1180" w:type="dxa"/>
            <w:vAlign w:val="bottom"/>
            <w:gridSpan w:val="2"/>
          </w:tcPr>
          <w:p>
            <w:pPr>
              <w:ind w:left="280"/>
              <w:spacing w:after="0"/>
              <w:rPr>
                <w:sz w:val="20"/>
                <w:szCs w:val="20"/>
                <w:color w:val="auto"/>
              </w:rPr>
            </w:pPr>
            <w:r>
              <w:rPr>
                <w:rFonts w:ascii="Arial" w:cs="Arial" w:eastAsia="Arial" w:hAnsi="Arial"/>
                <w:sz w:val="22"/>
                <w:szCs w:val="22"/>
                <w:color w:val="auto"/>
              </w:rPr>
              <w:t>14</w:t>
            </w:r>
          </w:p>
        </w:tc>
        <w:tc>
          <w:tcPr>
            <w:tcW w:w="1620" w:type="dxa"/>
            <w:vAlign w:val="bottom"/>
            <w:gridSpan w:val="2"/>
          </w:tcPr>
          <w:p>
            <w:pPr>
              <w:ind w:left="200"/>
              <w:spacing w:after="0"/>
              <w:rPr>
                <w:sz w:val="20"/>
                <w:szCs w:val="20"/>
                <w:color w:val="auto"/>
              </w:rPr>
            </w:pPr>
            <w:r>
              <w:rPr>
                <w:rFonts w:ascii="Arial" w:cs="Arial" w:eastAsia="Arial" w:hAnsi="Arial"/>
                <w:sz w:val="22"/>
                <w:szCs w:val="22"/>
                <w:color w:val="auto"/>
              </w:rPr>
              <w:t>ARC</w:t>
            </w:r>
          </w:p>
        </w:tc>
        <w:tc>
          <w:tcPr>
            <w:tcW w:w="3340" w:type="dxa"/>
            <w:vAlign w:val="bottom"/>
            <w:gridSpan w:val="2"/>
          </w:tcPr>
          <w:p>
            <w:pPr>
              <w:ind w:left="180"/>
              <w:spacing w:after="0"/>
              <w:rPr>
                <w:sz w:val="20"/>
                <w:szCs w:val="20"/>
                <w:color w:val="auto"/>
              </w:rPr>
            </w:pPr>
            <w:r>
              <w:rPr>
                <w:rFonts w:ascii="Arial" w:cs="Arial" w:eastAsia="Arial" w:hAnsi="Arial"/>
                <w:sz w:val="22"/>
                <w:szCs w:val="22"/>
                <w:color w:val="auto"/>
                <w:w w:val="95"/>
              </w:rPr>
              <w:t>Cable distribution of programming</w:t>
            </w:r>
          </w:p>
        </w:tc>
        <w:tc>
          <w:tcPr>
            <w:tcW w:w="780" w:type="dxa"/>
            <w:vAlign w:val="bottom"/>
            <w:gridSpan w:val="2"/>
          </w:tcPr>
          <w:p>
            <w:pPr>
              <w:jc w:val="right"/>
              <w:spacing w:after="0"/>
              <w:rPr>
                <w:sz w:val="20"/>
                <w:szCs w:val="20"/>
                <w:color w:val="auto"/>
              </w:rPr>
            </w:pPr>
            <w:r>
              <w:rPr>
                <w:rFonts w:ascii="Arial" w:cs="Arial" w:eastAsia="Arial" w:hAnsi="Arial"/>
                <w:sz w:val="22"/>
                <w:szCs w:val="22"/>
                <w:color w:val="auto"/>
              </w:rPr>
              <w:t>$240</w:t>
            </w:r>
          </w:p>
        </w:tc>
      </w:tr>
      <w:tr>
        <w:trPr>
          <w:trHeight w:val="486"/>
        </w:trPr>
        <w:tc>
          <w:tcPr>
            <w:tcW w:w="2120" w:type="dxa"/>
            <w:vAlign w:val="bottom"/>
            <w:gridSpan w:val="3"/>
          </w:tcPr>
          <w:p>
            <w:pPr>
              <w:ind w:left="260"/>
              <w:spacing w:after="0"/>
              <w:rPr>
                <w:sz w:val="20"/>
                <w:szCs w:val="20"/>
                <w:color w:val="auto"/>
              </w:rPr>
            </w:pPr>
            <w:r>
              <w:rPr>
                <w:rFonts w:ascii="Arial" w:cs="Arial" w:eastAsia="Arial" w:hAnsi="Arial"/>
                <w:sz w:val="22"/>
                <w:szCs w:val="22"/>
                <w:color w:val="auto"/>
                <w:w w:val="97"/>
              </w:rPr>
              <w:t>Adelphia Exchange</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100%</w:t>
            </w:r>
          </w:p>
        </w:tc>
        <w:tc>
          <w:tcPr>
            <w:tcW w:w="2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22"/>
                <w:szCs w:val="22"/>
                <w:color w:val="auto"/>
                <w:w w:val="91"/>
              </w:rPr>
              <w:t>January 1</w:t>
            </w:r>
          </w:p>
        </w:tc>
        <w:tc>
          <w:tcPr>
            <w:tcW w:w="1620" w:type="dxa"/>
            <w:vAlign w:val="bottom"/>
            <w:gridSpan w:val="2"/>
          </w:tcPr>
          <w:p>
            <w:pPr>
              <w:ind w:left="200"/>
              <w:spacing w:after="0"/>
              <w:rPr>
                <w:sz w:val="20"/>
                <w:szCs w:val="20"/>
                <w:color w:val="auto"/>
              </w:rPr>
            </w:pPr>
            <w:r>
              <w:rPr>
                <w:rFonts w:ascii="Arial" w:cs="Arial" w:eastAsia="Arial" w:hAnsi="Arial"/>
                <w:sz w:val="22"/>
                <w:szCs w:val="22"/>
                <w:color w:val="auto"/>
              </w:rPr>
              <w:t>Adelphia</w:t>
            </w:r>
          </w:p>
        </w:tc>
        <w:tc>
          <w:tcPr>
            <w:tcW w:w="3340" w:type="dxa"/>
            <w:vAlign w:val="bottom"/>
            <w:gridSpan w:val="2"/>
          </w:tcPr>
          <w:p>
            <w:pPr>
              <w:ind w:left="180"/>
              <w:spacing w:after="0"/>
              <w:rPr>
                <w:sz w:val="20"/>
                <w:szCs w:val="20"/>
                <w:color w:val="auto"/>
              </w:rPr>
            </w:pPr>
            <w:r>
              <w:rPr>
                <w:rFonts w:ascii="Arial" w:cs="Arial" w:eastAsia="Arial" w:hAnsi="Arial"/>
                <w:sz w:val="22"/>
                <w:szCs w:val="22"/>
                <w:color w:val="auto"/>
              </w:rPr>
              <w:t>Cable systems</w:t>
            </w:r>
          </w:p>
        </w:tc>
        <w:tc>
          <w:tcPr>
            <w:tcW w:w="780" w:type="dxa"/>
            <w:vAlign w:val="bottom"/>
            <w:gridSpan w:val="2"/>
          </w:tcPr>
          <w:p>
            <w:pPr>
              <w:jc w:val="right"/>
              <w:spacing w:after="0"/>
              <w:rPr>
                <w:sz w:val="20"/>
                <w:szCs w:val="20"/>
                <w:color w:val="auto"/>
              </w:rPr>
            </w:pPr>
            <w:r>
              <w:rPr>
                <w:rFonts w:ascii="Arial" w:cs="Arial" w:eastAsia="Arial" w:hAnsi="Arial"/>
                <w:sz w:val="22"/>
                <w:szCs w:val="22"/>
                <w:color w:val="auto"/>
              </w:rPr>
              <w:t>$1,799</w:t>
            </w:r>
          </w:p>
        </w:tc>
      </w:tr>
    </w:tbl>
    <w:p>
      <w:pPr>
        <w:spacing w:after="0" w:line="212" w:lineRule="exact"/>
        <w:rPr>
          <w:sz w:val="20"/>
          <w:szCs w:val="20"/>
          <w:color w:val="auto"/>
        </w:rPr>
      </w:pPr>
    </w:p>
    <w:p>
      <w:pPr>
        <w:ind w:left="460" w:right="240"/>
        <w:spacing w:after="0" w:line="251" w:lineRule="auto"/>
        <w:rPr>
          <w:rFonts w:ascii="Arial" w:cs="Arial" w:eastAsia="Arial" w:hAnsi="Arial"/>
          <w:sz w:val="22"/>
          <w:szCs w:val="22"/>
          <w:color w:val="auto"/>
        </w:rPr>
      </w:pPr>
      <w:r>
        <w:rPr>
          <w:rFonts w:ascii="Arial" w:cs="Arial" w:eastAsia="Arial" w:hAnsi="Arial"/>
          <w:sz w:val="22"/>
          <w:szCs w:val="22"/>
          <w:color w:val="auto"/>
        </w:rPr>
        <w:t xml:space="preserve">The Broadband acquisition, our cable systems exchange with Adelphia, and certain of our acquisitions did not result in cash payments but affected recognized assets and liabilities (see </w:t>
      </w:r>
      <w:hyperlink w:anchor="page92">
        <w:r>
          <w:rPr>
            <w:rFonts w:ascii="Arial" w:cs="Arial" w:eastAsia="Arial" w:hAnsi="Arial"/>
            <w:sz w:val="22"/>
            <w:szCs w:val="22"/>
            <w:u w:val="single" w:color="auto"/>
            <w:color w:val="0000EE"/>
          </w:rPr>
          <w:t>Note 12</w:t>
        </w:r>
      </w:hyperlink>
      <w:r>
        <w:rPr>
          <w:rFonts w:ascii="Arial" w:cs="Arial" w:eastAsia="Arial" w:hAnsi="Arial"/>
          <w:sz w:val="22"/>
          <w:szCs w:val="22"/>
          <w:color w:val="auto"/>
        </w:rPr>
        <w: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Unaudited Pro Forma Information</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9"/>
          <w:szCs w:val="19"/>
          <w:color w:val="auto"/>
        </w:rPr>
        <w:t>The following unaudited pro forma information has been presented as if the Broadband acquisition occurred on January 1,</w:t>
      </w:r>
    </w:p>
    <w:p>
      <w:pPr>
        <w:sectPr>
          <w:pgSz w:w="11900" w:h="16838" w:orient="portrait"/>
          <w:cols w:equalWidth="0" w:num="1">
            <w:col w:w="11420"/>
          </w:cols>
          <w:pgMar w:left="240" w:top="108" w:right="239" w:bottom="0" w:gutter="0" w:footer="0" w:header="0"/>
        </w:sectPr>
      </w:pPr>
    </w:p>
    <w:bookmarkStart w:id="77" w:name="page78"/>
    <w:bookmarkEnd w:id="77"/>
    <w:p>
      <w:pPr>
        <w:spacing w:after="0" w:line="55" w:lineRule="exact"/>
        <w:rPr>
          <w:sz w:val="20"/>
          <w:szCs w:val="20"/>
          <w:color w:val="auto"/>
        </w:rPr>
      </w:pPr>
    </w:p>
    <w:p>
      <w:pPr>
        <w:ind w:left="460"/>
        <w:spacing w:after="0" w:line="298" w:lineRule="auto"/>
        <w:rPr>
          <w:sz w:val="20"/>
          <w:szCs w:val="20"/>
          <w:color w:val="auto"/>
        </w:rPr>
      </w:pPr>
      <w:r>
        <w:rPr>
          <w:rFonts w:ascii="Arial" w:cs="Arial" w:eastAsia="Arial" w:hAnsi="Arial"/>
          <w:sz w:val="19"/>
          <w:szCs w:val="19"/>
          <w:color w:val="auto"/>
        </w:rPr>
        <w:t>2001 and the acquisitions and cable systems exchange we made in 2001 each occurred on January 1, 2000. This information is based on historical results of operations, adjusted for acquisition costs, and, in the opinion of management, is not necessarily indicative of what the results would have been had we operated the entities acquired since such dates.</w:t>
      </w:r>
    </w:p>
    <w:p>
      <w:pPr>
        <w:spacing w:after="0" w:line="149" w:lineRule="exact"/>
        <w:rPr>
          <w:sz w:val="20"/>
          <w:szCs w:val="20"/>
          <w:color w:val="auto"/>
        </w:rPr>
      </w:pPr>
    </w:p>
    <w:tbl>
      <w:tblPr>
        <w:tblLayout w:type="fixed"/>
        <w:tblInd w:w="280" w:type="dxa"/>
        <w:tblCellMar>
          <w:top w:w="0" w:type="dxa"/>
          <w:left w:w="0" w:type="dxa"/>
          <w:bottom w:w="0" w:type="dxa"/>
          <w:right w:w="0" w:type="dxa"/>
        </w:tblCellMar>
      </w:tblPr>
      <w:tr>
        <w:trPr>
          <w:trHeight w:val="253"/>
        </w:trPr>
        <w:tc>
          <w:tcPr>
            <w:tcW w:w="7220" w:type="dxa"/>
            <w:vAlign w:val="bottom"/>
          </w:tcPr>
          <w:p>
            <w:pPr>
              <w:spacing w:after="0"/>
              <w:rPr>
                <w:sz w:val="21"/>
                <w:szCs w:val="21"/>
                <w:color w:val="auto"/>
              </w:rPr>
            </w:pPr>
          </w:p>
        </w:tc>
        <w:tc>
          <w:tcPr>
            <w:tcW w:w="2640" w:type="dxa"/>
            <w:vAlign w:val="bottom"/>
            <w:gridSpan w:val="4"/>
          </w:tcPr>
          <w:p>
            <w:pPr>
              <w:ind w:left="340"/>
              <w:spacing w:after="0"/>
              <w:rPr>
                <w:sz w:val="20"/>
                <w:szCs w:val="20"/>
                <w:color w:val="auto"/>
              </w:rPr>
            </w:pPr>
            <w:r>
              <w:rPr>
                <w:rFonts w:ascii="Arial" w:cs="Arial" w:eastAsia="Arial" w:hAnsi="Arial"/>
                <w:sz w:val="22"/>
                <w:szCs w:val="22"/>
                <w:color w:val="auto"/>
              </w:rPr>
              <w:t>(Amounts in millions,</w:t>
            </w:r>
          </w:p>
        </w:tc>
      </w:tr>
      <w:tr>
        <w:trPr>
          <w:trHeight w:val="243"/>
        </w:trPr>
        <w:tc>
          <w:tcPr>
            <w:tcW w:w="7220" w:type="dxa"/>
            <w:vAlign w:val="bottom"/>
          </w:tcPr>
          <w:p>
            <w:pPr>
              <w:spacing w:after="0"/>
              <w:rPr>
                <w:sz w:val="21"/>
                <w:szCs w:val="21"/>
                <w:color w:val="auto"/>
              </w:rPr>
            </w:pPr>
          </w:p>
        </w:tc>
        <w:tc>
          <w:tcPr>
            <w:tcW w:w="2640" w:type="dxa"/>
            <w:vAlign w:val="bottom"/>
            <w:gridSpan w:val="4"/>
          </w:tcPr>
          <w:p>
            <w:pPr>
              <w:ind w:left="340"/>
              <w:spacing w:after="0" w:line="243" w:lineRule="exact"/>
              <w:rPr>
                <w:sz w:val="20"/>
                <w:szCs w:val="20"/>
                <w:color w:val="auto"/>
              </w:rPr>
            </w:pPr>
            <w:r>
              <w:rPr>
                <w:rFonts w:ascii="Arial" w:cs="Arial" w:eastAsia="Arial" w:hAnsi="Arial"/>
                <w:sz w:val="22"/>
                <w:szCs w:val="22"/>
                <w:color w:val="auto"/>
              </w:rPr>
              <w:t>except per share data)</w:t>
            </w:r>
          </w:p>
        </w:tc>
      </w:tr>
      <w:tr>
        <w:trPr>
          <w:trHeight w:val="243"/>
        </w:trPr>
        <w:tc>
          <w:tcPr>
            <w:tcW w:w="7220" w:type="dxa"/>
            <w:vAlign w:val="bottom"/>
          </w:tcPr>
          <w:p>
            <w:pPr>
              <w:spacing w:after="0"/>
              <w:rPr>
                <w:sz w:val="21"/>
                <w:szCs w:val="21"/>
                <w:color w:val="auto"/>
              </w:rPr>
            </w:pPr>
          </w:p>
        </w:tc>
        <w:tc>
          <w:tcPr>
            <w:tcW w:w="2640" w:type="dxa"/>
            <w:vAlign w:val="bottom"/>
            <w:gridSpan w:val="4"/>
          </w:tcPr>
          <w:p>
            <w:pPr>
              <w:ind w:left="160"/>
              <w:spacing w:after="0" w:line="243" w:lineRule="exact"/>
              <w:rPr>
                <w:sz w:val="20"/>
                <w:szCs w:val="20"/>
                <w:color w:val="auto"/>
              </w:rPr>
            </w:pPr>
            <w:r>
              <w:rPr>
                <w:rFonts w:ascii="Arial" w:cs="Arial" w:eastAsia="Arial" w:hAnsi="Arial"/>
                <w:sz w:val="22"/>
                <w:szCs w:val="22"/>
                <w:color w:val="auto"/>
                <w:w w:val="94"/>
              </w:rPr>
              <w:t>Year Ended December 31,</w:t>
            </w:r>
          </w:p>
        </w:tc>
      </w:tr>
      <w:tr>
        <w:trPr>
          <w:trHeight w:val="275"/>
        </w:trPr>
        <w:tc>
          <w:tcPr>
            <w:tcW w:w="7220" w:type="dxa"/>
            <w:vAlign w:val="bottom"/>
          </w:tcPr>
          <w:p>
            <w:pPr>
              <w:spacing w:after="0"/>
              <w:rPr>
                <w:sz w:val="23"/>
                <w:szCs w:val="23"/>
                <w:color w:val="auto"/>
              </w:rPr>
            </w:pPr>
          </w:p>
        </w:tc>
        <w:tc>
          <w:tcPr>
            <w:tcW w:w="1020" w:type="dxa"/>
            <w:vAlign w:val="bottom"/>
          </w:tcPr>
          <w:p>
            <w:pPr>
              <w:ind w:left="300"/>
              <w:spacing w:after="0"/>
              <w:rPr>
                <w:sz w:val="20"/>
                <w:szCs w:val="20"/>
                <w:color w:val="auto"/>
              </w:rPr>
            </w:pPr>
            <w:r>
              <w:rPr>
                <w:rFonts w:ascii="Arial" w:cs="Arial" w:eastAsia="Arial" w:hAnsi="Arial"/>
                <w:sz w:val="22"/>
                <w:szCs w:val="22"/>
                <w:color w:val="auto"/>
              </w:rPr>
              <w:t>2002</w:t>
            </w:r>
          </w:p>
        </w:tc>
        <w:tc>
          <w:tcPr>
            <w:tcW w:w="520" w:type="dxa"/>
            <w:vAlign w:val="bottom"/>
          </w:tcPr>
          <w:p>
            <w:pPr>
              <w:spacing w:after="0"/>
              <w:rPr>
                <w:sz w:val="23"/>
                <w:szCs w:val="23"/>
                <w:color w:val="auto"/>
              </w:rPr>
            </w:pPr>
          </w:p>
        </w:tc>
        <w:tc>
          <w:tcPr>
            <w:tcW w:w="1020" w:type="dxa"/>
            <w:vAlign w:val="bottom"/>
          </w:tcPr>
          <w:p>
            <w:pPr>
              <w:ind w:left="300"/>
              <w:spacing w:after="0"/>
              <w:rPr>
                <w:sz w:val="20"/>
                <w:szCs w:val="20"/>
                <w:color w:val="auto"/>
              </w:rPr>
            </w:pPr>
            <w:r>
              <w:rPr>
                <w:rFonts w:ascii="Arial" w:cs="Arial" w:eastAsia="Arial" w:hAnsi="Arial"/>
                <w:sz w:val="22"/>
                <w:szCs w:val="22"/>
                <w:color w:val="auto"/>
              </w:rPr>
              <w:t>2001</w:t>
            </w:r>
          </w:p>
        </w:tc>
        <w:tc>
          <w:tcPr>
            <w:tcW w:w="80" w:type="dxa"/>
            <w:vAlign w:val="bottom"/>
          </w:tcPr>
          <w:p>
            <w:pPr>
              <w:spacing w:after="0"/>
              <w:rPr>
                <w:sz w:val="23"/>
                <w:szCs w:val="23"/>
                <w:color w:val="auto"/>
              </w:rPr>
            </w:pPr>
          </w:p>
        </w:tc>
      </w:tr>
      <w:tr>
        <w:trPr>
          <w:trHeight w:val="98"/>
        </w:trPr>
        <w:tc>
          <w:tcPr>
            <w:tcW w:w="7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566"/>
        </w:trPr>
        <w:tc>
          <w:tcPr>
            <w:tcW w:w="7220" w:type="dxa"/>
            <w:vAlign w:val="bottom"/>
          </w:tcPr>
          <w:p>
            <w:pPr>
              <w:spacing w:after="0"/>
              <w:rPr>
                <w:sz w:val="20"/>
                <w:szCs w:val="20"/>
                <w:color w:val="auto"/>
              </w:rPr>
            </w:pPr>
            <w:r>
              <w:rPr>
                <w:rFonts w:ascii="Arial" w:cs="Arial" w:eastAsia="Arial" w:hAnsi="Arial"/>
                <w:sz w:val="22"/>
                <w:szCs w:val="22"/>
                <w:color w:val="auto"/>
              </w:rPr>
              <w:t>Revenues</w:t>
            </w:r>
          </w:p>
        </w:tc>
        <w:tc>
          <w:tcPr>
            <w:tcW w:w="1020" w:type="dxa"/>
            <w:vAlign w:val="bottom"/>
          </w:tcPr>
          <w:p>
            <w:pPr>
              <w:ind w:left="320"/>
              <w:spacing w:after="0"/>
              <w:rPr>
                <w:sz w:val="20"/>
                <w:szCs w:val="20"/>
                <w:color w:val="auto"/>
              </w:rPr>
            </w:pPr>
            <w:r>
              <w:rPr>
                <w:rFonts w:ascii="Arial" w:cs="Arial" w:eastAsia="Arial" w:hAnsi="Arial"/>
                <w:sz w:val="22"/>
                <w:szCs w:val="22"/>
                <w:color w:val="auto"/>
                <w:w w:val="85"/>
              </w:rPr>
              <w:t>$16,754</w:t>
            </w:r>
          </w:p>
        </w:tc>
        <w:tc>
          <w:tcPr>
            <w:tcW w:w="52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w w:val="85"/>
              </w:rPr>
              <w:t>$16,213</w:t>
            </w:r>
          </w:p>
        </w:tc>
        <w:tc>
          <w:tcPr>
            <w:tcW w:w="80" w:type="dxa"/>
            <w:vAlign w:val="bottom"/>
          </w:tcPr>
          <w:p>
            <w:pPr>
              <w:spacing w:after="0"/>
              <w:rPr>
                <w:sz w:val="24"/>
                <w:szCs w:val="24"/>
                <w:color w:val="auto"/>
              </w:rPr>
            </w:pPr>
          </w:p>
        </w:tc>
      </w:tr>
      <w:tr>
        <w:trPr>
          <w:trHeight w:val="243"/>
        </w:trPr>
        <w:tc>
          <w:tcPr>
            <w:tcW w:w="7220" w:type="dxa"/>
            <w:vAlign w:val="bottom"/>
          </w:tcPr>
          <w:p>
            <w:pPr>
              <w:spacing w:after="0" w:line="243" w:lineRule="exact"/>
              <w:rPr>
                <w:sz w:val="20"/>
                <w:szCs w:val="20"/>
                <w:color w:val="auto"/>
              </w:rPr>
            </w:pPr>
            <w:r>
              <w:rPr>
                <w:rFonts w:ascii="Arial" w:cs="Arial" w:eastAsia="Arial" w:hAnsi="Arial"/>
                <w:sz w:val="22"/>
                <w:szCs w:val="22"/>
                <w:color w:val="auto"/>
              </w:rPr>
              <w:t>Loss before cumulative effect of accounting change</w:t>
            </w:r>
          </w:p>
        </w:tc>
        <w:tc>
          <w:tcPr>
            <w:tcW w:w="15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($15,071)</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($3,178)</w:t>
            </w:r>
          </w:p>
        </w:tc>
      </w:tr>
      <w:tr>
        <w:trPr>
          <w:trHeight w:val="243"/>
        </w:trPr>
        <w:tc>
          <w:tcPr>
            <w:tcW w:w="7220" w:type="dxa"/>
            <w:vAlign w:val="bottom"/>
          </w:tcPr>
          <w:p>
            <w:pPr>
              <w:spacing w:after="0" w:line="243" w:lineRule="exact"/>
              <w:rPr>
                <w:sz w:val="20"/>
                <w:szCs w:val="20"/>
                <w:color w:val="auto"/>
              </w:rPr>
            </w:pPr>
            <w:r>
              <w:rPr>
                <w:rFonts w:ascii="Arial" w:cs="Arial" w:eastAsia="Arial" w:hAnsi="Arial"/>
                <w:sz w:val="22"/>
                <w:szCs w:val="22"/>
                <w:color w:val="auto"/>
              </w:rPr>
              <w:t>Net loss</w:t>
            </w:r>
          </w:p>
        </w:tc>
        <w:tc>
          <w:tcPr>
            <w:tcW w:w="15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($15,071)</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($2,793)</w:t>
            </w:r>
          </w:p>
        </w:tc>
      </w:tr>
      <w:tr>
        <w:trPr>
          <w:trHeight w:val="275"/>
        </w:trPr>
        <w:tc>
          <w:tcPr>
            <w:tcW w:w="7220" w:type="dxa"/>
            <w:vAlign w:val="bottom"/>
          </w:tcPr>
          <w:p>
            <w:pPr>
              <w:spacing w:after="0"/>
              <w:rPr>
                <w:sz w:val="20"/>
                <w:szCs w:val="20"/>
                <w:color w:val="auto"/>
              </w:rPr>
            </w:pPr>
            <w:r>
              <w:rPr>
                <w:rFonts w:ascii="Arial" w:cs="Arial" w:eastAsia="Arial" w:hAnsi="Arial"/>
                <w:sz w:val="22"/>
                <w:szCs w:val="22"/>
                <w:color w:val="auto"/>
              </w:rPr>
              <w:t>Diluted EPS</w:t>
            </w:r>
          </w:p>
        </w:tc>
        <w:tc>
          <w:tcPr>
            <w:tcW w:w="1540" w:type="dxa"/>
            <w:vAlign w:val="bottom"/>
            <w:gridSpan w:val="2"/>
          </w:tcPr>
          <w:p>
            <w:pPr>
              <w:jc w:val="right"/>
              <w:ind w:right="440"/>
              <w:spacing w:after="0"/>
              <w:rPr>
                <w:sz w:val="20"/>
                <w:szCs w:val="20"/>
                <w:color w:val="auto"/>
              </w:rPr>
            </w:pPr>
            <w:r>
              <w:rPr>
                <w:rFonts w:ascii="Arial" w:cs="Arial" w:eastAsia="Arial" w:hAnsi="Arial"/>
                <w:sz w:val="22"/>
                <w:szCs w:val="22"/>
                <w:color w:val="auto"/>
              </w:rPr>
              <w:t>($6.55)</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($1.22)</w:t>
            </w:r>
          </w:p>
        </w:tc>
      </w:tr>
    </w:tbl>
    <w:p>
      <w:pPr>
        <w:spacing w:after="0" w:line="212" w:lineRule="exact"/>
        <w:rPr>
          <w:sz w:val="20"/>
          <w:szCs w:val="20"/>
          <w:color w:val="auto"/>
        </w:rPr>
      </w:pPr>
    </w:p>
    <w:p>
      <w:pPr>
        <w:ind w:left="460" w:right="120"/>
        <w:spacing w:after="0" w:line="247" w:lineRule="auto"/>
        <w:rPr>
          <w:sz w:val="20"/>
          <w:szCs w:val="20"/>
          <w:color w:val="auto"/>
        </w:rPr>
      </w:pPr>
      <w:r>
        <w:rPr>
          <w:rFonts w:ascii="Arial" w:cs="Arial" w:eastAsia="Arial" w:hAnsi="Arial"/>
          <w:sz w:val="21"/>
          <w:szCs w:val="21"/>
          <w:color w:val="auto"/>
        </w:rPr>
        <w:t>The unaudited pro forma information for the year ended December 31, 2002 includes $11.781 billion, net of tax, of goodwill and franchise impairment charges, and $56 million of asset impairment, restructuring and other charges recorded by Broadband prior to the closing of the Broadband acquisition. The unaudited pro forma information for the year ended December 31, 2001 includes $1.494 billion of asset impairment, restructuring and other charges recorded by Broadband prior to the closing of the Broadband acquisition. The unaudited pro forma information for the year ended December 31, 2001 reflects the elimination of Broadband’s amortization expense related to goodwill and cable franchise rights since the Broadband acquisition was accounted for under the provisions of SFAS No. 142.</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Pro forma information reflecting our 2003 acquisitions is not presented due to immateriality.</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40" w:type="dxa"/>
            <w:vAlign w:val="bottom"/>
            <w:gridSpan w:val="2"/>
          </w:tcPr>
          <w:p>
            <w:pPr>
              <w:spacing w:after="0"/>
              <w:rPr>
                <w:sz w:val="20"/>
                <w:szCs w:val="20"/>
                <w:color w:val="auto"/>
              </w:rPr>
            </w:pPr>
            <w:r>
              <w:rPr>
                <w:rFonts w:ascii="Arial" w:cs="Arial" w:eastAsia="Arial" w:hAnsi="Arial"/>
                <w:sz w:val="22"/>
                <w:szCs w:val="22"/>
                <w:color w:val="auto"/>
              </w:rPr>
              <w:t>COMCAST CORPORATION AND SUBSIDIARIES</w:t>
            </w: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6840" w:type="dxa"/>
            <w:vAlign w:val="bottom"/>
            <w:gridSpan w:val="2"/>
          </w:tcPr>
          <w:p>
            <w:pPr>
              <w:spacing w:after="0"/>
              <w:rPr>
                <w:sz w:val="20"/>
                <w:szCs w:val="20"/>
                <w:color w:val="auto"/>
              </w:rPr>
            </w:pPr>
            <w:r>
              <w:rPr>
                <w:rFonts w:ascii="Arial" w:cs="Arial" w:eastAsia="Arial" w:hAnsi="Arial"/>
                <w:sz w:val="22"/>
                <w:szCs w:val="22"/>
                <w:color w:val="auto"/>
              </w:rPr>
              <w:t>NOTES TO CONSOLIDATED FINANCIAL STATEMENTS</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840" w:type="dxa"/>
            <w:vAlign w:val="bottom"/>
            <w:gridSpan w:val="2"/>
          </w:tcPr>
          <w:p>
            <w:pPr>
              <w:spacing w:after="0"/>
              <w:rPr>
                <w:sz w:val="20"/>
                <w:szCs w:val="20"/>
                <w:color w:val="auto"/>
              </w:rPr>
            </w:pPr>
            <w:r>
              <w:rPr>
                <w:rFonts w:ascii="Arial" w:cs="Arial" w:eastAsia="Arial" w:hAnsi="Arial"/>
                <w:sz w:val="22"/>
                <w:szCs w:val="22"/>
                <w:color w:val="auto"/>
              </w:rPr>
              <w:t>YEARS ENDED DECEMBER 31, 2003, 2002 AND 2001 (Continued)</w:t>
            </w:r>
          </w:p>
        </w:tc>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6840" w:type="dxa"/>
            <w:vAlign w:val="bottom"/>
            <w:gridSpan w:val="2"/>
          </w:tcPr>
          <w:p>
            <w:pPr>
              <w:spacing w:after="0"/>
              <w:rPr>
                <w:sz w:val="20"/>
                <w:szCs w:val="20"/>
                <w:color w:val="auto"/>
              </w:rPr>
            </w:pPr>
            <w:r>
              <w:rPr>
                <w:rFonts w:ascii="Arial" w:cs="Arial" w:eastAsia="Arial" w:hAnsi="Arial"/>
                <w:sz w:val="22"/>
                <w:szCs w:val="22"/>
                <w:color w:val="auto"/>
              </w:rPr>
              <w:t>6.   INVESTMENTS</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4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60" w:type="dxa"/>
            <w:vAlign w:val="bottom"/>
            <w:gridSpan w:val="3"/>
          </w:tcPr>
          <w:p>
            <w:pPr>
              <w:jc w:val="right"/>
              <w:ind w:right="660"/>
              <w:spacing w:after="0"/>
              <w:rPr>
                <w:sz w:val="20"/>
                <w:szCs w:val="20"/>
                <w:color w:val="auto"/>
              </w:rPr>
            </w:pPr>
            <w:r>
              <w:rPr>
                <w:rFonts w:ascii="Arial" w:cs="Arial" w:eastAsia="Arial" w:hAnsi="Arial"/>
                <w:sz w:val="22"/>
                <w:szCs w:val="22"/>
                <w:color w:val="auto"/>
              </w:rPr>
              <w:t>December 31,</w:t>
            </w:r>
          </w:p>
        </w:tc>
        <w:tc>
          <w:tcPr>
            <w:tcW w:w="0" w:type="dxa"/>
            <w:vAlign w:val="bottom"/>
          </w:tcPr>
          <w:p>
            <w:pPr>
              <w:spacing w:after="0"/>
              <w:rPr>
                <w:sz w:val="1"/>
                <w:szCs w:val="1"/>
                <w:color w:val="auto"/>
              </w:rPr>
            </w:pPr>
          </w:p>
        </w:tc>
      </w:tr>
      <w:tr>
        <w:trPr>
          <w:trHeight w:val="275"/>
        </w:trPr>
        <w:tc>
          <w:tcPr>
            <w:tcW w:w="46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680" w:type="dxa"/>
            <w:vAlign w:val="bottom"/>
            <w:gridSpan w:val="2"/>
          </w:tcPr>
          <w:p>
            <w:pPr>
              <w:jc w:val="right"/>
              <w:ind w:right="172"/>
              <w:spacing w:after="0"/>
              <w:rPr>
                <w:sz w:val="20"/>
                <w:szCs w:val="20"/>
                <w:color w:val="auto"/>
              </w:rPr>
            </w:pPr>
            <w:r>
              <w:rPr>
                <w:rFonts w:ascii="Arial" w:cs="Arial" w:eastAsia="Arial" w:hAnsi="Arial"/>
                <w:sz w:val="22"/>
                <w:szCs w:val="22"/>
                <w:color w:val="auto"/>
              </w:rPr>
              <w:t>2003</w:t>
            </w:r>
          </w:p>
        </w:tc>
        <w:tc>
          <w:tcPr>
            <w:tcW w:w="1540" w:type="dxa"/>
            <w:vAlign w:val="bottom"/>
            <w:gridSpan w:val="2"/>
          </w:tcPr>
          <w:p>
            <w:pPr>
              <w:jc w:val="right"/>
              <w:ind w:right="280"/>
              <w:spacing w:after="0"/>
              <w:rPr>
                <w:sz w:val="20"/>
                <w:szCs w:val="20"/>
                <w:color w:val="auto"/>
              </w:rPr>
            </w:pPr>
            <w:r>
              <w:rPr>
                <w:rFonts w:ascii="Arial" w:cs="Arial" w:eastAsia="Arial" w:hAnsi="Arial"/>
                <w:sz w:val="22"/>
                <w:szCs w:val="22"/>
                <w:color w:val="auto"/>
              </w:rPr>
              <w:t>2002</w:t>
            </w:r>
          </w:p>
        </w:tc>
        <w:tc>
          <w:tcPr>
            <w:tcW w:w="0" w:type="dxa"/>
            <w:vAlign w:val="bottom"/>
          </w:tcPr>
          <w:p>
            <w:pPr>
              <w:spacing w:after="0"/>
              <w:rPr>
                <w:sz w:val="1"/>
                <w:szCs w:val="1"/>
                <w:color w:val="auto"/>
              </w:rPr>
            </w:pPr>
          </w:p>
        </w:tc>
      </w:tr>
      <w:tr>
        <w:trPr>
          <w:trHeight w:val="98"/>
        </w:trPr>
        <w:tc>
          <w:tcPr>
            <w:tcW w:w="46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4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60" w:type="dxa"/>
            <w:vAlign w:val="bottom"/>
            <w:gridSpan w:val="3"/>
          </w:tcPr>
          <w:p>
            <w:pPr>
              <w:jc w:val="right"/>
              <w:ind w:right="400"/>
              <w:spacing w:after="0"/>
              <w:rPr>
                <w:sz w:val="20"/>
                <w:szCs w:val="20"/>
                <w:color w:val="auto"/>
              </w:rPr>
            </w:pPr>
            <w:r>
              <w:rPr>
                <w:rFonts w:ascii="Arial" w:cs="Arial" w:eastAsia="Arial" w:hAnsi="Arial"/>
                <w:sz w:val="22"/>
                <w:szCs w:val="22"/>
                <w:color w:val="auto"/>
              </w:rPr>
              <w:t>(Dollars in millions)</w:t>
            </w:r>
          </w:p>
        </w:tc>
        <w:tc>
          <w:tcPr>
            <w:tcW w:w="0" w:type="dxa"/>
            <w:vAlign w:val="bottom"/>
          </w:tcPr>
          <w:p>
            <w:pPr>
              <w:spacing w:after="0"/>
              <w:rPr>
                <w:sz w:val="1"/>
                <w:szCs w:val="1"/>
                <w:color w:val="auto"/>
              </w:rPr>
            </w:pPr>
          </w:p>
        </w:tc>
      </w:tr>
      <w:tr>
        <w:trPr>
          <w:trHeight w:val="455"/>
        </w:trPr>
        <w:tc>
          <w:tcPr>
            <w:tcW w:w="6840" w:type="dxa"/>
            <w:vAlign w:val="bottom"/>
            <w:gridSpan w:val="2"/>
          </w:tcPr>
          <w:p>
            <w:pPr>
              <w:ind w:left="280"/>
              <w:spacing w:after="0"/>
              <w:rPr>
                <w:sz w:val="20"/>
                <w:szCs w:val="20"/>
                <w:color w:val="auto"/>
              </w:rPr>
            </w:pPr>
            <w:r>
              <w:rPr>
                <w:rFonts w:ascii="Arial" w:cs="Arial" w:eastAsia="Arial" w:hAnsi="Arial"/>
                <w:sz w:val="22"/>
                <w:szCs w:val="22"/>
                <w:color w:val="auto"/>
              </w:rPr>
              <w:t>Fair value method</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ind w:left="540"/>
              <w:spacing w:after="0" w:line="243" w:lineRule="exact"/>
              <w:rPr>
                <w:sz w:val="20"/>
                <w:szCs w:val="20"/>
                <w:color w:val="auto"/>
              </w:rPr>
            </w:pPr>
            <w:r>
              <w:rPr>
                <w:rFonts w:ascii="Arial" w:cs="Arial" w:eastAsia="Arial" w:hAnsi="Arial"/>
                <w:sz w:val="22"/>
                <w:szCs w:val="22"/>
                <w:color w:val="auto"/>
              </w:rPr>
              <w:t>AT&amp;T Corp.</w:t>
            </w:r>
          </w:p>
        </w:tc>
        <w:tc>
          <w:tcPr>
            <w:tcW w:w="1680" w:type="dxa"/>
            <w:vAlign w:val="bottom"/>
            <w:gridSpan w:val="2"/>
          </w:tcPr>
          <w:p>
            <w:pPr>
              <w:jc w:val="right"/>
              <w:ind w:right="792"/>
              <w:spacing w:after="0" w:line="243" w:lineRule="exact"/>
              <w:rPr>
                <w:sz w:val="20"/>
                <w:szCs w:val="20"/>
                <w:color w:val="auto"/>
              </w:rPr>
            </w:pPr>
            <w:r>
              <w:rPr>
                <w:rFonts w:ascii="Arial" w:cs="Arial" w:eastAsia="Arial" w:hAnsi="Arial"/>
                <w:sz w:val="22"/>
                <w:szCs w:val="22"/>
                <w:color w:val="auto"/>
              </w:rPr>
              <w:t>$</w:t>
            </w:r>
          </w:p>
        </w:tc>
        <w:tc>
          <w:tcPr>
            <w:tcW w:w="15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$287</w:t>
            </w:r>
          </w:p>
        </w:tc>
        <w:tc>
          <w:tcPr>
            <w:tcW w:w="0" w:type="dxa"/>
            <w:vAlign w:val="bottom"/>
          </w:tcPr>
          <w:p>
            <w:pPr>
              <w:spacing w:after="0"/>
              <w:rPr>
                <w:sz w:val="1"/>
                <w:szCs w:val="1"/>
                <w:color w:val="auto"/>
              </w:rPr>
            </w:pPr>
          </w:p>
        </w:tc>
      </w:tr>
      <w:tr>
        <w:trPr>
          <w:trHeight w:val="243"/>
        </w:trPr>
        <w:tc>
          <w:tcPr>
            <w:tcW w:w="6840" w:type="dxa"/>
            <w:vAlign w:val="bottom"/>
            <w:gridSpan w:val="2"/>
          </w:tcPr>
          <w:p>
            <w:pPr>
              <w:ind w:left="540"/>
              <w:spacing w:after="0" w:line="243" w:lineRule="exact"/>
              <w:rPr>
                <w:sz w:val="20"/>
                <w:szCs w:val="20"/>
                <w:color w:val="auto"/>
              </w:rPr>
            </w:pPr>
            <w:r>
              <w:rPr>
                <w:rFonts w:ascii="Arial" w:cs="Arial" w:eastAsia="Arial" w:hAnsi="Arial"/>
                <w:sz w:val="22"/>
                <w:szCs w:val="22"/>
                <w:color w:val="auto"/>
              </w:rPr>
              <w:t>Cablevision</w:t>
            </w:r>
          </w:p>
        </w:tc>
        <w:tc>
          <w:tcPr>
            <w:tcW w:w="16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970</w:t>
            </w:r>
          </w:p>
        </w:tc>
        <w:tc>
          <w:tcPr>
            <w:tcW w:w="15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694</w:t>
            </w:r>
          </w:p>
        </w:tc>
        <w:tc>
          <w:tcPr>
            <w:tcW w:w="0" w:type="dxa"/>
            <w:vAlign w:val="bottom"/>
          </w:tcPr>
          <w:p>
            <w:pPr>
              <w:spacing w:after="0"/>
              <w:rPr>
                <w:sz w:val="1"/>
                <w:szCs w:val="1"/>
                <w:color w:val="auto"/>
              </w:rPr>
            </w:pPr>
          </w:p>
        </w:tc>
      </w:tr>
      <w:tr>
        <w:trPr>
          <w:trHeight w:val="243"/>
        </w:trPr>
        <w:tc>
          <w:tcPr>
            <w:tcW w:w="6840" w:type="dxa"/>
            <w:vAlign w:val="bottom"/>
            <w:gridSpan w:val="2"/>
          </w:tcPr>
          <w:p>
            <w:pPr>
              <w:ind w:left="540"/>
              <w:spacing w:after="0" w:line="243" w:lineRule="exact"/>
              <w:rPr>
                <w:sz w:val="20"/>
                <w:szCs w:val="20"/>
                <w:color w:val="auto"/>
              </w:rPr>
            </w:pPr>
            <w:r>
              <w:rPr>
                <w:rFonts w:ascii="Arial" w:cs="Arial" w:eastAsia="Arial" w:hAnsi="Arial"/>
                <w:sz w:val="22"/>
                <w:szCs w:val="22"/>
                <w:color w:val="auto"/>
              </w:rPr>
              <w:t>Liberty</w:t>
            </w:r>
          </w:p>
        </w:tc>
        <w:tc>
          <w:tcPr>
            <w:tcW w:w="16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2,644</w:t>
            </w:r>
          </w:p>
        </w:tc>
        <w:tc>
          <w:tcPr>
            <w:tcW w:w="15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43"/>
        </w:trPr>
        <w:tc>
          <w:tcPr>
            <w:tcW w:w="6840" w:type="dxa"/>
            <w:vAlign w:val="bottom"/>
            <w:gridSpan w:val="2"/>
          </w:tcPr>
          <w:p>
            <w:pPr>
              <w:ind w:left="540"/>
              <w:spacing w:after="0" w:line="243" w:lineRule="exact"/>
              <w:rPr>
                <w:sz w:val="20"/>
                <w:szCs w:val="20"/>
                <w:color w:val="auto"/>
              </w:rPr>
            </w:pPr>
            <w:r>
              <w:rPr>
                <w:rFonts w:ascii="Arial" w:cs="Arial" w:eastAsia="Arial" w:hAnsi="Arial"/>
                <w:sz w:val="22"/>
                <w:szCs w:val="22"/>
                <w:color w:val="auto"/>
              </w:rPr>
              <w:t>Microsoft</w:t>
            </w:r>
          </w:p>
        </w:tc>
        <w:tc>
          <w:tcPr>
            <w:tcW w:w="16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1,331</w:t>
            </w:r>
          </w:p>
        </w:tc>
        <w:tc>
          <w:tcPr>
            <w:tcW w:w="15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1,967</w:t>
            </w:r>
          </w:p>
        </w:tc>
        <w:tc>
          <w:tcPr>
            <w:tcW w:w="0" w:type="dxa"/>
            <w:vAlign w:val="bottom"/>
          </w:tcPr>
          <w:p>
            <w:pPr>
              <w:spacing w:after="0"/>
              <w:rPr>
                <w:sz w:val="1"/>
                <w:szCs w:val="1"/>
                <w:color w:val="auto"/>
              </w:rPr>
            </w:pPr>
          </w:p>
        </w:tc>
      </w:tr>
      <w:tr>
        <w:trPr>
          <w:trHeight w:val="243"/>
        </w:trPr>
        <w:tc>
          <w:tcPr>
            <w:tcW w:w="6840" w:type="dxa"/>
            <w:vAlign w:val="bottom"/>
            <w:gridSpan w:val="2"/>
          </w:tcPr>
          <w:p>
            <w:pPr>
              <w:ind w:left="540"/>
              <w:spacing w:after="0" w:line="243" w:lineRule="exact"/>
              <w:rPr>
                <w:sz w:val="20"/>
                <w:szCs w:val="20"/>
                <w:color w:val="auto"/>
              </w:rPr>
            </w:pPr>
            <w:r>
              <w:rPr>
                <w:rFonts w:ascii="Arial" w:cs="Arial" w:eastAsia="Arial" w:hAnsi="Arial"/>
                <w:sz w:val="22"/>
                <w:szCs w:val="22"/>
                <w:color w:val="auto"/>
              </w:rPr>
              <w:t>Sprint Corp. PCS Group</w:t>
            </w:r>
          </w:p>
        </w:tc>
        <w:tc>
          <w:tcPr>
            <w:tcW w:w="16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349</w:t>
            </w:r>
          </w:p>
        </w:tc>
        <w:tc>
          <w:tcPr>
            <w:tcW w:w="15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369</w:t>
            </w:r>
          </w:p>
        </w:tc>
        <w:tc>
          <w:tcPr>
            <w:tcW w:w="0" w:type="dxa"/>
            <w:vAlign w:val="bottom"/>
          </w:tcPr>
          <w:p>
            <w:pPr>
              <w:spacing w:after="0"/>
              <w:rPr>
                <w:sz w:val="1"/>
                <w:szCs w:val="1"/>
                <w:color w:val="auto"/>
              </w:rPr>
            </w:pPr>
          </w:p>
        </w:tc>
      </w:tr>
      <w:tr>
        <w:trPr>
          <w:trHeight w:val="243"/>
        </w:trPr>
        <w:tc>
          <w:tcPr>
            <w:tcW w:w="6840" w:type="dxa"/>
            <w:vAlign w:val="bottom"/>
            <w:gridSpan w:val="2"/>
          </w:tcPr>
          <w:p>
            <w:pPr>
              <w:ind w:left="540"/>
              <w:spacing w:after="0" w:line="243" w:lineRule="exact"/>
              <w:rPr>
                <w:sz w:val="20"/>
                <w:szCs w:val="20"/>
                <w:color w:val="auto"/>
              </w:rPr>
            </w:pPr>
            <w:r>
              <w:rPr>
                <w:rFonts w:ascii="Arial" w:cs="Arial" w:eastAsia="Arial" w:hAnsi="Arial"/>
                <w:sz w:val="22"/>
                <w:szCs w:val="22"/>
                <w:color w:val="auto"/>
              </w:rPr>
              <w:t>Vodaphone</w:t>
            </w:r>
          </w:p>
        </w:tc>
        <w:tc>
          <w:tcPr>
            <w:tcW w:w="16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1,245</w:t>
            </w:r>
          </w:p>
        </w:tc>
        <w:tc>
          <w:tcPr>
            <w:tcW w:w="15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1,759</w:t>
            </w:r>
          </w:p>
        </w:tc>
        <w:tc>
          <w:tcPr>
            <w:tcW w:w="0" w:type="dxa"/>
            <w:vAlign w:val="bottom"/>
          </w:tcPr>
          <w:p>
            <w:pPr>
              <w:spacing w:after="0"/>
              <w:rPr>
                <w:sz w:val="1"/>
                <w:szCs w:val="1"/>
                <w:color w:val="auto"/>
              </w:rPr>
            </w:pPr>
          </w:p>
        </w:tc>
      </w:tr>
      <w:tr>
        <w:trPr>
          <w:trHeight w:val="275"/>
        </w:trPr>
        <w:tc>
          <w:tcPr>
            <w:tcW w:w="6840" w:type="dxa"/>
            <w:vAlign w:val="bottom"/>
            <w:gridSpan w:val="2"/>
          </w:tcPr>
          <w:p>
            <w:pPr>
              <w:ind w:left="540"/>
              <w:spacing w:after="0"/>
              <w:rPr>
                <w:sz w:val="20"/>
                <w:szCs w:val="20"/>
                <w:color w:val="auto"/>
              </w:rPr>
            </w:pPr>
            <w:r>
              <w:rPr>
                <w:rFonts w:ascii="Arial" w:cs="Arial" w:eastAsia="Arial" w:hAnsi="Arial"/>
                <w:sz w:val="22"/>
                <w:szCs w:val="22"/>
                <w:color w:val="auto"/>
              </w:rPr>
              <w:t>Other</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44</w:t>
            </w: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98"/>
        </w:trPr>
        <w:tc>
          <w:tcPr>
            <w:tcW w:w="46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4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6,583</w:t>
            </w: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5,149</w:t>
            </w:r>
          </w:p>
        </w:tc>
        <w:tc>
          <w:tcPr>
            <w:tcW w:w="0" w:type="dxa"/>
            <w:vAlign w:val="bottom"/>
          </w:tcPr>
          <w:p>
            <w:pPr>
              <w:spacing w:after="0"/>
              <w:rPr>
                <w:sz w:val="1"/>
                <w:szCs w:val="1"/>
                <w:color w:val="auto"/>
              </w:rPr>
            </w:pPr>
          </w:p>
        </w:tc>
      </w:tr>
      <w:tr>
        <w:trPr>
          <w:trHeight w:val="98"/>
        </w:trPr>
        <w:tc>
          <w:tcPr>
            <w:tcW w:w="6840" w:type="dxa"/>
            <w:vAlign w:val="bottom"/>
            <w:gridSpan w:val="2"/>
            <w:vMerge w:val="restart"/>
          </w:tcPr>
          <w:p>
            <w:pPr>
              <w:ind w:left="280"/>
              <w:spacing w:after="0"/>
              <w:rPr>
                <w:sz w:val="20"/>
                <w:szCs w:val="20"/>
                <w:color w:val="auto"/>
              </w:rPr>
            </w:pPr>
            <w:r>
              <w:rPr>
                <w:rFonts w:ascii="Arial" w:cs="Arial" w:eastAsia="Arial" w:hAnsi="Arial"/>
                <w:sz w:val="22"/>
                <w:szCs w:val="22"/>
                <w:color w:val="auto"/>
              </w:rPr>
              <w:t>Equity Method</w:t>
            </w:r>
          </w:p>
        </w:tc>
        <w:tc>
          <w:tcPr>
            <w:tcW w:w="6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684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40" w:type="dxa"/>
            <w:vAlign w:val="bottom"/>
            <w:gridSpan w:val="2"/>
          </w:tcPr>
          <w:p>
            <w:pPr>
              <w:ind w:left="540"/>
              <w:spacing w:after="0" w:line="243" w:lineRule="exact"/>
              <w:rPr>
                <w:sz w:val="20"/>
                <w:szCs w:val="20"/>
                <w:color w:val="auto"/>
              </w:rPr>
            </w:pPr>
            <w:r>
              <w:rPr>
                <w:rFonts w:ascii="Arial" w:cs="Arial" w:eastAsia="Arial" w:hAnsi="Arial"/>
                <w:sz w:val="22"/>
                <w:szCs w:val="22"/>
                <w:color w:val="auto"/>
              </w:rPr>
              <w:t>Cable related</w:t>
            </w:r>
          </w:p>
        </w:tc>
        <w:tc>
          <w:tcPr>
            <w:tcW w:w="16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2,145</w:t>
            </w:r>
          </w:p>
        </w:tc>
        <w:tc>
          <w:tcPr>
            <w:tcW w:w="15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2,094</w:t>
            </w:r>
          </w:p>
        </w:tc>
        <w:tc>
          <w:tcPr>
            <w:tcW w:w="0" w:type="dxa"/>
            <w:vAlign w:val="bottom"/>
          </w:tcPr>
          <w:p>
            <w:pPr>
              <w:spacing w:after="0"/>
              <w:rPr>
                <w:sz w:val="1"/>
                <w:szCs w:val="1"/>
                <w:color w:val="auto"/>
              </w:rPr>
            </w:pPr>
          </w:p>
        </w:tc>
      </w:tr>
      <w:tr>
        <w:trPr>
          <w:trHeight w:val="275"/>
        </w:trPr>
        <w:tc>
          <w:tcPr>
            <w:tcW w:w="6840" w:type="dxa"/>
            <w:vAlign w:val="bottom"/>
            <w:gridSpan w:val="2"/>
          </w:tcPr>
          <w:p>
            <w:pPr>
              <w:ind w:left="540"/>
              <w:spacing w:after="0"/>
              <w:rPr>
                <w:sz w:val="20"/>
                <w:szCs w:val="20"/>
                <w:color w:val="auto"/>
              </w:rPr>
            </w:pPr>
            <w:r>
              <w:rPr>
                <w:rFonts w:ascii="Arial" w:cs="Arial" w:eastAsia="Arial" w:hAnsi="Arial"/>
                <w:sz w:val="22"/>
                <w:szCs w:val="22"/>
                <w:color w:val="auto"/>
              </w:rPr>
              <w:t>Other</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242</w:t>
            </w: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204</w:t>
            </w:r>
          </w:p>
        </w:tc>
        <w:tc>
          <w:tcPr>
            <w:tcW w:w="0" w:type="dxa"/>
            <w:vAlign w:val="bottom"/>
          </w:tcPr>
          <w:p>
            <w:pPr>
              <w:spacing w:after="0"/>
              <w:rPr>
                <w:sz w:val="1"/>
                <w:szCs w:val="1"/>
                <w:color w:val="auto"/>
              </w:rPr>
            </w:pPr>
          </w:p>
        </w:tc>
      </w:tr>
      <w:tr>
        <w:trPr>
          <w:trHeight w:val="98"/>
        </w:trPr>
        <w:tc>
          <w:tcPr>
            <w:tcW w:w="46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4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2,387</w:t>
            </w: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2,298</w:t>
            </w:r>
          </w:p>
        </w:tc>
        <w:tc>
          <w:tcPr>
            <w:tcW w:w="0" w:type="dxa"/>
            <w:vAlign w:val="bottom"/>
          </w:tcPr>
          <w:p>
            <w:pPr>
              <w:spacing w:after="0"/>
              <w:rPr>
                <w:sz w:val="1"/>
                <w:szCs w:val="1"/>
                <w:color w:val="auto"/>
              </w:rPr>
            </w:pPr>
          </w:p>
        </w:tc>
      </w:tr>
      <w:tr>
        <w:trPr>
          <w:trHeight w:val="98"/>
        </w:trPr>
        <w:tc>
          <w:tcPr>
            <w:tcW w:w="6840" w:type="dxa"/>
            <w:vAlign w:val="bottom"/>
            <w:gridSpan w:val="2"/>
            <w:vMerge w:val="restart"/>
          </w:tcPr>
          <w:p>
            <w:pPr>
              <w:ind w:left="280"/>
              <w:spacing w:after="0"/>
              <w:rPr>
                <w:sz w:val="20"/>
                <w:szCs w:val="20"/>
                <w:color w:val="auto"/>
              </w:rPr>
            </w:pPr>
            <w:r>
              <w:rPr>
                <w:rFonts w:ascii="Arial" w:cs="Arial" w:eastAsia="Arial" w:hAnsi="Arial"/>
                <w:sz w:val="22"/>
                <w:szCs w:val="22"/>
                <w:color w:val="auto"/>
              </w:rPr>
              <w:t>Cost method, principally TWC and Time Warner at</w:t>
            </w:r>
          </w:p>
        </w:tc>
        <w:tc>
          <w:tcPr>
            <w:tcW w:w="6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684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840" w:type="dxa"/>
            <w:vAlign w:val="bottom"/>
            <w:gridSpan w:val="2"/>
          </w:tcPr>
          <w:p>
            <w:pPr>
              <w:ind w:left="540"/>
              <w:spacing w:after="0"/>
              <w:rPr>
                <w:sz w:val="20"/>
                <w:szCs w:val="20"/>
                <w:color w:val="auto"/>
              </w:rPr>
            </w:pPr>
            <w:r>
              <w:rPr>
                <w:rFonts w:ascii="Arial" w:cs="Arial" w:eastAsia="Arial" w:hAnsi="Arial"/>
                <w:sz w:val="22"/>
                <w:szCs w:val="22"/>
                <w:color w:val="auto"/>
              </w:rPr>
              <w:t>December 31, 2003 and TWE at December 31, 2002</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8,341</w:t>
            </w: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10,985</w:t>
            </w:r>
          </w:p>
        </w:tc>
        <w:tc>
          <w:tcPr>
            <w:tcW w:w="0" w:type="dxa"/>
            <w:vAlign w:val="bottom"/>
          </w:tcPr>
          <w:p>
            <w:pPr>
              <w:spacing w:after="0"/>
              <w:rPr>
                <w:sz w:val="1"/>
                <w:szCs w:val="1"/>
                <w:color w:val="auto"/>
              </w:rPr>
            </w:pPr>
          </w:p>
        </w:tc>
      </w:tr>
      <w:tr>
        <w:trPr>
          <w:trHeight w:val="98"/>
        </w:trPr>
        <w:tc>
          <w:tcPr>
            <w:tcW w:w="46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6840" w:type="dxa"/>
            <w:vAlign w:val="bottom"/>
            <w:gridSpan w:val="2"/>
          </w:tcPr>
          <w:p>
            <w:pPr>
              <w:ind w:left="760"/>
              <w:spacing w:after="0"/>
              <w:rPr>
                <w:sz w:val="20"/>
                <w:szCs w:val="20"/>
                <w:color w:val="auto"/>
              </w:rPr>
            </w:pPr>
            <w:r>
              <w:rPr>
                <w:rFonts w:ascii="Arial" w:cs="Arial" w:eastAsia="Arial" w:hAnsi="Arial"/>
                <w:sz w:val="22"/>
                <w:szCs w:val="22"/>
                <w:color w:val="auto"/>
              </w:rPr>
              <w:t>Total investments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17,311</w:t>
            </w: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18,432</w:t>
            </w:r>
          </w:p>
        </w:tc>
        <w:tc>
          <w:tcPr>
            <w:tcW w:w="0" w:type="dxa"/>
            <w:vAlign w:val="bottom"/>
          </w:tcPr>
          <w:p>
            <w:pPr>
              <w:spacing w:after="0"/>
              <w:rPr>
                <w:sz w:val="1"/>
                <w:szCs w:val="1"/>
                <w:color w:val="auto"/>
              </w:rPr>
            </w:pPr>
          </w:p>
        </w:tc>
      </w:tr>
      <w:tr>
        <w:trPr>
          <w:trHeight w:val="486"/>
        </w:trPr>
        <w:tc>
          <w:tcPr>
            <w:tcW w:w="6840" w:type="dxa"/>
            <w:vAlign w:val="bottom"/>
            <w:gridSpan w:val="2"/>
          </w:tcPr>
          <w:p>
            <w:pPr>
              <w:ind w:left="280"/>
              <w:spacing w:after="0"/>
              <w:rPr>
                <w:sz w:val="20"/>
                <w:szCs w:val="20"/>
                <w:color w:val="auto"/>
              </w:rPr>
            </w:pPr>
            <w:r>
              <w:rPr>
                <w:rFonts w:ascii="Arial" w:cs="Arial" w:eastAsia="Arial" w:hAnsi="Arial"/>
                <w:sz w:val="22"/>
                <w:szCs w:val="22"/>
                <w:color w:val="auto"/>
              </w:rPr>
              <w:t>Less, current investments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2,493</w:t>
            </w: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3,258</w:t>
            </w:r>
          </w:p>
        </w:tc>
        <w:tc>
          <w:tcPr>
            <w:tcW w:w="0" w:type="dxa"/>
            <w:vAlign w:val="bottom"/>
          </w:tcPr>
          <w:p>
            <w:pPr>
              <w:spacing w:after="0"/>
              <w:rPr>
                <w:sz w:val="1"/>
                <w:szCs w:val="1"/>
                <w:color w:val="auto"/>
              </w:rPr>
            </w:pPr>
          </w:p>
        </w:tc>
      </w:tr>
      <w:tr>
        <w:trPr>
          <w:trHeight w:val="98"/>
        </w:trPr>
        <w:tc>
          <w:tcPr>
            <w:tcW w:w="46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6840" w:type="dxa"/>
            <w:vAlign w:val="bottom"/>
            <w:gridSpan w:val="2"/>
          </w:tcPr>
          <w:p>
            <w:pPr>
              <w:ind w:left="280"/>
              <w:spacing w:after="0"/>
              <w:rPr>
                <w:sz w:val="20"/>
                <w:szCs w:val="20"/>
                <w:color w:val="auto"/>
              </w:rPr>
            </w:pPr>
            <w:r>
              <w:rPr>
                <w:rFonts w:ascii="Arial" w:cs="Arial" w:eastAsia="Arial" w:hAnsi="Arial"/>
                <w:sz w:val="22"/>
                <w:szCs w:val="22"/>
                <w:color w:val="auto"/>
              </w:rPr>
              <w:t>Non-current investments</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$14,818</w:t>
            </w: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$15,174</w:t>
            </w:r>
          </w:p>
        </w:tc>
        <w:tc>
          <w:tcPr>
            <w:tcW w:w="0" w:type="dxa"/>
            <w:vAlign w:val="bottom"/>
          </w:tcPr>
          <w:p>
            <w:pPr>
              <w:spacing w:after="0"/>
              <w:rPr>
                <w:sz w:val="1"/>
                <w:szCs w:val="1"/>
                <w:color w:val="auto"/>
              </w:rPr>
            </w:pPr>
          </w:p>
        </w:tc>
      </w:tr>
    </w:tbl>
    <w:p>
      <w:pPr>
        <w:sectPr>
          <w:pgSz w:w="11900" w:h="16894" w:orient="portrait"/>
          <w:cols w:equalWidth="0" w:num="1">
            <w:col w:w="11420"/>
          </w:cols>
          <w:pgMar w:left="240" w:top="118" w:right="239" w:bottom="0" w:gutter="0" w:footer="0" w:header="0"/>
        </w:sectPr>
      </w:pPr>
    </w:p>
    <w:bookmarkStart w:id="78" w:name="page79"/>
    <w:bookmarkEnd w:id="78"/>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4914900</wp:posOffset>
            </wp:positionH>
            <wp:positionV relativeFrom="page">
              <wp:posOffset>88900</wp:posOffset>
            </wp:positionV>
            <wp:extent cx="1633220"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33220" cy="19050"/>
                    </a:xfrm>
                    <a:prstGeom prst="rect">
                      <a:avLst/>
                    </a:prstGeom>
                    <a:noFill/>
                  </pic:spPr>
                </pic:pic>
              </a:graphicData>
            </a:graphic>
          </wp:anchor>
        </w:drawing>
      </w:r>
    </w:p>
    <w:p>
      <w:pPr>
        <w:ind w:left="460"/>
        <w:spacing w:after="0"/>
        <w:rPr>
          <w:sz w:val="20"/>
          <w:szCs w:val="20"/>
          <w:color w:val="auto"/>
        </w:rPr>
      </w:pPr>
      <w:r>
        <w:rPr>
          <w:rFonts w:ascii="Arial" w:cs="Arial" w:eastAsia="Arial" w:hAnsi="Arial"/>
          <w:sz w:val="22"/>
          <w:szCs w:val="22"/>
          <w:i w:val="1"/>
          <w:iCs w:val="1"/>
          <w:color w:val="auto"/>
        </w:rPr>
        <w:t>Fair Value Method</w:t>
      </w:r>
    </w:p>
    <w:p>
      <w:pPr>
        <w:spacing w:after="0" w:line="8" w:lineRule="exact"/>
        <w:rPr>
          <w:sz w:val="20"/>
          <w:szCs w:val="20"/>
          <w:color w:val="auto"/>
        </w:rPr>
      </w:pPr>
    </w:p>
    <w:p>
      <w:pPr>
        <w:ind w:left="460" w:right="280"/>
        <w:spacing w:after="0" w:line="233" w:lineRule="auto"/>
        <w:rPr>
          <w:sz w:val="20"/>
          <w:szCs w:val="20"/>
          <w:color w:val="auto"/>
        </w:rPr>
      </w:pPr>
      <w:r>
        <w:rPr>
          <w:rFonts w:ascii="Arial" w:cs="Arial" w:eastAsia="Arial" w:hAnsi="Arial"/>
          <w:sz w:val="22"/>
          <w:szCs w:val="22"/>
          <w:color w:val="auto"/>
        </w:rPr>
        <w:t>We hold unrestricted equity investments, which we account for as available for sale or trading securities, in certain publicly traded companies. The net unrealized pre-tax gains on investments accounted for as available for sale securities as of December 31, 2003 and 2002 of $65 million and $72 million, respectively, have been reported in our consolidated balance sheet principally as a component of other comprehensive income (loss), net of related deferred income taxes of $23 million and $25 million, respectively.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The cost, fair value and unrealized gains and losses related to our available for sale securities are as follows:</w:t>
      </w:r>
    </w:p>
    <w:p>
      <w:pPr>
        <w:spacing w:after="0" w:line="223" w:lineRule="exact"/>
        <w:rPr>
          <w:sz w:val="20"/>
          <w:szCs w:val="20"/>
          <w:color w:val="auto"/>
        </w:rPr>
      </w:pPr>
    </w:p>
    <w:tbl>
      <w:tblPr>
        <w:tblLayout w:type="fixed"/>
        <w:tblInd w:w="280" w:type="dxa"/>
        <w:tblCellMar>
          <w:top w:w="0" w:type="dxa"/>
          <w:left w:w="0" w:type="dxa"/>
          <w:bottom w:w="0" w:type="dxa"/>
          <w:right w:w="0" w:type="dxa"/>
        </w:tblCellMar>
      </w:tblPr>
      <w:tr>
        <w:trPr>
          <w:trHeight w:val="253"/>
        </w:trPr>
        <w:tc>
          <w:tcPr>
            <w:tcW w:w="7220" w:type="dxa"/>
            <w:vAlign w:val="bottom"/>
          </w:tcPr>
          <w:p>
            <w:pPr>
              <w:spacing w:after="0"/>
              <w:rPr>
                <w:sz w:val="21"/>
                <w:szCs w:val="21"/>
                <w:color w:val="auto"/>
              </w:rPr>
            </w:pPr>
          </w:p>
        </w:tc>
        <w:tc>
          <w:tcPr>
            <w:tcW w:w="2640" w:type="dxa"/>
            <w:vAlign w:val="bottom"/>
            <w:gridSpan w:val="4"/>
          </w:tcPr>
          <w:p>
            <w:pPr>
              <w:jc w:val="center"/>
              <w:ind w:right="60"/>
              <w:spacing w:after="0"/>
              <w:rPr>
                <w:sz w:val="20"/>
                <w:szCs w:val="20"/>
                <w:color w:val="auto"/>
              </w:rPr>
            </w:pPr>
            <w:r>
              <w:rPr>
                <w:rFonts w:ascii="Arial" w:cs="Arial" w:eastAsia="Arial" w:hAnsi="Arial"/>
                <w:sz w:val="22"/>
                <w:szCs w:val="22"/>
                <w:color w:val="auto"/>
                <w:w w:val="88"/>
              </w:rPr>
              <w:t>December 31,</w:t>
            </w:r>
          </w:p>
        </w:tc>
      </w:tr>
      <w:tr>
        <w:trPr>
          <w:trHeight w:val="275"/>
        </w:trPr>
        <w:tc>
          <w:tcPr>
            <w:tcW w:w="7220" w:type="dxa"/>
            <w:vAlign w:val="bottom"/>
          </w:tcPr>
          <w:p>
            <w:pPr>
              <w:spacing w:after="0"/>
              <w:rPr>
                <w:sz w:val="23"/>
                <w:szCs w:val="23"/>
                <w:color w:val="auto"/>
              </w:rPr>
            </w:pP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2003</w:t>
            </w:r>
          </w:p>
        </w:tc>
        <w:tc>
          <w:tcPr>
            <w:tcW w:w="520" w:type="dxa"/>
            <w:vAlign w:val="bottom"/>
          </w:tcPr>
          <w:p>
            <w:pPr>
              <w:spacing w:after="0"/>
              <w:rPr>
                <w:sz w:val="23"/>
                <w:szCs w:val="23"/>
                <w:color w:val="auto"/>
              </w:rPr>
            </w:pP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2002</w:t>
            </w:r>
          </w:p>
        </w:tc>
        <w:tc>
          <w:tcPr>
            <w:tcW w:w="80" w:type="dxa"/>
            <w:vAlign w:val="bottom"/>
          </w:tcPr>
          <w:p>
            <w:pPr>
              <w:spacing w:after="0"/>
              <w:rPr>
                <w:sz w:val="23"/>
                <w:szCs w:val="23"/>
                <w:color w:val="auto"/>
              </w:rPr>
            </w:pPr>
          </w:p>
        </w:tc>
      </w:tr>
      <w:tr>
        <w:trPr>
          <w:trHeight w:val="98"/>
        </w:trPr>
        <w:tc>
          <w:tcPr>
            <w:tcW w:w="7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55"/>
        </w:trPr>
        <w:tc>
          <w:tcPr>
            <w:tcW w:w="7220" w:type="dxa"/>
            <w:vAlign w:val="bottom"/>
          </w:tcPr>
          <w:p>
            <w:pPr>
              <w:spacing w:after="0"/>
              <w:rPr>
                <w:sz w:val="24"/>
                <w:szCs w:val="24"/>
                <w:color w:val="auto"/>
              </w:rPr>
            </w:pPr>
          </w:p>
        </w:tc>
        <w:tc>
          <w:tcPr>
            <w:tcW w:w="2640" w:type="dxa"/>
            <w:vAlign w:val="bottom"/>
            <w:gridSpan w:val="4"/>
          </w:tcPr>
          <w:p>
            <w:pPr>
              <w:jc w:val="center"/>
              <w:ind w:right="80"/>
              <w:spacing w:after="0"/>
              <w:rPr>
                <w:sz w:val="20"/>
                <w:szCs w:val="20"/>
                <w:color w:val="auto"/>
              </w:rPr>
            </w:pPr>
            <w:r>
              <w:rPr>
                <w:rFonts w:ascii="Arial" w:cs="Arial" w:eastAsia="Arial" w:hAnsi="Arial"/>
                <w:sz w:val="22"/>
                <w:szCs w:val="22"/>
                <w:color w:val="auto"/>
                <w:w w:val="94"/>
              </w:rPr>
              <w:t>(Dollars in millions)</w:t>
            </w:r>
          </w:p>
        </w:tc>
      </w:tr>
      <w:tr>
        <w:trPr>
          <w:trHeight w:val="455"/>
        </w:trPr>
        <w:tc>
          <w:tcPr>
            <w:tcW w:w="7220" w:type="dxa"/>
            <w:vAlign w:val="bottom"/>
          </w:tcPr>
          <w:p>
            <w:pPr>
              <w:spacing w:after="0"/>
              <w:rPr>
                <w:sz w:val="20"/>
                <w:szCs w:val="20"/>
                <w:color w:val="auto"/>
              </w:rPr>
            </w:pPr>
            <w:r>
              <w:rPr>
                <w:rFonts w:ascii="Arial" w:cs="Arial" w:eastAsia="Arial" w:hAnsi="Arial"/>
                <w:sz w:val="22"/>
                <w:szCs w:val="22"/>
                <w:color w:val="auto"/>
              </w:rPr>
              <w:t>Cost</w:t>
            </w:r>
          </w:p>
        </w:tc>
        <w:tc>
          <w:tcPr>
            <w:tcW w:w="1020" w:type="dxa"/>
            <w:vAlign w:val="bottom"/>
          </w:tcPr>
          <w:p>
            <w:pPr>
              <w:jc w:val="right"/>
              <w:spacing w:after="0"/>
              <w:rPr>
                <w:sz w:val="20"/>
                <w:szCs w:val="20"/>
                <w:color w:val="auto"/>
              </w:rPr>
            </w:pPr>
            <w:r>
              <w:rPr>
                <w:rFonts w:ascii="Arial" w:cs="Arial" w:eastAsia="Arial" w:hAnsi="Arial"/>
                <w:sz w:val="22"/>
                <w:szCs w:val="22"/>
                <w:color w:val="auto"/>
              </w:rPr>
              <w:t>$92</w:t>
            </w: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$322</w:t>
            </w:r>
          </w:p>
        </w:tc>
        <w:tc>
          <w:tcPr>
            <w:tcW w:w="80" w:type="dxa"/>
            <w:vAlign w:val="bottom"/>
          </w:tcPr>
          <w:p>
            <w:pPr>
              <w:spacing w:after="0"/>
              <w:rPr>
                <w:sz w:val="24"/>
                <w:szCs w:val="24"/>
                <w:color w:val="auto"/>
              </w:rPr>
            </w:pPr>
          </w:p>
        </w:tc>
      </w:tr>
      <w:tr>
        <w:trPr>
          <w:trHeight w:val="243"/>
        </w:trPr>
        <w:tc>
          <w:tcPr>
            <w:tcW w:w="7220" w:type="dxa"/>
            <w:vAlign w:val="bottom"/>
          </w:tcPr>
          <w:p>
            <w:pPr>
              <w:spacing w:after="0" w:line="243" w:lineRule="exact"/>
              <w:rPr>
                <w:sz w:val="20"/>
                <w:szCs w:val="20"/>
                <w:color w:val="auto"/>
              </w:rPr>
            </w:pPr>
            <w:r>
              <w:rPr>
                <w:rFonts w:ascii="Arial" w:cs="Arial" w:eastAsia="Arial" w:hAnsi="Arial"/>
                <w:sz w:val="22"/>
                <w:szCs w:val="22"/>
                <w:color w:val="auto"/>
              </w:rPr>
              <w:t>Unrealized gains</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c>
          <w:tcPr>
            <w:tcW w:w="52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73</w:t>
            </w:r>
          </w:p>
        </w:tc>
        <w:tc>
          <w:tcPr>
            <w:tcW w:w="80" w:type="dxa"/>
            <w:vAlign w:val="bottom"/>
          </w:tcPr>
          <w:p>
            <w:pPr>
              <w:spacing w:after="0"/>
              <w:rPr>
                <w:sz w:val="21"/>
                <w:szCs w:val="21"/>
                <w:color w:val="auto"/>
              </w:rPr>
            </w:pPr>
          </w:p>
        </w:tc>
      </w:tr>
      <w:tr>
        <w:trPr>
          <w:trHeight w:val="275"/>
        </w:trPr>
        <w:tc>
          <w:tcPr>
            <w:tcW w:w="7220" w:type="dxa"/>
            <w:vAlign w:val="bottom"/>
          </w:tcPr>
          <w:p>
            <w:pPr>
              <w:spacing w:after="0"/>
              <w:rPr>
                <w:sz w:val="20"/>
                <w:szCs w:val="20"/>
                <w:color w:val="auto"/>
              </w:rPr>
            </w:pPr>
            <w:r>
              <w:rPr>
                <w:rFonts w:ascii="Arial" w:cs="Arial" w:eastAsia="Arial" w:hAnsi="Arial"/>
                <w:sz w:val="22"/>
                <w:szCs w:val="22"/>
                <w:color w:val="auto"/>
              </w:rPr>
              <w:t>Unrealized losses</w:t>
            </w:r>
          </w:p>
        </w:tc>
        <w:tc>
          <w:tcPr>
            <w:tcW w:w="1540" w:type="dxa"/>
            <w:vAlign w:val="bottom"/>
            <w:gridSpan w:val="2"/>
          </w:tcPr>
          <w:p>
            <w:pPr>
              <w:jc w:val="right"/>
              <w:ind w:right="440"/>
              <w:spacing w:after="0"/>
              <w:rPr>
                <w:sz w:val="20"/>
                <w:szCs w:val="20"/>
                <w:color w:val="auto"/>
              </w:rPr>
            </w:pPr>
            <w:r>
              <w:rPr>
                <w:rFonts w:ascii="Arial" w:cs="Arial" w:eastAsia="Arial" w:hAnsi="Arial"/>
                <w:sz w:val="22"/>
                <w:szCs w:val="22"/>
                <w:color w:val="auto"/>
              </w:rPr>
              <w:t>(1)</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(1)</w:t>
            </w:r>
          </w:p>
        </w:tc>
      </w:tr>
      <w:tr>
        <w:trPr>
          <w:trHeight w:val="98"/>
        </w:trPr>
        <w:tc>
          <w:tcPr>
            <w:tcW w:w="7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598"/>
        </w:trPr>
        <w:tc>
          <w:tcPr>
            <w:tcW w:w="7220" w:type="dxa"/>
            <w:vAlign w:val="bottom"/>
          </w:tcPr>
          <w:p>
            <w:pPr>
              <w:spacing w:after="0"/>
              <w:rPr>
                <w:sz w:val="20"/>
                <w:szCs w:val="20"/>
                <w:color w:val="auto"/>
              </w:rPr>
            </w:pPr>
            <w:r>
              <w:rPr>
                <w:rFonts w:ascii="Arial" w:cs="Arial" w:eastAsia="Arial" w:hAnsi="Arial"/>
                <w:sz w:val="22"/>
                <w:szCs w:val="22"/>
                <w:color w:val="auto"/>
              </w:rPr>
              <w:t>Fair value</w:t>
            </w:r>
          </w:p>
        </w:tc>
        <w:tc>
          <w:tcPr>
            <w:tcW w:w="1020" w:type="dxa"/>
            <w:vAlign w:val="bottom"/>
          </w:tcPr>
          <w:p>
            <w:pPr>
              <w:jc w:val="right"/>
              <w:spacing w:after="0"/>
              <w:rPr>
                <w:sz w:val="20"/>
                <w:szCs w:val="20"/>
                <w:color w:val="auto"/>
              </w:rPr>
            </w:pPr>
            <w:r>
              <w:rPr>
                <w:rFonts w:ascii="Arial" w:cs="Arial" w:eastAsia="Arial" w:hAnsi="Arial"/>
                <w:sz w:val="22"/>
                <w:szCs w:val="22"/>
                <w:color w:val="auto"/>
              </w:rPr>
              <w:t>$157</w:t>
            </w: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$394</w:t>
            </w:r>
          </w:p>
        </w:tc>
        <w:tc>
          <w:tcPr>
            <w:tcW w:w="80" w:type="dxa"/>
            <w:vAlign w:val="bottom"/>
          </w:tcPr>
          <w:p>
            <w:pPr>
              <w:spacing w:after="0"/>
              <w:rPr>
                <w:sz w:val="24"/>
                <w:szCs w:val="24"/>
                <w:color w:val="auto"/>
              </w:rPr>
            </w:pPr>
          </w:p>
        </w:tc>
      </w:tr>
      <w:tr>
        <w:trPr>
          <w:trHeight w:val="108"/>
        </w:trPr>
        <w:tc>
          <w:tcPr>
            <w:tcW w:w="72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460" w:right="40"/>
        <w:spacing w:after="0" w:line="258" w:lineRule="auto"/>
        <w:rPr>
          <w:sz w:val="20"/>
          <w:szCs w:val="20"/>
          <w:color w:val="auto"/>
        </w:rPr>
      </w:pPr>
      <w:r>
        <w:rPr>
          <w:rFonts w:ascii="Arial" w:cs="Arial" w:eastAsia="Arial" w:hAnsi="Arial"/>
          <w:sz w:val="21"/>
          <w:szCs w:val="21"/>
          <w:color w:val="auto"/>
        </w:rPr>
        <w:t>Proceeds from the sales of available for sale securities for the years ended December 31, 2003, 2002 and 2001 were $1.2 billion, $.87 billion and $.71 billion, respectively. Gross realized gains and losses on these sales for the years ended December 31, 2003, 2002 and 2001 were $27 million, ($48) million and $10 million, respectively.</w:t>
      </w:r>
    </w:p>
    <w:p>
      <w:pPr>
        <w:spacing w:after="0" w:line="194" w:lineRule="exact"/>
        <w:rPr>
          <w:sz w:val="20"/>
          <w:szCs w:val="20"/>
          <w:color w:val="auto"/>
        </w:rPr>
      </w:pPr>
    </w:p>
    <w:p>
      <w:pPr>
        <w:ind w:left="460" w:right="40"/>
        <w:spacing w:after="0" w:line="274" w:lineRule="auto"/>
        <w:rPr>
          <w:sz w:val="20"/>
          <w:szCs w:val="20"/>
          <w:color w:val="auto"/>
        </w:rPr>
      </w:pPr>
      <w:r>
        <w:rPr>
          <w:rFonts w:ascii="Arial" w:cs="Arial" w:eastAsia="Arial" w:hAnsi="Arial"/>
          <w:sz w:val="21"/>
          <w:szCs w:val="21"/>
          <w:color w:val="auto"/>
        </w:rPr>
        <w:t>Our investments in Microsoft and Vodafone and substantially all of our investment in Cablevision are accounted for as trading securities. We also hold a series of option agreements (the “Microsoft Collars” and “Vodaphone Collars”)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right="40"/>
        <w:spacing w:after="0" w:line="252" w:lineRule="auto"/>
        <w:rPr>
          <w:sz w:val="20"/>
          <w:szCs w:val="20"/>
          <w:color w:val="auto"/>
        </w:rPr>
      </w:pPr>
      <w:r>
        <w:rPr>
          <w:rFonts w:ascii="Arial" w:cs="Arial" w:eastAsia="Arial" w:hAnsi="Arial"/>
          <w:sz w:val="21"/>
          <w:szCs w:val="21"/>
          <w:color w:val="auto"/>
        </w:rPr>
        <w:t>with a single bank counterparty that limit our exposure to and benefits from price fluctuations in the Microsoft common stock and Vodafone ADRs. The Microsoft Collars and Vodafone Collars are recorded in investments at fair value, with unrealized gains or losses being recorded to investment income (loss), net. These unrealized gains or losses are substantially offset by the changes in the fair value of shares of Microsoft common stock and Vodafone ADRs.</w:t>
      </w:r>
    </w:p>
    <w:p>
      <w:pPr>
        <w:spacing w:after="0" w:line="201" w:lineRule="exact"/>
        <w:rPr>
          <w:sz w:val="20"/>
          <w:szCs w:val="20"/>
          <w:color w:val="auto"/>
        </w:rPr>
      </w:pPr>
    </w:p>
    <w:p>
      <w:pPr>
        <w:ind w:left="460" w:right="20"/>
        <w:spacing w:after="0" w:line="279" w:lineRule="auto"/>
        <w:rPr>
          <w:sz w:val="20"/>
          <w:szCs w:val="20"/>
          <w:color w:val="auto"/>
        </w:rPr>
      </w:pPr>
      <w:r>
        <w:rPr>
          <w:rFonts w:ascii="Arial" w:cs="Arial" w:eastAsia="Arial" w:hAnsi="Arial"/>
          <w:sz w:val="19"/>
          <w:szCs w:val="19"/>
          <w:color w:val="auto"/>
        </w:rPr>
        <w:t>The Liberty Notes and shares of Liberty common stock received in the sale of QVC have been registered with the SEC pursuant to the sale agreement. During 2003, we sold all $4.0 billion principal amount of the Liberty Notes for net proceeds of approximately $4.0 billion. In December 2003, we entered into a ten year prepaid forward sale of 100 million shares of Liberty common stock and we received $894 million in cash. At maturity, the counterparty is entitled to receive between 71 million and 100 million shares of Liberty common stock, or an equivalent amount of cash at our option, based upon the market value of Liberty common stock at the time. The shares of Liberty common stock are classified as trading securities.</w:t>
      </w:r>
    </w:p>
    <w:p>
      <w:pPr>
        <w:spacing w:after="0" w:line="178" w:lineRule="exact"/>
        <w:rPr>
          <w:sz w:val="20"/>
          <w:szCs w:val="20"/>
          <w:color w:val="auto"/>
        </w:rPr>
      </w:pPr>
    </w:p>
    <w:p>
      <w:pPr>
        <w:ind w:left="460" w:right="120"/>
        <w:spacing w:after="0" w:line="238" w:lineRule="auto"/>
        <w:rPr>
          <w:sz w:val="20"/>
          <w:szCs w:val="20"/>
          <w:color w:val="auto"/>
        </w:rPr>
      </w:pPr>
      <w:r>
        <w:rPr>
          <w:rFonts w:ascii="Arial" w:cs="Arial" w:eastAsia="Arial" w:hAnsi="Arial"/>
          <w:sz w:val="22"/>
          <w:szCs w:val="22"/>
          <w:color w:val="auto"/>
        </w:rPr>
        <w:t>In August 2001, we entered into a ten year prepaid forward sale of 4.0 million shares of Sprint PCS common stock and we received $78 million in cash. At maturity, the counterparty is entitled to receive between 2.5 million and 4.0 million shares of Sprint PCS common stock, or an equivalent amount of cash at our option, based upon the market value of Sprint PCS common stock at that time.</w:t>
      </w:r>
    </w:p>
    <w:p>
      <w:pPr>
        <w:spacing w:after="0" w:line="212" w:lineRule="exact"/>
        <w:rPr>
          <w:sz w:val="20"/>
          <w:szCs w:val="20"/>
          <w:color w:val="auto"/>
        </w:rPr>
      </w:pPr>
    </w:p>
    <w:p>
      <w:pPr>
        <w:ind w:left="460"/>
        <w:spacing w:after="0" w:line="258" w:lineRule="auto"/>
        <w:rPr>
          <w:sz w:val="20"/>
          <w:szCs w:val="20"/>
          <w:color w:val="auto"/>
        </w:rPr>
      </w:pPr>
      <w:r>
        <w:rPr>
          <w:rFonts w:ascii="Arial" w:cs="Arial" w:eastAsia="Arial" w:hAnsi="Arial"/>
          <w:sz w:val="21"/>
          <w:szCs w:val="21"/>
          <w:color w:val="auto"/>
        </w:rPr>
        <w:t>We separated both of the prepaid forward sales into their liability and derivative components and recorded both components of the prepaid forward sales obligations to other long-term liabilities. We record the change in the fair value of the derivative component and the accretion of the liability component to investment income (loss), net.</w:t>
      </w:r>
    </w:p>
    <w:p>
      <w:pPr>
        <w:spacing w:after="0" w:line="194" w:lineRule="exact"/>
        <w:rPr>
          <w:sz w:val="20"/>
          <w:szCs w:val="20"/>
          <w:color w:val="auto"/>
        </w:rPr>
      </w:pPr>
    </w:p>
    <w:p>
      <w:pPr>
        <w:ind w:left="460" w:right="180"/>
        <w:spacing w:after="0" w:line="238" w:lineRule="auto"/>
        <w:rPr>
          <w:sz w:val="20"/>
          <w:szCs w:val="20"/>
          <w:color w:val="auto"/>
        </w:rPr>
      </w:pPr>
      <w:r>
        <w:rPr>
          <w:rFonts w:ascii="Arial" w:cs="Arial" w:eastAsia="Arial" w:hAnsi="Arial"/>
          <w:sz w:val="22"/>
          <w:szCs w:val="22"/>
          <w:color w:val="auto"/>
        </w:rPr>
        <w:t>We reclassified our investment in Sprint PCS from an available for sale security to a trading security in connection with the adoption of SFAS No. 133 in 2001. In connection with this reclassification, we recorded to investment income (loss), net the accumulated unrealized gain of $1.092 billion on our investment in Sprint PCS, which was previously recorded as a component of accumulated other comprehensive income (loss).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Equity Method</w:t>
      </w:r>
    </w:p>
    <w:p>
      <w:pPr>
        <w:spacing w:after="0" w:line="8" w:lineRule="exact"/>
        <w:rPr>
          <w:sz w:val="20"/>
          <w:szCs w:val="20"/>
          <w:color w:val="auto"/>
        </w:rPr>
      </w:pPr>
    </w:p>
    <w:p>
      <w:pPr>
        <w:ind w:left="460" w:right="300"/>
        <w:spacing w:after="0" w:line="308" w:lineRule="auto"/>
        <w:rPr>
          <w:sz w:val="20"/>
          <w:szCs w:val="20"/>
          <w:color w:val="auto"/>
        </w:rPr>
      </w:pPr>
      <w:r>
        <w:rPr>
          <w:rFonts w:ascii="Arial" w:cs="Arial" w:eastAsia="Arial" w:hAnsi="Arial"/>
          <w:sz w:val="19"/>
          <w:szCs w:val="19"/>
          <w:color w:val="auto"/>
        </w:rPr>
        <w:t>Our recorded investments exceed our proportionate interests in the book value of the investees’ net assets by $1.696 billion and $1.623 billion as of December 31, 2003 and 2002, respectively (principally related to our 50% owned investments in</w:t>
      </w:r>
    </w:p>
    <w:p>
      <w:pPr>
        <w:sectPr>
          <w:pgSz w:w="11900" w:h="16928" w:orient="portrait"/>
          <w:cols w:equalWidth="0" w:num="1">
            <w:col w:w="11420"/>
          </w:cols>
          <w:pgMar w:left="240" w:top="496" w:right="239" w:bottom="0" w:gutter="0" w:footer="0" w:header="0"/>
        </w:sectPr>
      </w:pPr>
    </w:p>
    <w:bookmarkStart w:id="79" w:name="page80"/>
    <w:bookmarkEnd w:id="79"/>
    <w:p>
      <w:pPr>
        <w:ind w:left="460" w:right="60"/>
        <w:spacing w:after="0" w:line="282" w:lineRule="auto"/>
        <w:rPr>
          <w:sz w:val="20"/>
          <w:szCs w:val="20"/>
          <w:color w:val="auto"/>
        </w:rPr>
      </w:pPr>
      <w:r>
        <w:rPr>
          <w:rFonts w:ascii="Arial" w:cs="Arial" w:eastAsia="Arial" w:hAnsi="Arial"/>
          <w:sz w:val="19"/>
          <w:szCs w:val="19"/>
          <w:color w:val="auto"/>
        </w:rPr>
        <w:t>Texas Cable Partners, Kansas City Cable Partners and Insight Midwest). A portion of this basis difference has been attributed to franchise related customer relationships of the investees. This difference is amortized to equity in net income or loss of affiliates over a period of four years. As a result of the adoption of SFAS No. 142, we do not amortize the portion of the basis difference attributable to goodwill but will continue to test such excess for impairment in accordance with APB Opinion 18, “The Equity Method of Accounting for Investments in Common Stock.”</w:t>
      </w:r>
    </w:p>
    <w:p>
      <w:pPr>
        <w:spacing w:after="0" w:line="175" w:lineRule="exact"/>
        <w:rPr>
          <w:sz w:val="20"/>
          <w:szCs w:val="20"/>
          <w:color w:val="auto"/>
        </w:rPr>
      </w:pPr>
    </w:p>
    <w:p>
      <w:pPr>
        <w:jc w:val="both"/>
        <w:ind w:left="460" w:right="400"/>
        <w:spacing w:after="0" w:line="328" w:lineRule="auto"/>
        <w:rPr>
          <w:sz w:val="20"/>
          <w:szCs w:val="20"/>
          <w:color w:val="auto"/>
        </w:rPr>
      </w:pPr>
      <w:r>
        <w:rPr>
          <w:rFonts w:ascii="Arial" w:cs="Arial" w:eastAsia="Arial" w:hAnsi="Arial"/>
          <w:sz w:val="19"/>
          <w:szCs w:val="19"/>
          <w:color w:val="auto"/>
        </w:rPr>
        <w:t>Equity in net losses of affiliates for the year ended December 31, 2002 includes impairment losses of $31 million, related principally to other than temporary declines in our investments in and advances to certain of our equity method investees.</w:t>
      </w: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right="460"/>
        <w:spacing w:after="0" w:line="251" w:lineRule="auto"/>
        <w:rPr>
          <w:sz w:val="20"/>
          <w:szCs w:val="20"/>
          <w:color w:val="auto"/>
        </w:rPr>
      </w:pPr>
      <w:r>
        <w:rPr>
          <w:rFonts w:ascii="Arial" w:cs="Arial" w:eastAsia="Arial" w:hAnsi="Arial"/>
          <w:sz w:val="22"/>
          <w:szCs w:val="22"/>
          <w:color w:val="auto"/>
        </w:rPr>
        <w:t>Summarized financial information for investments deemed significant and accounted for under the equity method was as follows (amounts in millions):</w:t>
      </w:r>
    </w:p>
    <w:p>
      <w:pPr>
        <w:spacing w:after="0" w:line="190" w:lineRule="exact"/>
        <w:rPr>
          <w:sz w:val="20"/>
          <w:szCs w:val="20"/>
          <w:color w:val="auto"/>
        </w:rPr>
      </w:pPr>
    </w:p>
    <w:tbl>
      <w:tblPr>
        <w:tblLayout w:type="fixed"/>
        <w:tblInd w:w="280" w:type="dxa"/>
        <w:tblCellMar>
          <w:top w:w="0" w:type="dxa"/>
          <w:left w:w="0" w:type="dxa"/>
          <w:bottom w:w="0" w:type="dxa"/>
          <w:right w:w="0" w:type="dxa"/>
        </w:tblCellMar>
      </w:tblPr>
      <w:tr>
        <w:trPr>
          <w:trHeight w:val="253"/>
        </w:trPr>
        <w:tc>
          <w:tcPr>
            <w:tcW w:w="446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1"/>
              </w:rPr>
              <w:t>(A) GSI Commerce,</w:t>
            </w:r>
          </w:p>
        </w:tc>
        <w:tc>
          <w:tcPr>
            <w:tcW w:w="10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5"/>
        </w:trPr>
        <w:tc>
          <w:tcPr>
            <w:tcW w:w="4460" w:type="dxa"/>
            <w:vAlign w:val="bottom"/>
          </w:tcPr>
          <w:p>
            <w:pPr>
              <w:spacing w:after="0"/>
              <w:rPr>
                <w:sz w:val="23"/>
                <w:szCs w:val="23"/>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0"/>
              </w:rPr>
              <w:t>Inc.</w:t>
            </w:r>
          </w:p>
        </w:tc>
        <w:tc>
          <w:tcPr>
            <w:tcW w:w="1020" w:type="dxa"/>
            <w:vAlign w:val="bottom"/>
          </w:tcPr>
          <w:p>
            <w:pPr>
              <w:spacing w:after="0"/>
              <w:rPr>
                <w:sz w:val="23"/>
                <w:szCs w:val="23"/>
                <w:color w:val="auto"/>
              </w:rPr>
            </w:pPr>
          </w:p>
        </w:tc>
        <w:tc>
          <w:tcPr>
            <w:tcW w:w="2220" w:type="dxa"/>
            <w:vAlign w:val="bottom"/>
            <w:gridSpan w:val="3"/>
          </w:tcPr>
          <w:p>
            <w:pPr>
              <w:jc w:val="right"/>
              <w:spacing w:after="0"/>
              <w:rPr>
                <w:sz w:val="20"/>
                <w:szCs w:val="20"/>
                <w:color w:val="auto"/>
              </w:rPr>
            </w:pPr>
            <w:r>
              <w:rPr>
                <w:rFonts w:ascii="Arial" w:cs="Arial" w:eastAsia="Arial" w:hAnsi="Arial"/>
                <w:sz w:val="22"/>
                <w:szCs w:val="22"/>
                <w:color w:val="auto"/>
                <w:w w:val="88"/>
              </w:rPr>
              <w:t>Broadnet Consorcio, S.A.</w:t>
            </w:r>
          </w:p>
        </w:tc>
      </w:tr>
      <w:tr>
        <w:trPr>
          <w:trHeight w:val="98"/>
        </w:trPr>
        <w:tc>
          <w:tcPr>
            <w:tcW w:w="4460" w:type="dxa"/>
            <w:vAlign w:val="bottom"/>
          </w:tcPr>
          <w:p>
            <w:pPr>
              <w:spacing w:after="0"/>
              <w:rPr>
                <w:sz w:val="8"/>
                <w:szCs w:val="8"/>
                <w:color w:val="auto"/>
              </w:rPr>
            </w:pPr>
          </w:p>
        </w:tc>
        <w:tc>
          <w:tcPr>
            <w:tcW w:w="2080" w:type="dxa"/>
            <w:vAlign w:val="bottom"/>
            <w:tcBorders>
              <w:bottom w:val="single" w:sz="8" w:color="808080"/>
            </w:tcBorders>
          </w:tcPr>
          <w:p>
            <w:pPr>
              <w:spacing w:after="0"/>
              <w:rPr>
                <w:sz w:val="8"/>
                <w:szCs w:val="8"/>
                <w:color w:val="auto"/>
              </w:rPr>
            </w:pPr>
          </w:p>
        </w:tc>
        <w:tc>
          <w:tcPr>
            <w:tcW w:w="10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gridSpan w:val="2"/>
          </w:tcPr>
          <w:p>
            <w:pPr>
              <w:spacing w:after="0"/>
              <w:rPr>
                <w:sz w:val="8"/>
                <w:szCs w:val="8"/>
                <w:color w:val="auto"/>
              </w:rPr>
            </w:pPr>
          </w:p>
        </w:tc>
      </w:tr>
      <w:tr>
        <w:trPr>
          <w:trHeight w:val="323"/>
        </w:trPr>
        <w:tc>
          <w:tcPr>
            <w:tcW w:w="44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86"/>
              </w:rPr>
              <w:t>December 31,</w:t>
            </w:r>
          </w:p>
        </w:tc>
        <w:tc>
          <w:tcPr>
            <w:tcW w:w="1020" w:type="dxa"/>
            <w:vAlign w:val="bottom"/>
          </w:tcPr>
          <w:p>
            <w:pPr>
              <w:spacing w:after="0"/>
              <w:rPr>
                <w:sz w:val="24"/>
                <w:szCs w:val="24"/>
                <w:color w:val="auto"/>
              </w:rPr>
            </w:pPr>
          </w:p>
        </w:tc>
        <w:tc>
          <w:tcPr>
            <w:tcW w:w="2220" w:type="dxa"/>
            <w:vAlign w:val="bottom"/>
            <w:gridSpan w:val="3"/>
          </w:tcPr>
          <w:p>
            <w:pPr>
              <w:jc w:val="right"/>
              <w:ind w:right="392"/>
              <w:spacing w:after="0"/>
              <w:rPr>
                <w:sz w:val="20"/>
                <w:szCs w:val="20"/>
                <w:color w:val="auto"/>
              </w:rPr>
            </w:pPr>
            <w:r>
              <w:rPr>
                <w:rFonts w:ascii="Arial" w:cs="Arial" w:eastAsia="Arial" w:hAnsi="Arial"/>
                <w:sz w:val="22"/>
                <w:szCs w:val="22"/>
                <w:color w:val="auto"/>
              </w:rPr>
              <w:t>December 31,</w:t>
            </w:r>
          </w:p>
        </w:tc>
      </w:tr>
      <w:tr>
        <w:trPr>
          <w:trHeight w:val="275"/>
        </w:trPr>
        <w:tc>
          <w:tcPr>
            <w:tcW w:w="4460" w:type="dxa"/>
            <w:vAlign w:val="bottom"/>
          </w:tcPr>
          <w:p>
            <w:pPr>
              <w:spacing w:after="0"/>
              <w:rPr>
                <w:sz w:val="23"/>
                <w:szCs w:val="23"/>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89"/>
              </w:rPr>
              <w:t>2002</w:t>
            </w:r>
          </w:p>
        </w:tc>
        <w:tc>
          <w:tcPr>
            <w:tcW w:w="1840" w:type="dxa"/>
            <w:vAlign w:val="bottom"/>
            <w:gridSpan w:val="2"/>
          </w:tcPr>
          <w:p>
            <w:pPr>
              <w:jc w:val="right"/>
              <w:ind w:right="92"/>
              <w:spacing w:after="0"/>
              <w:rPr>
                <w:sz w:val="20"/>
                <w:szCs w:val="20"/>
                <w:color w:val="auto"/>
              </w:rPr>
            </w:pPr>
            <w:r>
              <w:rPr>
                <w:rFonts w:ascii="Arial" w:cs="Arial" w:eastAsia="Arial" w:hAnsi="Arial"/>
                <w:sz w:val="22"/>
                <w:szCs w:val="22"/>
                <w:color w:val="auto"/>
              </w:rPr>
              <w:t>2003</w:t>
            </w:r>
          </w:p>
        </w:tc>
        <w:tc>
          <w:tcPr>
            <w:tcW w:w="60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22"/>
                <w:szCs w:val="22"/>
                <w:color w:val="auto"/>
              </w:rPr>
              <w:t>2002</w:t>
            </w:r>
          </w:p>
        </w:tc>
      </w:tr>
      <w:tr>
        <w:trPr>
          <w:trHeight w:val="98"/>
        </w:trPr>
        <w:tc>
          <w:tcPr>
            <w:tcW w:w="4460" w:type="dxa"/>
            <w:vAlign w:val="bottom"/>
          </w:tcPr>
          <w:p>
            <w:pPr>
              <w:spacing w:after="0"/>
              <w:rPr>
                <w:sz w:val="8"/>
                <w:szCs w:val="8"/>
                <w:color w:val="auto"/>
              </w:rPr>
            </w:pPr>
          </w:p>
        </w:tc>
        <w:tc>
          <w:tcPr>
            <w:tcW w:w="2080" w:type="dxa"/>
            <w:vAlign w:val="bottom"/>
            <w:tcBorders>
              <w:bottom w:val="single" w:sz="8" w:color="808080"/>
            </w:tcBorders>
          </w:tcPr>
          <w:p>
            <w:pPr>
              <w:spacing w:after="0"/>
              <w:rPr>
                <w:sz w:val="8"/>
                <w:szCs w:val="8"/>
                <w:color w:val="auto"/>
              </w:rPr>
            </w:pPr>
          </w:p>
        </w:tc>
        <w:tc>
          <w:tcPr>
            <w:tcW w:w="10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r>
      <w:tr>
        <w:trPr>
          <w:trHeight w:val="566"/>
        </w:trPr>
        <w:tc>
          <w:tcPr>
            <w:tcW w:w="4460" w:type="dxa"/>
            <w:vAlign w:val="bottom"/>
          </w:tcPr>
          <w:p>
            <w:pPr>
              <w:spacing w:after="0"/>
              <w:rPr>
                <w:sz w:val="20"/>
                <w:szCs w:val="20"/>
                <w:color w:val="auto"/>
              </w:rPr>
            </w:pPr>
            <w:r>
              <w:rPr>
                <w:rFonts w:ascii="Arial" w:cs="Arial" w:eastAsia="Arial" w:hAnsi="Arial"/>
                <w:sz w:val="22"/>
                <w:szCs w:val="22"/>
                <w:color w:val="auto"/>
              </w:rPr>
              <w:t>Current assets</w:t>
            </w:r>
          </w:p>
        </w:tc>
        <w:tc>
          <w:tcPr>
            <w:tcW w:w="2080" w:type="dxa"/>
            <w:vAlign w:val="bottom"/>
          </w:tcPr>
          <w:p>
            <w:pPr>
              <w:jc w:val="right"/>
              <w:ind w:right="392"/>
              <w:spacing w:after="0"/>
              <w:rPr>
                <w:sz w:val="20"/>
                <w:szCs w:val="20"/>
                <w:color w:val="auto"/>
              </w:rPr>
            </w:pPr>
            <w:r>
              <w:rPr>
                <w:rFonts w:ascii="Arial" w:cs="Arial" w:eastAsia="Arial" w:hAnsi="Arial"/>
                <w:sz w:val="22"/>
                <w:szCs w:val="22"/>
                <w:color w:val="auto"/>
              </w:rPr>
              <w:t>$105</w:t>
            </w:r>
          </w:p>
        </w:tc>
        <w:tc>
          <w:tcPr>
            <w:tcW w:w="2440" w:type="dxa"/>
            <w:vAlign w:val="bottom"/>
            <w:gridSpan w:val="3"/>
          </w:tcPr>
          <w:p>
            <w:pPr>
              <w:jc w:val="right"/>
              <w:ind w:right="600"/>
              <w:spacing w:after="0"/>
              <w:rPr>
                <w:sz w:val="20"/>
                <w:szCs w:val="20"/>
                <w:color w:val="auto"/>
              </w:rPr>
            </w:pPr>
            <w:r>
              <w:rPr>
                <w:rFonts w:ascii="Arial" w:cs="Arial" w:eastAsia="Arial" w:hAnsi="Arial"/>
                <w:sz w:val="22"/>
                <w:szCs w:val="22"/>
                <w:color w:val="auto"/>
              </w:rPr>
              <w:t>$3</w:t>
            </w:r>
          </w:p>
        </w:tc>
        <w:tc>
          <w:tcPr>
            <w:tcW w:w="8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43"/>
        </w:trPr>
        <w:tc>
          <w:tcPr>
            <w:tcW w:w="4460" w:type="dxa"/>
            <w:vAlign w:val="bottom"/>
          </w:tcPr>
          <w:p>
            <w:pPr>
              <w:spacing w:after="0" w:line="243" w:lineRule="exact"/>
              <w:rPr>
                <w:sz w:val="20"/>
                <w:szCs w:val="20"/>
                <w:color w:val="auto"/>
              </w:rPr>
            </w:pPr>
            <w:r>
              <w:rPr>
                <w:rFonts w:ascii="Arial" w:cs="Arial" w:eastAsia="Arial" w:hAnsi="Arial"/>
                <w:sz w:val="22"/>
                <w:szCs w:val="22"/>
                <w:color w:val="auto"/>
              </w:rPr>
              <w:t>Noncurrent assets</w:t>
            </w:r>
          </w:p>
        </w:tc>
        <w:tc>
          <w:tcPr>
            <w:tcW w:w="2080" w:type="dxa"/>
            <w:vAlign w:val="bottom"/>
          </w:tcPr>
          <w:p>
            <w:pPr>
              <w:jc w:val="right"/>
              <w:ind w:right="392"/>
              <w:spacing w:after="0" w:line="243" w:lineRule="exact"/>
              <w:rPr>
                <w:sz w:val="20"/>
                <w:szCs w:val="20"/>
                <w:color w:val="auto"/>
              </w:rPr>
            </w:pPr>
            <w:r>
              <w:rPr>
                <w:rFonts w:ascii="Arial" w:cs="Arial" w:eastAsia="Arial" w:hAnsi="Arial"/>
                <w:sz w:val="22"/>
                <w:szCs w:val="22"/>
                <w:color w:val="auto"/>
              </w:rPr>
              <w:t>83</w:t>
            </w:r>
          </w:p>
        </w:tc>
        <w:tc>
          <w:tcPr>
            <w:tcW w:w="2440" w:type="dxa"/>
            <w:vAlign w:val="bottom"/>
            <w:gridSpan w:val="3"/>
          </w:tcPr>
          <w:p>
            <w:pPr>
              <w:jc w:val="right"/>
              <w:ind w:right="600"/>
              <w:spacing w:after="0" w:line="243" w:lineRule="exact"/>
              <w:rPr>
                <w:sz w:val="20"/>
                <w:szCs w:val="20"/>
                <w:color w:val="auto"/>
              </w:rPr>
            </w:pPr>
            <w:r>
              <w:rPr>
                <w:rFonts w:ascii="Arial" w:cs="Arial" w:eastAsia="Arial" w:hAnsi="Arial"/>
                <w:sz w:val="22"/>
                <w:szCs w:val="22"/>
                <w:color w:val="auto"/>
              </w:rPr>
              <w:t>42</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4460" w:type="dxa"/>
            <w:vAlign w:val="bottom"/>
          </w:tcPr>
          <w:p>
            <w:pPr>
              <w:spacing w:after="0" w:line="243" w:lineRule="exact"/>
              <w:rPr>
                <w:sz w:val="20"/>
                <w:szCs w:val="20"/>
                <w:color w:val="auto"/>
              </w:rPr>
            </w:pPr>
            <w:r>
              <w:rPr>
                <w:rFonts w:ascii="Arial" w:cs="Arial" w:eastAsia="Arial" w:hAnsi="Arial"/>
                <w:sz w:val="22"/>
                <w:szCs w:val="22"/>
                <w:color w:val="auto"/>
              </w:rPr>
              <w:t>Current liabilities</w:t>
            </w:r>
          </w:p>
        </w:tc>
        <w:tc>
          <w:tcPr>
            <w:tcW w:w="2080" w:type="dxa"/>
            <w:vAlign w:val="bottom"/>
          </w:tcPr>
          <w:p>
            <w:pPr>
              <w:jc w:val="right"/>
              <w:ind w:right="392"/>
              <w:spacing w:after="0" w:line="243" w:lineRule="exact"/>
              <w:rPr>
                <w:sz w:val="20"/>
                <w:szCs w:val="20"/>
                <w:color w:val="auto"/>
              </w:rPr>
            </w:pPr>
            <w:r>
              <w:rPr>
                <w:rFonts w:ascii="Arial" w:cs="Arial" w:eastAsia="Arial" w:hAnsi="Arial"/>
                <w:sz w:val="22"/>
                <w:szCs w:val="22"/>
                <w:color w:val="auto"/>
              </w:rPr>
              <w:t>67</w:t>
            </w:r>
          </w:p>
        </w:tc>
        <w:tc>
          <w:tcPr>
            <w:tcW w:w="2440" w:type="dxa"/>
            <w:vAlign w:val="bottom"/>
            <w:gridSpan w:val="3"/>
          </w:tcPr>
          <w:p>
            <w:pPr>
              <w:jc w:val="right"/>
              <w:ind w:right="600"/>
              <w:spacing w:after="0" w:line="243" w:lineRule="exact"/>
              <w:rPr>
                <w:sz w:val="20"/>
                <w:szCs w:val="20"/>
                <w:color w:val="auto"/>
              </w:rPr>
            </w:pPr>
            <w:r>
              <w:rPr>
                <w:rFonts w:ascii="Arial" w:cs="Arial" w:eastAsia="Arial" w:hAnsi="Arial"/>
                <w:sz w:val="22"/>
                <w:szCs w:val="22"/>
                <w:color w:val="auto"/>
              </w:rPr>
              <w:t>37</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75"/>
        </w:trPr>
        <w:tc>
          <w:tcPr>
            <w:tcW w:w="4460" w:type="dxa"/>
            <w:vAlign w:val="bottom"/>
          </w:tcPr>
          <w:p>
            <w:pPr>
              <w:spacing w:after="0"/>
              <w:rPr>
                <w:sz w:val="20"/>
                <w:szCs w:val="20"/>
                <w:color w:val="auto"/>
              </w:rPr>
            </w:pPr>
            <w:r>
              <w:rPr>
                <w:rFonts w:ascii="Arial" w:cs="Arial" w:eastAsia="Arial" w:hAnsi="Arial"/>
                <w:sz w:val="22"/>
                <w:szCs w:val="22"/>
                <w:color w:val="auto"/>
              </w:rPr>
              <w:t>Noncurrent liabilities</w:t>
            </w:r>
          </w:p>
        </w:tc>
        <w:tc>
          <w:tcPr>
            <w:tcW w:w="2080" w:type="dxa"/>
            <w:vAlign w:val="bottom"/>
          </w:tcPr>
          <w:p>
            <w:pPr>
              <w:jc w:val="right"/>
              <w:ind w:right="392"/>
              <w:spacing w:after="0"/>
              <w:rPr>
                <w:sz w:val="20"/>
                <w:szCs w:val="20"/>
                <w:color w:val="auto"/>
              </w:rPr>
            </w:pPr>
            <w:r>
              <w:rPr>
                <w:rFonts w:ascii="Arial" w:cs="Arial" w:eastAsia="Arial" w:hAnsi="Arial"/>
                <w:sz w:val="22"/>
                <w:szCs w:val="22"/>
                <w:color w:val="auto"/>
              </w:rPr>
              <w:t>0</w:t>
            </w:r>
          </w:p>
        </w:tc>
        <w:tc>
          <w:tcPr>
            <w:tcW w:w="2440" w:type="dxa"/>
            <w:vAlign w:val="bottom"/>
            <w:gridSpan w:val="3"/>
          </w:tcPr>
          <w:p>
            <w:pPr>
              <w:jc w:val="right"/>
              <w:ind w:right="600"/>
              <w:spacing w:after="0"/>
              <w:rPr>
                <w:sz w:val="20"/>
                <w:szCs w:val="20"/>
                <w:color w:val="auto"/>
              </w:rPr>
            </w:pPr>
            <w:r>
              <w:rPr>
                <w:rFonts w:ascii="Arial" w:cs="Arial" w:eastAsia="Arial" w:hAnsi="Arial"/>
                <w:sz w:val="22"/>
                <w:szCs w:val="22"/>
                <w:color w:val="auto"/>
              </w:rPr>
              <w:t>34</w:t>
            </w:r>
          </w:p>
        </w:tc>
        <w:tc>
          <w:tcPr>
            <w:tcW w:w="800" w:type="dxa"/>
            <w:vAlign w:val="bottom"/>
          </w:tcPr>
          <w:p>
            <w:pPr>
              <w:jc w:val="right"/>
              <w:spacing w:after="0"/>
              <w:rPr>
                <w:sz w:val="20"/>
                <w:szCs w:val="20"/>
                <w:color w:val="auto"/>
              </w:rPr>
            </w:pPr>
            <w:r>
              <w:rPr>
                <w:rFonts w:ascii="Arial" w:cs="Arial" w:eastAsia="Arial" w:hAnsi="Arial"/>
                <w:sz w:val="22"/>
                <w:szCs w:val="22"/>
                <w:color w:val="auto"/>
              </w:rPr>
              <w:t>25</w:t>
            </w:r>
          </w:p>
        </w:tc>
      </w:tr>
    </w:tbl>
    <w:p>
      <w:pPr>
        <w:spacing w:after="0" w:line="212" w:lineRule="exact"/>
        <w:rPr>
          <w:sz w:val="20"/>
          <w:szCs w:val="20"/>
          <w:color w:val="auto"/>
        </w:rPr>
      </w:pPr>
    </w:p>
    <w:tbl>
      <w:tblPr>
        <w:tblLayout w:type="fixed"/>
        <w:tblInd w:w="280" w:type="dxa"/>
        <w:tblCellMar>
          <w:top w:w="0" w:type="dxa"/>
          <w:left w:w="0" w:type="dxa"/>
          <w:bottom w:w="0" w:type="dxa"/>
          <w:right w:w="0" w:type="dxa"/>
        </w:tblCellMar>
      </w:tblPr>
      <w:tr>
        <w:trPr>
          <w:trHeight w:val="275"/>
        </w:trPr>
        <w:tc>
          <w:tcPr>
            <w:tcW w:w="4680" w:type="dxa"/>
            <w:vAlign w:val="bottom"/>
          </w:tcPr>
          <w:p>
            <w:pPr>
              <w:spacing w:after="0"/>
              <w:rPr>
                <w:sz w:val="23"/>
                <w:szCs w:val="23"/>
                <w:color w:val="auto"/>
              </w:rPr>
            </w:pPr>
          </w:p>
        </w:tc>
        <w:tc>
          <w:tcPr>
            <w:tcW w:w="2760" w:type="dxa"/>
            <w:vAlign w:val="bottom"/>
            <w:gridSpan w:val="6"/>
          </w:tcPr>
          <w:p>
            <w:pPr>
              <w:jc w:val="center"/>
              <w:ind w:right="420"/>
              <w:spacing w:after="0"/>
              <w:rPr>
                <w:sz w:val="20"/>
                <w:szCs w:val="20"/>
                <w:color w:val="auto"/>
              </w:rPr>
            </w:pPr>
            <w:r>
              <w:rPr>
                <w:rFonts w:ascii="Arial" w:cs="Arial" w:eastAsia="Arial" w:hAnsi="Arial"/>
                <w:sz w:val="22"/>
                <w:szCs w:val="22"/>
                <w:color w:val="auto"/>
                <w:w w:val="91"/>
              </w:rPr>
              <w:t>(A) GSI Commerce, Inc.</w:t>
            </w:r>
          </w:p>
        </w:tc>
        <w:tc>
          <w:tcPr>
            <w:tcW w:w="2420" w:type="dxa"/>
            <w:vAlign w:val="bottom"/>
            <w:gridSpan w:val="6"/>
          </w:tcPr>
          <w:p>
            <w:pPr>
              <w:jc w:val="center"/>
              <w:ind w:right="80"/>
              <w:spacing w:after="0"/>
              <w:rPr>
                <w:sz w:val="20"/>
                <w:szCs w:val="20"/>
                <w:color w:val="auto"/>
              </w:rPr>
            </w:pPr>
            <w:r>
              <w:rPr>
                <w:rFonts w:ascii="Arial" w:cs="Arial" w:eastAsia="Arial" w:hAnsi="Arial"/>
                <w:sz w:val="22"/>
                <w:szCs w:val="22"/>
                <w:color w:val="auto"/>
                <w:w w:val="89"/>
              </w:rPr>
              <w:t>Broadnet Consorcio, S.A.</w:t>
            </w:r>
          </w:p>
        </w:tc>
      </w:tr>
      <w:tr>
        <w:trPr>
          <w:trHeight w:val="98"/>
        </w:trPr>
        <w:tc>
          <w:tcPr>
            <w:tcW w:w="46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900" w:type="dxa"/>
            <w:vAlign w:val="bottom"/>
            <w:tcBorders>
              <w:bottom w:val="single" w:sz="8" w:color="808080"/>
            </w:tcBorders>
            <w:gridSpan w:val="2"/>
          </w:tcPr>
          <w:p>
            <w:pPr>
              <w:spacing w:after="0"/>
              <w:rPr>
                <w:sz w:val="8"/>
                <w:szCs w:val="8"/>
                <w:color w:val="auto"/>
              </w:rPr>
            </w:pPr>
          </w:p>
        </w:tc>
        <w:tc>
          <w:tcPr>
            <w:tcW w:w="80" w:type="dxa"/>
            <w:vAlign w:val="bottom"/>
          </w:tcPr>
          <w:p>
            <w:pPr>
              <w:spacing w:after="0"/>
              <w:rPr>
                <w:sz w:val="8"/>
                <w:szCs w:val="8"/>
                <w:color w:val="auto"/>
              </w:rPr>
            </w:pPr>
          </w:p>
        </w:tc>
      </w:tr>
      <w:tr>
        <w:trPr>
          <w:trHeight w:val="323"/>
        </w:trPr>
        <w:tc>
          <w:tcPr>
            <w:tcW w:w="4680" w:type="dxa"/>
            <w:vAlign w:val="bottom"/>
          </w:tcPr>
          <w:p>
            <w:pPr>
              <w:spacing w:after="0"/>
              <w:rPr>
                <w:sz w:val="24"/>
                <w:szCs w:val="24"/>
                <w:color w:val="auto"/>
              </w:rPr>
            </w:pPr>
          </w:p>
        </w:tc>
        <w:tc>
          <w:tcPr>
            <w:tcW w:w="2760" w:type="dxa"/>
            <w:vAlign w:val="bottom"/>
            <w:gridSpan w:val="6"/>
          </w:tcPr>
          <w:p>
            <w:pPr>
              <w:jc w:val="center"/>
              <w:ind w:right="420"/>
              <w:spacing w:after="0"/>
              <w:rPr>
                <w:sz w:val="20"/>
                <w:szCs w:val="20"/>
                <w:color w:val="auto"/>
              </w:rPr>
            </w:pPr>
            <w:r>
              <w:rPr>
                <w:rFonts w:ascii="Arial" w:cs="Arial" w:eastAsia="Arial" w:hAnsi="Arial"/>
                <w:sz w:val="22"/>
                <w:szCs w:val="22"/>
                <w:color w:val="auto"/>
                <w:w w:val="86"/>
              </w:rPr>
              <w:t>For the years ended</w:t>
            </w:r>
          </w:p>
        </w:tc>
        <w:tc>
          <w:tcPr>
            <w:tcW w:w="2420" w:type="dxa"/>
            <w:vAlign w:val="bottom"/>
            <w:gridSpan w:val="6"/>
          </w:tcPr>
          <w:p>
            <w:pPr>
              <w:jc w:val="center"/>
              <w:ind w:right="80"/>
              <w:spacing w:after="0"/>
              <w:rPr>
                <w:sz w:val="20"/>
                <w:szCs w:val="20"/>
                <w:color w:val="auto"/>
              </w:rPr>
            </w:pPr>
            <w:r>
              <w:rPr>
                <w:rFonts w:ascii="Arial" w:cs="Arial" w:eastAsia="Arial" w:hAnsi="Arial"/>
                <w:sz w:val="22"/>
                <w:szCs w:val="22"/>
                <w:color w:val="auto"/>
                <w:w w:val="86"/>
              </w:rPr>
              <w:t>For the years ended</w:t>
            </w:r>
          </w:p>
        </w:tc>
      </w:tr>
      <w:tr>
        <w:trPr>
          <w:trHeight w:val="243"/>
        </w:trPr>
        <w:tc>
          <w:tcPr>
            <w:tcW w:w="4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gridSpan w:val="3"/>
          </w:tcPr>
          <w:p>
            <w:pPr>
              <w:jc w:val="center"/>
              <w:ind w:right="20"/>
              <w:spacing w:after="0" w:line="243" w:lineRule="exact"/>
              <w:rPr>
                <w:sz w:val="20"/>
                <w:szCs w:val="20"/>
                <w:color w:val="auto"/>
              </w:rPr>
            </w:pPr>
            <w:r>
              <w:rPr>
                <w:rFonts w:ascii="Arial" w:cs="Arial" w:eastAsia="Arial" w:hAnsi="Arial"/>
                <w:sz w:val="22"/>
                <w:szCs w:val="22"/>
                <w:color w:val="auto"/>
                <w:w w:val="88"/>
              </w:rPr>
              <w:t>December 31,</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gridSpan w:val="3"/>
          </w:tcPr>
          <w:p>
            <w:pPr>
              <w:jc w:val="center"/>
              <w:ind w:right="20"/>
              <w:spacing w:after="0" w:line="243" w:lineRule="exact"/>
              <w:rPr>
                <w:sz w:val="20"/>
                <w:szCs w:val="20"/>
                <w:color w:val="auto"/>
              </w:rPr>
            </w:pPr>
            <w:r>
              <w:rPr>
                <w:rFonts w:ascii="Arial" w:cs="Arial" w:eastAsia="Arial" w:hAnsi="Arial"/>
                <w:sz w:val="22"/>
                <w:szCs w:val="22"/>
                <w:color w:val="auto"/>
                <w:w w:val="88"/>
              </w:rPr>
              <w:t>December 31,</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5"/>
        </w:trPr>
        <w:tc>
          <w:tcPr>
            <w:tcW w:w="46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w w:val="93"/>
              </w:rPr>
              <w:t>2003</w:t>
            </w:r>
          </w:p>
        </w:tc>
        <w:tc>
          <w:tcPr>
            <w:tcW w:w="40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Arial" w:cs="Arial" w:eastAsia="Arial" w:hAnsi="Arial"/>
                <w:sz w:val="22"/>
                <w:szCs w:val="22"/>
                <w:color w:val="auto"/>
                <w:w w:val="89"/>
              </w:rPr>
              <w:t>2002</w:t>
            </w:r>
          </w:p>
        </w:tc>
        <w:tc>
          <w:tcPr>
            <w:tcW w:w="4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w w:val="93"/>
              </w:rPr>
              <w:t>2001</w:t>
            </w:r>
          </w:p>
        </w:tc>
        <w:tc>
          <w:tcPr>
            <w:tcW w:w="4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w w:val="93"/>
              </w:rPr>
              <w:t>2003</w:t>
            </w:r>
          </w:p>
        </w:tc>
        <w:tc>
          <w:tcPr>
            <w:tcW w:w="40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Arial" w:cs="Arial" w:eastAsia="Arial" w:hAnsi="Arial"/>
                <w:sz w:val="22"/>
                <w:szCs w:val="22"/>
                <w:color w:val="auto"/>
                <w:w w:val="89"/>
              </w:rPr>
              <w:t>2002</w:t>
            </w:r>
          </w:p>
        </w:tc>
        <w:tc>
          <w:tcPr>
            <w:tcW w:w="4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22"/>
                <w:szCs w:val="22"/>
                <w:color w:val="auto"/>
                <w:w w:val="89"/>
              </w:rPr>
              <w:t>2001</w:t>
            </w:r>
          </w:p>
        </w:tc>
        <w:tc>
          <w:tcPr>
            <w:tcW w:w="80" w:type="dxa"/>
            <w:vAlign w:val="bottom"/>
          </w:tcPr>
          <w:p>
            <w:pPr>
              <w:spacing w:after="0"/>
              <w:rPr>
                <w:sz w:val="23"/>
                <w:szCs w:val="23"/>
                <w:color w:val="auto"/>
              </w:rPr>
            </w:pPr>
          </w:p>
        </w:tc>
      </w:tr>
      <w:tr>
        <w:trPr>
          <w:trHeight w:val="98"/>
        </w:trPr>
        <w:tc>
          <w:tcPr>
            <w:tcW w:w="46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566"/>
        </w:trPr>
        <w:tc>
          <w:tcPr>
            <w:tcW w:w="4680" w:type="dxa"/>
            <w:vAlign w:val="bottom"/>
          </w:tcPr>
          <w:p>
            <w:pPr>
              <w:spacing w:after="0"/>
              <w:rPr>
                <w:sz w:val="20"/>
                <w:szCs w:val="20"/>
                <w:color w:val="auto"/>
              </w:rPr>
            </w:pPr>
            <w:r>
              <w:rPr>
                <w:rFonts w:ascii="Arial" w:cs="Arial" w:eastAsia="Arial" w:hAnsi="Arial"/>
                <w:sz w:val="22"/>
                <w:szCs w:val="22"/>
                <w:color w:val="auto"/>
              </w:rPr>
              <w:t>Revenues</w:t>
            </w:r>
          </w:p>
        </w:tc>
        <w:tc>
          <w:tcPr>
            <w:tcW w:w="520" w:type="dxa"/>
            <w:vAlign w:val="bottom"/>
          </w:tcPr>
          <w:p>
            <w:pPr>
              <w:jc w:val="right"/>
              <w:spacing w:after="0"/>
              <w:rPr>
                <w:sz w:val="20"/>
                <w:szCs w:val="20"/>
                <w:color w:val="auto"/>
              </w:rPr>
            </w:pPr>
            <w:r>
              <w:rPr>
                <w:rFonts w:ascii="Arial" w:cs="Arial" w:eastAsia="Arial" w:hAnsi="Arial"/>
                <w:sz w:val="22"/>
                <w:szCs w:val="22"/>
                <w:color w:val="auto"/>
              </w:rPr>
              <w:t>$147</w:t>
            </w:r>
          </w:p>
        </w:tc>
        <w:tc>
          <w:tcPr>
            <w:tcW w:w="4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$173</w:t>
            </w:r>
          </w:p>
        </w:tc>
        <w:tc>
          <w:tcPr>
            <w:tcW w:w="400" w:type="dxa"/>
            <w:vAlign w:val="bottom"/>
          </w:tcPr>
          <w:p>
            <w:pPr>
              <w:spacing w:after="0"/>
              <w:rPr>
                <w:sz w:val="24"/>
                <w:szCs w:val="2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22"/>
                <w:szCs w:val="22"/>
                <w:color w:val="auto"/>
              </w:rPr>
              <w:t>$103</w:t>
            </w:r>
          </w:p>
        </w:tc>
        <w:tc>
          <w:tcPr>
            <w:tcW w:w="920" w:type="dxa"/>
            <w:vAlign w:val="bottom"/>
            <w:gridSpan w:val="2"/>
          </w:tcPr>
          <w:p>
            <w:pPr>
              <w:jc w:val="right"/>
              <w:ind w:right="292"/>
              <w:spacing w:after="0"/>
              <w:rPr>
                <w:sz w:val="20"/>
                <w:szCs w:val="20"/>
                <w:color w:val="auto"/>
              </w:rPr>
            </w:pPr>
            <w:r>
              <w:rPr>
                <w:rFonts w:ascii="Arial" w:cs="Arial" w:eastAsia="Arial" w:hAnsi="Arial"/>
                <w:sz w:val="22"/>
                <w:szCs w:val="22"/>
                <w:color w:val="auto"/>
              </w:rPr>
              <w:t>$3</w:t>
            </w:r>
          </w:p>
        </w:tc>
        <w:tc>
          <w:tcPr>
            <w:tcW w:w="520" w:type="dxa"/>
            <w:vAlign w:val="bottom"/>
          </w:tcPr>
          <w:p>
            <w:pPr>
              <w:jc w:val="right"/>
              <w:spacing w:after="0"/>
              <w:rPr>
                <w:sz w:val="20"/>
                <w:szCs w:val="20"/>
                <w:color w:val="auto"/>
              </w:rPr>
            </w:pPr>
            <w:r>
              <w:rPr>
                <w:rFonts w:ascii="Arial" w:cs="Arial" w:eastAsia="Arial" w:hAnsi="Arial"/>
                <w:sz w:val="22"/>
                <w:szCs w:val="22"/>
                <w:color w:val="auto"/>
              </w:rPr>
              <w:t>$1</w:t>
            </w:r>
          </w:p>
        </w:tc>
        <w:tc>
          <w:tcPr>
            <w:tcW w:w="4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2"/>
                <w:szCs w:val="22"/>
                <w:color w:val="auto"/>
              </w:rPr>
              <w:t>$24</w:t>
            </w:r>
          </w:p>
        </w:tc>
        <w:tc>
          <w:tcPr>
            <w:tcW w:w="80" w:type="dxa"/>
            <w:vAlign w:val="bottom"/>
          </w:tcPr>
          <w:p>
            <w:pPr>
              <w:spacing w:after="0"/>
              <w:rPr>
                <w:sz w:val="24"/>
                <w:szCs w:val="24"/>
                <w:color w:val="auto"/>
              </w:rPr>
            </w:pPr>
          </w:p>
        </w:tc>
      </w:tr>
      <w:tr>
        <w:trPr>
          <w:trHeight w:val="243"/>
        </w:trPr>
        <w:tc>
          <w:tcPr>
            <w:tcW w:w="4680" w:type="dxa"/>
            <w:vAlign w:val="bottom"/>
          </w:tcPr>
          <w:p>
            <w:pPr>
              <w:spacing w:after="0" w:line="243" w:lineRule="exact"/>
              <w:rPr>
                <w:sz w:val="20"/>
                <w:szCs w:val="20"/>
                <w:color w:val="auto"/>
              </w:rPr>
            </w:pPr>
            <w:r>
              <w:rPr>
                <w:rFonts w:ascii="Arial" w:cs="Arial" w:eastAsia="Arial" w:hAnsi="Arial"/>
                <w:sz w:val="22"/>
                <w:szCs w:val="22"/>
                <w:color w:val="auto"/>
              </w:rPr>
              <w:t>Operating loss</w:t>
            </w:r>
          </w:p>
        </w:tc>
        <w:tc>
          <w:tcPr>
            <w:tcW w:w="920" w:type="dxa"/>
            <w:vAlign w:val="bottom"/>
            <w:gridSpan w:val="2"/>
          </w:tcPr>
          <w:p>
            <w:pPr>
              <w:jc w:val="right"/>
              <w:ind w:right="232"/>
              <w:spacing w:after="0" w:line="243" w:lineRule="exact"/>
              <w:rPr>
                <w:sz w:val="20"/>
                <w:szCs w:val="20"/>
                <w:color w:val="auto"/>
              </w:rPr>
            </w:pPr>
            <w:r>
              <w:rPr>
                <w:rFonts w:ascii="Arial" w:cs="Arial" w:eastAsia="Arial" w:hAnsi="Arial"/>
                <w:sz w:val="22"/>
                <w:szCs w:val="22"/>
                <w:color w:val="auto"/>
              </w:rPr>
              <w:t>(16)</w:t>
            </w:r>
          </w:p>
        </w:tc>
        <w:tc>
          <w:tcPr>
            <w:tcW w:w="92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(30)</w:t>
            </w:r>
          </w:p>
        </w:tc>
        <w:tc>
          <w:tcPr>
            <w:tcW w:w="92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(34)</w:t>
            </w:r>
          </w:p>
        </w:tc>
        <w:tc>
          <w:tcPr>
            <w:tcW w:w="920" w:type="dxa"/>
            <w:vAlign w:val="bottom"/>
            <w:gridSpan w:val="2"/>
          </w:tcPr>
          <w:p>
            <w:pPr>
              <w:jc w:val="right"/>
              <w:ind w:right="232"/>
              <w:spacing w:after="0" w:line="243" w:lineRule="exact"/>
              <w:rPr>
                <w:sz w:val="20"/>
                <w:szCs w:val="20"/>
                <w:color w:val="auto"/>
              </w:rPr>
            </w:pPr>
            <w:r>
              <w:rPr>
                <w:rFonts w:ascii="Arial" w:cs="Arial" w:eastAsia="Arial" w:hAnsi="Arial"/>
                <w:sz w:val="22"/>
                <w:szCs w:val="22"/>
                <w:color w:val="auto"/>
              </w:rPr>
              <w:t>(17)</w:t>
            </w:r>
          </w:p>
        </w:tc>
        <w:tc>
          <w:tcPr>
            <w:tcW w:w="92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(23)</w:t>
            </w:r>
          </w:p>
        </w:tc>
        <w:tc>
          <w:tcPr>
            <w:tcW w:w="5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w:t>
            </w:r>
          </w:p>
        </w:tc>
      </w:tr>
      <w:tr>
        <w:trPr>
          <w:trHeight w:val="243"/>
        </w:trPr>
        <w:tc>
          <w:tcPr>
            <w:tcW w:w="4680" w:type="dxa"/>
            <w:vAlign w:val="bottom"/>
          </w:tcPr>
          <w:p>
            <w:pPr>
              <w:spacing w:after="0" w:line="243" w:lineRule="exact"/>
              <w:rPr>
                <w:sz w:val="20"/>
                <w:szCs w:val="20"/>
                <w:color w:val="auto"/>
              </w:rPr>
            </w:pPr>
            <w:r>
              <w:rPr>
                <w:rFonts w:ascii="Arial" w:cs="Arial" w:eastAsia="Arial" w:hAnsi="Arial"/>
                <w:sz w:val="22"/>
                <w:szCs w:val="22"/>
                <w:color w:val="auto"/>
              </w:rPr>
              <w:t>Loss from continuing operation</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680" w:type="dxa"/>
            <w:vAlign w:val="bottom"/>
          </w:tcPr>
          <w:p>
            <w:pPr>
              <w:ind w:left="160"/>
              <w:spacing w:after="0" w:line="243" w:lineRule="exact"/>
              <w:rPr>
                <w:sz w:val="20"/>
                <w:szCs w:val="20"/>
                <w:color w:val="auto"/>
              </w:rPr>
            </w:pPr>
            <w:r>
              <w:rPr>
                <w:rFonts w:ascii="Arial" w:cs="Arial" w:eastAsia="Arial" w:hAnsi="Arial"/>
                <w:sz w:val="22"/>
                <w:szCs w:val="22"/>
                <w:color w:val="auto"/>
              </w:rPr>
              <w:t>before extraordinary items and</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680" w:type="dxa"/>
            <w:vAlign w:val="bottom"/>
          </w:tcPr>
          <w:p>
            <w:pPr>
              <w:ind w:left="160"/>
              <w:spacing w:after="0" w:line="243" w:lineRule="exact"/>
              <w:rPr>
                <w:sz w:val="20"/>
                <w:szCs w:val="20"/>
                <w:color w:val="auto"/>
              </w:rPr>
            </w:pPr>
            <w:r>
              <w:rPr>
                <w:rFonts w:ascii="Arial" w:cs="Arial" w:eastAsia="Arial" w:hAnsi="Arial"/>
                <w:sz w:val="22"/>
                <w:szCs w:val="22"/>
                <w:color w:val="auto"/>
              </w:rPr>
              <w:t>cumulative effect of accounting change</w:t>
            </w:r>
          </w:p>
        </w:tc>
        <w:tc>
          <w:tcPr>
            <w:tcW w:w="920" w:type="dxa"/>
            <w:vAlign w:val="bottom"/>
            <w:gridSpan w:val="2"/>
          </w:tcPr>
          <w:p>
            <w:pPr>
              <w:jc w:val="right"/>
              <w:ind w:right="232"/>
              <w:spacing w:after="0" w:line="243" w:lineRule="exact"/>
              <w:rPr>
                <w:sz w:val="20"/>
                <w:szCs w:val="20"/>
                <w:color w:val="auto"/>
              </w:rPr>
            </w:pPr>
            <w:r>
              <w:rPr>
                <w:rFonts w:ascii="Arial" w:cs="Arial" w:eastAsia="Arial" w:hAnsi="Arial"/>
                <w:sz w:val="22"/>
                <w:szCs w:val="22"/>
                <w:color w:val="auto"/>
              </w:rPr>
              <w:t>(15)</w:t>
            </w:r>
          </w:p>
        </w:tc>
        <w:tc>
          <w:tcPr>
            <w:tcW w:w="92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(34)</w:t>
            </w:r>
          </w:p>
        </w:tc>
        <w:tc>
          <w:tcPr>
            <w:tcW w:w="92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(31)</w:t>
            </w:r>
          </w:p>
        </w:tc>
        <w:tc>
          <w:tcPr>
            <w:tcW w:w="920" w:type="dxa"/>
            <w:vAlign w:val="bottom"/>
            <w:gridSpan w:val="2"/>
          </w:tcPr>
          <w:p>
            <w:pPr>
              <w:jc w:val="right"/>
              <w:ind w:right="232"/>
              <w:spacing w:after="0" w:line="243" w:lineRule="exact"/>
              <w:rPr>
                <w:sz w:val="20"/>
                <w:szCs w:val="20"/>
                <w:color w:val="auto"/>
              </w:rPr>
            </w:pPr>
            <w:r>
              <w:rPr>
                <w:rFonts w:ascii="Arial" w:cs="Arial" w:eastAsia="Arial" w:hAnsi="Arial"/>
                <w:sz w:val="22"/>
                <w:szCs w:val="22"/>
                <w:color w:val="auto"/>
              </w:rPr>
              <w:t>(18)</w:t>
            </w:r>
          </w:p>
        </w:tc>
        <w:tc>
          <w:tcPr>
            <w:tcW w:w="92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(23)</w:t>
            </w:r>
          </w:p>
        </w:tc>
        <w:tc>
          <w:tcPr>
            <w:tcW w:w="5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w:t>
            </w:r>
          </w:p>
        </w:tc>
      </w:tr>
      <w:tr>
        <w:trPr>
          <w:trHeight w:val="275"/>
        </w:trPr>
        <w:tc>
          <w:tcPr>
            <w:tcW w:w="4680" w:type="dxa"/>
            <w:vAlign w:val="bottom"/>
          </w:tcPr>
          <w:p>
            <w:pPr>
              <w:spacing w:after="0"/>
              <w:rPr>
                <w:sz w:val="20"/>
                <w:szCs w:val="20"/>
                <w:color w:val="auto"/>
              </w:rPr>
            </w:pPr>
            <w:r>
              <w:rPr>
                <w:rFonts w:ascii="Arial" w:cs="Arial" w:eastAsia="Arial" w:hAnsi="Arial"/>
                <w:sz w:val="22"/>
                <w:szCs w:val="22"/>
                <w:color w:val="auto"/>
              </w:rPr>
              <w:t>Net loss</w:t>
            </w:r>
          </w:p>
        </w:tc>
        <w:tc>
          <w:tcPr>
            <w:tcW w:w="920" w:type="dxa"/>
            <w:vAlign w:val="bottom"/>
            <w:gridSpan w:val="2"/>
          </w:tcPr>
          <w:p>
            <w:pPr>
              <w:jc w:val="right"/>
              <w:ind w:right="232"/>
              <w:spacing w:after="0"/>
              <w:rPr>
                <w:sz w:val="20"/>
                <w:szCs w:val="20"/>
                <w:color w:val="auto"/>
              </w:rPr>
            </w:pPr>
            <w:r>
              <w:rPr>
                <w:rFonts w:ascii="Arial" w:cs="Arial" w:eastAsia="Arial" w:hAnsi="Arial"/>
                <w:sz w:val="22"/>
                <w:szCs w:val="22"/>
                <w:color w:val="auto"/>
              </w:rPr>
              <w:t>(15)</w:t>
            </w:r>
          </w:p>
        </w:tc>
        <w:tc>
          <w:tcPr>
            <w:tcW w:w="920" w:type="dxa"/>
            <w:vAlign w:val="bottom"/>
            <w:gridSpan w:val="2"/>
          </w:tcPr>
          <w:p>
            <w:pPr>
              <w:jc w:val="right"/>
              <w:ind w:right="340"/>
              <w:spacing w:after="0"/>
              <w:rPr>
                <w:sz w:val="20"/>
                <w:szCs w:val="20"/>
                <w:color w:val="auto"/>
              </w:rPr>
            </w:pPr>
            <w:r>
              <w:rPr>
                <w:rFonts w:ascii="Arial" w:cs="Arial" w:eastAsia="Arial" w:hAnsi="Arial"/>
                <w:sz w:val="22"/>
                <w:szCs w:val="22"/>
                <w:color w:val="auto"/>
              </w:rPr>
              <w:t>(34)</w:t>
            </w:r>
          </w:p>
        </w:tc>
        <w:tc>
          <w:tcPr>
            <w:tcW w:w="920" w:type="dxa"/>
            <w:vAlign w:val="bottom"/>
            <w:gridSpan w:val="2"/>
          </w:tcPr>
          <w:p>
            <w:pPr>
              <w:jc w:val="right"/>
              <w:ind w:right="340"/>
              <w:spacing w:after="0"/>
              <w:rPr>
                <w:sz w:val="20"/>
                <w:szCs w:val="20"/>
                <w:color w:val="auto"/>
              </w:rPr>
            </w:pPr>
            <w:r>
              <w:rPr>
                <w:rFonts w:ascii="Arial" w:cs="Arial" w:eastAsia="Arial" w:hAnsi="Arial"/>
                <w:sz w:val="22"/>
                <w:szCs w:val="22"/>
                <w:color w:val="auto"/>
              </w:rPr>
              <w:t>(31)</w:t>
            </w:r>
          </w:p>
        </w:tc>
        <w:tc>
          <w:tcPr>
            <w:tcW w:w="920" w:type="dxa"/>
            <w:vAlign w:val="bottom"/>
            <w:gridSpan w:val="2"/>
          </w:tcPr>
          <w:p>
            <w:pPr>
              <w:jc w:val="right"/>
              <w:ind w:right="232"/>
              <w:spacing w:after="0"/>
              <w:rPr>
                <w:sz w:val="20"/>
                <w:szCs w:val="20"/>
                <w:color w:val="auto"/>
              </w:rPr>
            </w:pPr>
            <w:r>
              <w:rPr>
                <w:rFonts w:ascii="Arial" w:cs="Arial" w:eastAsia="Arial" w:hAnsi="Arial"/>
                <w:sz w:val="22"/>
                <w:szCs w:val="22"/>
                <w:color w:val="auto"/>
              </w:rPr>
              <w:t>(18)</w:t>
            </w:r>
          </w:p>
        </w:tc>
        <w:tc>
          <w:tcPr>
            <w:tcW w:w="920" w:type="dxa"/>
            <w:vAlign w:val="bottom"/>
            <w:gridSpan w:val="2"/>
          </w:tcPr>
          <w:p>
            <w:pPr>
              <w:jc w:val="right"/>
              <w:ind w:right="340"/>
              <w:spacing w:after="0"/>
              <w:rPr>
                <w:sz w:val="20"/>
                <w:szCs w:val="20"/>
                <w:color w:val="auto"/>
              </w:rPr>
            </w:pPr>
            <w:r>
              <w:rPr>
                <w:rFonts w:ascii="Arial" w:cs="Arial" w:eastAsia="Arial" w:hAnsi="Arial"/>
                <w:sz w:val="22"/>
                <w:szCs w:val="22"/>
                <w:color w:val="auto"/>
              </w:rPr>
              <w:t>(23)</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(1)</w:t>
            </w:r>
          </w:p>
        </w:tc>
      </w:tr>
    </w:tbl>
    <w:p>
      <w:pPr>
        <w:spacing w:after="0" w:line="212" w:lineRule="exact"/>
        <w:rPr>
          <w:sz w:val="20"/>
          <w:szCs w:val="20"/>
          <w:color w:val="auto"/>
        </w:rPr>
      </w:pPr>
    </w:p>
    <w:p>
      <w:pPr>
        <w:ind w:left="460" w:right="540" w:firstLine="7"/>
        <w:spacing w:after="0" w:line="251" w:lineRule="auto"/>
        <w:tabs>
          <w:tab w:leader="none" w:pos="814"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GSI Commerce, Inc. was an equity method investment of QVC, and such amounts are included within discontinued operations for all periods through QVC's sale date (see </w:t>
      </w:r>
      <w:hyperlink w:anchor="page73">
        <w:r>
          <w:rPr>
            <w:rFonts w:ascii="Arial" w:cs="Arial" w:eastAsia="Arial" w:hAnsi="Arial"/>
            <w:sz w:val="22"/>
            <w:szCs w:val="22"/>
            <w:u w:val="single" w:color="auto"/>
            <w:color w:val="0000EE"/>
          </w:rPr>
          <w:t>Note 5</w:t>
        </w:r>
      </w:hyperlink>
      <w:r>
        <w:rPr>
          <w:rFonts w:ascii="Arial" w:cs="Arial" w:eastAsia="Arial" w:hAnsi="Arial"/>
          <w:sz w:val="22"/>
          <w:szCs w:val="22"/>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Cost Method</w:t>
      </w:r>
    </w:p>
    <w:p>
      <w:pPr>
        <w:spacing w:after="0" w:line="8" w:lineRule="exact"/>
        <w:rPr>
          <w:sz w:val="20"/>
          <w:szCs w:val="20"/>
          <w:color w:val="auto"/>
        </w:rPr>
      </w:pPr>
    </w:p>
    <w:p>
      <w:pPr>
        <w:jc w:val="both"/>
        <w:ind w:left="460" w:right="300"/>
        <w:spacing w:after="0" w:line="234" w:lineRule="auto"/>
        <w:rPr>
          <w:rFonts w:ascii="Arial" w:cs="Arial" w:eastAsia="Arial" w:hAnsi="Arial"/>
          <w:sz w:val="22"/>
          <w:szCs w:val="22"/>
          <w:color w:val="auto"/>
        </w:rPr>
      </w:pPr>
      <w:r>
        <w:rPr>
          <w:rFonts w:ascii="Arial" w:cs="Arial" w:eastAsia="Arial" w:hAnsi="Arial"/>
          <w:sz w:val="22"/>
          <w:szCs w:val="22"/>
          <w:color w:val="auto"/>
        </w:rPr>
        <w:t xml:space="preserve">In connection with the TWE Restructuring, we received a 21% economic stake in the business of TWC. This investment is accounted for under the cost method because we do not have the ability to exercise significant influence over the operating and financial policies of TWC (see </w:t>
      </w:r>
      <w:hyperlink w:anchor="page73">
        <w:r>
          <w:rPr>
            <w:rFonts w:ascii="Arial" w:cs="Arial" w:eastAsia="Arial" w:hAnsi="Arial"/>
            <w:sz w:val="22"/>
            <w:szCs w:val="22"/>
            <w:u w:val="single" w:color="auto"/>
            <w:color w:val="0000EE"/>
          </w:rPr>
          <w:t>Note 5</w:t>
        </w:r>
      </w:hyperlink>
      <w:r>
        <w:rPr>
          <w:rFonts w:ascii="Arial" w:cs="Arial" w:eastAsia="Arial" w:hAnsi="Arial"/>
          <w:sz w:val="22"/>
          <w:szCs w:val="22"/>
          <w:color w:val="auto"/>
        </w:rPr>
        <w:t>).</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9"/>
          <w:szCs w:val="19"/>
          <w:color w:val="auto"/>
        </w:rPr>
        <w:t>We hold two series of preferred stock of AirTouch Communications, Inc., a subsidiary of Vodafone, that are recorded at</w:t>
      </w:r>
    </w:p>
    <w:p>
      <w:pPr>
        <w:spacing w:after="0" w:line="43" w:lineRule="exact"/>
        <w:rPr>
          <w:sz w:val="20"/>
          <w:szCs w:val="20"/>
          <w:color w:val="auto"/>
        </w:rPr>
      </w:pPr>
    </w:p>
    <w:p>
      <w:pPr>
        <w:ind w:left="460"/>
        <w:spacing w:after="0" w:line="232" w:lineRule="auto"/>
        <w:rPr>
          <w:sz w:val="20"/>
          <w:szCs w:val="20"/>
          <w:color w:val="auto"/>
        </w:rPr>
      </w:pPr>
      <w:r>
        <w:rPr>
          <w:rFonts w:ascii="Arial" w:cs="Arial" w:eastAsia="Arial" w:hAnsi="Arial"/>
          <w:sz w:val="22"/>
          <w:szCs w:val="22"/>
          <w:color w:val="auto"/>
        </w:rPr>
        <w:t>$1.409 billion and $1.394 billion as of December 31, 2003 and 2002, respectively. The dividend and redemption activity of the AirTouch preferred stock is tied to the dividend and redemption payments associated with substantially all of the preferred shares issued by one of our subsidiaries. The subsidiary has outstanding three series of preferred stock with an aggregate redemption value of $1.750 billion. Substantially all of the preferred shares are redeemable in April 2020 at a redemption value of $1.650 billion with one of the series bearing a 9.08% dividend rate. The subsidiary preferred shares are recorded at $1.520 billion and $1.511 billion, respectively, and such amounts are included in other noncurrent liabilities as of December 31, 2003 and 2002.</w:t>
      </w:r>
    </w:p>
    <w:p>
      <w:pPr>
        <w:spacing w:after="0" w:line="215" w:lineRule="exact"/>
        <w:rPr>
          <w:sz w:val="20"/>
          <w:szCs w:val="20"/>
          <w:color w:val="auto"/>
        </w:rPr>
      </w:pPr>
    </w:p>
    <w:p>
      <w:pPr>
        <w:jc w:val="both"/>
        <w:ind w:left="460" w:right="320"/>
        <w:spacing w:after="0" w:line="297" w:lineRule="auto"/>
        <w:rPr>
          <w:sz w:val="20"/>
          <w:szCs w:val="20"/>
          <w:color w:val="auto"/>
        </w:rPr>
      </w:pPr>
      <w:r>
        <w:rPr>
          <w:rFonts w:ascii="Arial" w:cs="Arial" w:eastAsia="Arial" w:hAnsi="Arial"/>
          <w:sz w:val="19"/>
          <w:szCs w:val="19"/>
          <w:color w:val="auto"/>
        </w:rPr>
        <w:t>In connection with the Broadband acquisition, we acquired an indirect interest in CC VIII, LLC, a cable joint venture with Charter Communications, Inc. In April 2002, AT&amp;T exercised its rights to cause Paul G. Allen, Charter’s Chairman, or his designee to purchase this indirect interest. In June 2003, Paul Allen purchased our interest in CC VIII for $728 million in</w:t>
      </w:r>
    </w:p>
    <w:p>
      <w:pPr>
        <w:sectPr>
          <w:pgSz w:w="11900" w:h="16838" w:orient="portrait"/>
          <w:cols w:equalWidth="0" w:num="1">
            <w:col w:w="11380"/>
          </w:cols>
          <w:pgMar w:left="240" w:top="118" w:right="279" w:bottom="0" w:gutter="0" w:footer="0" w:header="0"/>
        </w:sectPr>
      </w:pPr>
    </w:p>
    <w:bookmarkStart w:id="80" w:name="page81"/>
    <w:bookmarkEnd w:id="80"/>
    <w:p>
      <w:pPr>
        <w:ind w:left="460" w:right="160"/>
        <w:spacing w:after="0" w:line="329" w:lineRule="auto"/>
        <w:rPr>
          <w:rFonts w:ascii="Arial" w:cs="Arial" w:eastAsia="Arial" w:hAnsi="Arial"/>
          <w:sz w:val="19"/>
          <w:szCs w:val="19"/>
          <w:color w:val="auto"/>
        </w:rPr>
      </w:pPr>
      <w:r>
        <w:rPr>
          <w:rFonts w:ascii="Arial" w:cs="Arial" w:eastAsia="Arial" w:hAnsi="Arial"/>
          <w:sz w:val="19"/>
          <w:szCs w:val="19"/>
          <w:color w:val="auto"/>
        </w:rPr>
        <w:t xml:space="preserve">cash. We accounted for the sale of our interest in CC VIII at fair value with no gain or loss recognized. We used the proceeds from the sale to repay a portion of the amounts outstanding under our revolving credit facilities (see </w:t>
      </w:r>
      <w:hyperlink w:anchor="page83">
        <w:r>
          <w:rPr>
            <w:rFonts w:ascii="Arial" w:cs="Arial" w:eastAsia="Arial" w:hAnsi="Arial"/>
            <w:sz w:val="19"/>
            <w:szCs w:val="19"/>
            <w:u w:val="single" w:color="auto"/>
            <w:color w:val="0000EE"/>
          </w:rPr>
          <w:t>Note 8</w:t>
        </w:r>
      </w:hyperlink>
      <w:r>
        <w:rPr>
          <w:rFonts w:ascii="Arial" w:cs="Arial" w:eastAsia="Arial" w:hAnsi="Arial"/>
          <w:sz w:val="19"/>
          <w:szCs w:val="19"/>
          <w:color w:val="auto"/>
        </w:rPr>
        <w: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00" w:type="dxa"/>
            <w:vAlign w:val="bottom"/>
            <w:gridSpan w:val="2"/>
          </w:tcPr>
          <w:p>
            <w:pPr>
              <w:spacing w:after="0"/>
              <w:rPr>
                <w:sz w:val="20"/>
                <w:szCs w:val="20"/>
                <w:color w:val="auto"/>
              </w:rPr>
            </w:pPr>
            <w:r>
              <w:rPr>
                <w:rFonts w:ascii="Arial" w:cs="Arial" w:eastAsia="Arial" w:hAnsi="Arial"/>
                <w:sz w:val="22"/>
                <w:szCs w:val="22"/>
                <w:color w:val="auto"/>
              </w:rPr>
              <w:t>COMCAST CORPORATION AND SUBSIDIARIES</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46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8"/>
        </w:trPr>
        <w:tc>
          <w:tcPr>
            <w:tcW w:w="6500" w:type="dxa"/>
            <w:vAlign w:val="bottom"/>
            <w:gridSpan w:val="2"/>
          </w:tcPr>
          <w:p>
            <w:pPr>
              <w:spacing w:after="0"/>
              <w:rPr>
                <w:sz w:val="20"/>
                <w:szCs w:val="20"/>
                <w:color w:val="auto"/>
              </w:rPr>
            </w:pPr>
            <w:r>
              <w:rPr>
                <w:rFonts w:ascii="Arial" w:cs="Arial" w:eastAsia="Arial" w:hAnsi="Arial"/>
                <w:sz w:val="22"/>
                <w:szCs w:val="22"/>
                <w:color w:val="auto"/>
              </w:rPr>
              <w:t>NOTES TO CONSOLIDATED FINANCIAL STATEMENTS</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5"/>
        </w:trPr>
        <w:tc>
          <w:tcPr>
            <w:tcW w:w="6500" w:type="dxa"/>
            <w:vAlign w:val="bottom"/>
            <w:gridSpan w:val="2"/>
          </w:tcPr>
          <w:p>
            <w:pPr>
              <w:spacing w:after="0"/>
              <w:rPr>
                <w:sz w:val="20"/>
                <w:szCs w:val="20"/>
                <w:color w:val="auto"/>
              </w:rPr>
            </w:pPr>
            <w:r>
              <w:rPr>
                <w:rFonts w:ascii="Arial" w:cs="Arial" w:eastAsia="Arial" w:hAnsi="Arial"/>
                <w:sz w:val="22"/>
                <w:szCs w:val="22"/>
                <w:color w:val="auto"/>
                <w:w w:val="96"/>
              </w:rPr>
              <w:t>YEARS ENDED DECEMBER 31, 2003, 2002 AND 2001 (Continued)</w:t>
            </w: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28"/>
        </w:trPr>
        <w:tc>
          <w:tcPr>
            <w:tcW w:w="6500" w:type="dxa"/>
            <w:vAlign w:val="bottom"/>
            <w:gridSpan w:val="2"/>
          </w:tcPr>
          <w:p>
            <w:pPr>
              <w:ind w:left="460"/>
              <w:spacing w:after="0"/>
              <w:rPr>
                <w:sz w:val="20"/>
                <w:szCs w:val="20"/>
                <w:color w:val="auto"/>
              </w:rPr>
            </w:pPr>
            <w:r>
              <w:rPr>
                <w:rFonts w:ascii="Arial" w:cs="Arial" w:eastAsia="Arial" w:hAnsi="Arial"/>
                <w:sz w:val="22"/>
                <w:szCs w:val="22"/>
                <w:i w:val="1"/>
                <w:iCs w:val="1"/>
                <w:color w:val="auto"/>
              </w:rPr>
              <w:t>Investment Income (Loss), Net</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5"/>
        </w:trPr>
        <w:tc>
          <w:tcPr>
            <w:tcW w:w="6500" w:type="dxa"/>
            <w:vAlign w:val="bottom"/>
            <w:gridSpan w:val="2"/>
          </w:tcPr>
          <w:p>
            <w:pPr>
              <w:ind w:left="460"/>
              <w:spacing w:after="0"/>
              <w:rPr>
                <w:sz w:val="20"/>
                <w:szCs w:val="20"/>
                <w:color w:val="auto"/>
              </w:rPr>
            </w:pPr>
            <w:r>
              <w:rPr>
                <w:rFonts w:ascii="Arial" w:cs="Arial" w:eastAsia="Arial" w:hAnsi="Arial"/>
                <w:sz w:val="22"/>
                <w:szCs w:val="22"/>
                <w:color w:val="auto"/>
                <w:w w:val="96"/>
              </w:rPr>
              <w:t>Investment income (loss), net includes the following (in millions):</w:t>
            </w: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55"/>
        </w:trPr>
        <w:tc>
          <w:tcPr>
            <w:tcW w:w="4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40" w:type="dxa"/>
            <w:vAlign w:val="bottom"/>
            <w:gridSpan w:val="6"/>
          </w:tcPr>
          <w:p>
            <w:pPr>
              <w:jc w:val="center"/>
              <w:ind w:right="80"/>
              <w:spacing w:after="0"/>
              <w:rPr>
                <w:sz w:val="20"/>
                <w:szCs w:val="20"/>
                <w:color w:val="auto"/>
              </w:rPr>
            </w:pPr>
            <w:r>
              <w:rPr>
                <w:rFonts w:ascii="Arial" w:cs="Arial" w:eastAsia="Arial" w:hAnsi="Arial"/>
                <w:sz w:val="22"/>
                <w:szCs w:val="22"/>
                <w:color w:val="auto"/>
                <w:w w:val="87"/>
              </w:rPr>
              <w:t>Year Ended December 31,</w:t>
            </w:r>
          </w:p>
        </w:tc>
      </w:tr>
      <w:tr>
        <w:trPr>
          <w:trHeight w:val="275"/>
        </w:trPr>
        <w:tc>
          <w:tcPr>
            <w:tcW w:w="4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2003</w:t>
            </w:r>
          </w:p>
        </w:tc>
        <w:tc>
          <w:tcPr>
            <w:tcW w:w="40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2002</w:t>
            </w:r>
          </w:p>
        </w:tc>
        <w:tc>
          <w:tcPr>
            <w:tcW w:w="420" w:type="dxa"/>
            <w:vAlign w:val="bottom"/>
          </w:tcPr>
          <w:p>
            <w:pPr>
              <w:spacing w:after="0"/>
              <w:rPr>
                <w:sz w:val="23"/>
                <w:szCs w:val="23"/>
                <w:color w:val="auto"/>
              </w:rPr>
            </w:pPr>
          </w:p>
        </w:tc>
        <w:tc>
          <w:tcPr>
            <w:tcW w:w="900" w:type="dxa"/>
            <w:vAlign w:val="bottom"/>
          </w:tcPr>
          <w:p>
            <w:pPr>
              <w:jc w:val="right"/>
              <w:ind w:right="132"/>
              <w:spacing w:after="0"/>
              <w:rPr>
                <w:sz w:val="20"/>
                <w:szCs w:val="20"/>
                <w:color w:val="auto"/>
              </w:rPr>
            </w:pPr>
            <w:r>
              <w:rPr>
                <w:rFonts w:ascii="Arial" w:cs="Arial" w:eastAsia="Arial" w:hAnsi="Arial"/>
                <w:sz w:val="22"/>
                <w:szCs w:val="22"/>
                <w:color w:val="auto"/>
              </w:rPr>
              <w:t>2001</w:t>
            </w:r>
          </w:p>
        </w:tc>
        <w:tc>
          <w:tcPr>
            <w:tcW w:w="80" w:type="dxa"/>
            <w:vAlign w:val="bottom"/>
          </w:tcPr>
          <w:p>
            <w:pPr>
              <w:spacing w:after="0"/>
              <w:rPr>
                <w:sz w:val="23"/>
                <w:szCs w:val="23"/>
                <w:color w:val="auto"/>
              </w:rPr>
            </w:pPr>
          </w:p>
        </w:tc>
      </w:tr>
      <w:tr>
        <w:trPr>
          <w:trHeight w:val="98"/>
        </w:trPr>
        <w:tc>
          <w:tcPr>
            <w:tcW w:w="46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23"/>
        </w:trPr>
        <w:tc>
          <w:tcPr>
            <w:tcW w:w="6500" w:type="dxa"/>
            <w:vAlign w:val="bottom"/>
            <w:gridSpan w:val="2"/>
          </w:tcPr>
          <w:p>
            <w:pPr>
              <w:ind w:left="280"/>
              <w:spacing w:after="0"/>
              <w:rPr>
                <w:sz w:val="20"/>
                <w:szCs w:val="20"/>
                <w:color w:val="auto"/>
              </w:rPr>
            </w:pPr>
            <w:r>
              <w:rPr>
                <w:rFonts w:ascii="Arial" w:cs="Arial" w:eastAsia="Arial" w:hAnsi="Arial"/>
                <w:sz w:val="22"/>
                <w:szCs w:val="22"/>
                <w:color w:val="auto"/>
              </w:rPr>
              <w:t>Interest and dividend income</w:t>
            </w:r>
          </w:p>
        </w:tc>
        <w:tc>
          <w:tcPr>
            <w:tcW w:w="920" w:type="dxa"/>
            <w:vAlign w:val="bottom"/>
          </w:tcPr>
          <w:p>
            <w:pPr>
              <w:jc w:val="right"/>
              <w:spacing w:after="0"/>
              <w:rPr>
                <w:sz w:val="20"/>
                <w:szCs w:val="20"/>
                <w:color w:val="auto"/>
              </w:rPr>
            </w:pPr>
            <w:r>
              <w:rPr>
                <w:rFonts w:ascii="Arial" w:cs="Arial" w:eastAsia="Arial" w:hAnsi="Arial"/>
                <w:sz w:val="22"/>
                <w:szCs w:val="22"/>
                <w:color w:val="auto"/>
              </w:rPr>
              <w:t>$166</w:t>
            </w:r>
          </w:p>
        </w:tc>
        <w:tc>
          <w:tcPr>
            <w:tcW w:w="400" w:type="dxa"/>
            <w:vAlign w:val="bottom"/>
          </w:tcPr>
          <w:p>
            <w:pPr>
              <w:spacing w:after="0"/>
              <w:rPr>
                <w:sz w:val="24"/>
                <w:szCs w:val="2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22"/>
                <w:szCs w:val="22"/>
                <w:color w:val="auto"/>
              </w:rPr>
              <w:t>$53</w:t>
            </w:r>
          </w:p>
        </w:tc>
        <w:tc>
          <w:tcPr>
            <w:tcW w:w="900" w:type="dxa"/>
            <w:vAlign w:val="bottom"/>
          </w:tcPr>
          <w:p>
            <w:pPr>
              <w:jc w:val="right"/>
              <w:spacing w:after="0"/>
              <w:rPr>
                <w:sz w:val="20"/>
                <w:szCs w:val="20"/>
                <w:color w:val="auto"/>
              </w:rPr>
            </w:pPr>
            <w:r>
              <w:rPr>
                <w:rFonts w:ascii="Arial" w:cs="Arial" w:eastAsia="Arial" w:hAnsi="Arial"/>
                <w:sz w:val="22"/>
                <w:szCs w:val="22"/>
                <w:color w:val="auto"/>
              </w:rPr>
              <w:t>$59</w:t>
            </w:r>
          </w:p>
        </w:tc>
        <w:tc>
          <w:tcPr>
            <w:tcW w:w="80" w:type="dxa"/>
            <w:vAlign w:val="bottom"/>
          </w:tcPr>
          <w:p>
            <w:pPr>
              <w:spacing w:after="0"/>
              <w:rPr>
                <w:sz w:val="24"/>
                <w:szCs w:val="24"/>
                <w:color w:val="auto"/>
              </w:rPr>
            </w:pPr>
          </w:p>
        </w:tc>
      </w:tr>
      <w:tr>
        <w:trPr>
          <w:trHeight w:val="243"/>
        </w:trPr>
        <w:tc>
          <w:tcPr>
            <w:tcW w:w="65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Gains (losses) on sales and exchanges of investments, net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c>
          <w:tcPr>
            <w:tcW w:w="400" w:type="dxa"/>
            <w:vAlign w:val="bottom"/>
          </w:tcPr>
          <w:p>
            <w:pPr>
              <w:spacing w:after="0"/>
              <w:rPr>
                <w:sz w:val="21"/>
                <w:szCs w:val="21"/>
                <w:color w:val="auto"/>
              </w:rPr>
            </w:pPr>
          </w:p>
        </w:tc>
        <w:tc>
          <w:tcPr>
            <w:tcW w:w="134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(48)</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485</w:t>
            </w:r>
          </w:p>
        </w:tc>
        <w:tc>
          <w:tcPr>
            <w:tcW w:w="80" w:type="dxa"/>
            <w:vAlign w:val="bottom"/>
          </w:tcPr>
          <w:p>
            <w:pPr>
              <w:spacing w:after="0"/>
              <w:rPr>
                <w:sz w:val="21"/>
                <w:szCs w:val="21"/>
                <w:color w:val="auto"/>
              </w:rPr>
            </w:pPr>
          </w:p>
        </w:tc>
      </w:tr>
      <w:tr>
        <w:trPr>
          <w:trHeight w:val="243"/>
        </w:trPr>
        <w:tc>
          <w:tcPr>
            <w:tcW w:w="65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Investment impairment losses</w:t>
            </w:r>
          </w:p>
        </w:tc>
        <w:tc>
          <w:tcPr>
            <w:tcW w:w="1320" w:type="dxa"/>
            <w:vAlign w:val="bottom"/>
            <w:gridSpan w:val="2"/>
          </w:tcPr>
          <w:p>
            <w:pPr>
              <w:jc w:val="right"/>
              <w:ind w:right="320"/>
              <w:spacing w:after="0" w:line="243" w:lineRule="exact"/>
              <w:rPr>
                <w:sz w:val="20"/>
                <w:szCs w:val="20"/>
                <w:color w:val="auto"/>
              </w:rPr>
            </w:pPr>
            <w:r>
              <w:rPr>
                <w:rFonts w:ascii="Arial" w:cs="Arial" w:eastAsia="Arial" w:hAnsi="Arial"/>
                <w:sz w:val="22"/>
                <w:szCs w:val="22"/>
                <w:color w:val="auto"/>
              </w:rPr>
              <w:t>(72)</w:t>
            </w:r>
          </w:p>
        </w:tc>
        <w:tc>
          <w:tcPr>
            <w:tcW w:w="134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(247)</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(972)</w:t>
            </w:r>
          </w:p>
        </w:tc>
      </w:tr>
      <w:tr>
        <w:trPr>
          <w:trHeight w:val="243"/>
        </w:trPr>
        <w:tc>
          <w:tcPr>
            <w:tcW w:w="65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Reclassification of unrealized gains</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1,330</w:t>
            </w:r>
          </w:p>
        </w:tc>
        <w:tc>
          <w:tcPr>
            <w:tcW w:w="80" w:type="dxa"/>
            <w:vAlign w:val="bottom"/>
          </w:tcPr>
          <w:p>
            <w:pPr>
              <w:spacing w:after="0"/>
              <w:rPr>
                <w:sz w:val="21"/>
                <w:szCs w:val="21"/>
                <w:color w:val="auto"/>
              </w:rPr>
            </w:pPr>
          </w:p>
        </w:tc>
      </w:tr>
      <w:tr>
        <w:trPr>
          <w:trHeight w:val="243"/>
        </w:trPr>
        <w:tc>
          <w:tcPr>
            <w:tcW w:w="65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Unrealized gains (losses) on trading securities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965</w:t>
            </w:r>
          </w:p>
        </w:tc>
        <w:tc>
          <w:tcPr>
            <w:tcW w:w="400" w:type="dxa"/>
            <w:vAlign w:val="bottom"/>
          </w:tcPr>
          <w:p>
            <w:pPr>
              <w:spacing w:after="0"/>
              <w:rPr>
                <w:sz w:val="21"/>
                <w:szCs w:val="21"/>
                <w:color w:val="auto"/>
              </w:rPr>
            </w:pPr>
          </w:p>
        </w:tc>
        <w:tc>
          <w:tcPr>
            <w:tcW w:w="134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(1,569)</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285</w:t>
            </w:r>
          </w:p>
        </w:tc>
        <w:tc>
          <w:tcPr>
            <w:tcW w:w="80" w:type="dxa"/>
            <w:vAlign w:val="bottom"/>
          </w:tcPr>
          <w:p>
            <w:pPr>
              <w:spacing w:after="0"/>
              <w:rPr>
                <w:sz w:val="21"/>
                <w:szCs w:val="21"/>
                <w:color w:val="auto"/>
              </w:rPr>
            </w:pPr>
          </w:p>
        </w:tc>
      </w:tr>
      <w:tr>
        <w:trPr>
          <w:trHeight w:val="243"/>
        </w:trPr>
        <w:tc>
          <w:tcPr>
            <w:tcW w:w="65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Mark to market adjustments on derivatives related to trading</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500" w:type="dxa"/>
            <w:vAlign w:val="bottom"/>
            <w:gridSpan w:val="2"/>
          </w:tcPr>
          <w:p>
            <w:pPr>
              <w:ind w:left="540"/>
              <w:spacing w:after="0" w:line="243" w:lineRule="exact"/>
              <w:rPr>
                <w:sz w:val="20"/>
                <w:szCs w:val="20"/>
                <w:color w:val="auto"/>
              </w:rPr>
            </w:pPr>
            <w:r>
              <w:rPr>
                <w:rFonts w:ascii="Arial" w:cs="Arial" w:eastAsia="Arial" w:hAnsi="Arial"/>
                <w:sz w:val="22"/>
                <w:szCs w:val="22"/>
                <w:color w:val="auto"/>
              </w:rPr>
              <w:t>securities</w:t>
            </w:r>
          </w:p>
        </w:tc>
        <w:tc>
          <w:tcPr>
            <w:tcW w:w="1320" w:type="dxa"/>
            <w:vAlign w:val="bottom"/>
            <w:gridSpan w:val="2"/>
          </w:tcPr>
          <w:p>
            <w:pPr>
              <w:jc w:val="right"/>
              <w:ind w:right="320"/>
              <w:spacing w:after="0" w:line="243" w:lineRule="exact"/>
              <w:rPr>
                <w:sz w:val="20"/>
                <w:szCs w:val="20"/>
                <w:color w:val="auto"/>
              </w:rPr>
            </w:pPr>
            <w:r>
              <w:rPr>
                <w:rFonts w:ascii="Arial" w:cs="Arial" w:eastAsia="Arial" w:hAnsi="Arial"/>
                <w:sz w:val="22"/>
                <w:szCs w:val="22"/>
                <w:color w:val="auto"/>
              </w:rPr>
              <w:t>(818)</w:t>
            </w:r>
          </w:p>
        </w:tc>
        <w:tc>
          <w:tcPr>
            <w:tcW w:w="1340" w:type="dxa"/>
            <w:vAlign w:val="bottom"/>
            <w:gridSpan w:val="2"/>
          </w:tcPr>
          <w:p>
            <w:pPr>
              <w:jc w:val="right"/>
              <w:ind w:right="420"/>
              <w:spacing w:after="0" w:line="243" w:lineRule="exact"/>
              <w:rPr>
                <w:sz w:val="20"/>
                <w:szCs w:val="20"/>
                <w:color w:val="auto"/>
              </w:rPr>
            </w:pPr>
            <w:r>
              <w:rPr>
                <w:rFonts w:ascii="Arial" w:cs="Arial" w:eastAsia="Arial" w:hAnsi="Arial"/>
                <w:sz w:val="22"/>
                <w:szCs w:val="22"/>
                <w:color w:val="auto"/>
              </w:rPr>
              <w:t>1,284</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(227)</w:t>
            </w:r>
          </w:p>
        </w:tc>
      </w:tr>
      <w:tr>
        <w:trPr>
          <w:trHeight w:val="275"/>
        </w:trPr>
        <w:tc>
          <w:tcPr>
            <w:tcW w:w="6500" w:type="dxa"/>
            <w:vAlign w:val="bottom"/>
            <w:gridSpan w:val="2"/>
          </w:tcPr>
          <w:p>
            <w:pPr>
              <w:ind w:left="280"/>
              <w:spacing w:after="0"/>
              <w:rPr>
                <w:sz w:val="20"/>
                <w:szCs w:val="20"/>
                <w:color w:val="auto"/>
              </w:rPr>
            </w:pPr>
            <w:r>
              <w:rPr>
                <w:rFonts w:ascii="Arial" w:cs="Arial" w:eastAsia="Arial" w:hAnsi="Arial"/>
                <w:sz w:val="22"/>
                <w:szCs w:val="22"/>
                <w:color w:val="auto"/>
              </w:rPr>
              <w:t>Mark to market adjustments on derivatives and hedged items</w:t>
            </w:r>
          </w:p>
        </w:tc>
        <w:tc>
          <w:tcPr>
            <w:tcW w:w="1320" w:type="dxa"/>
            <w:vAlign w:val="bottom"/>
            <w:gridSpan w:val="2"/>
          </w:tcPr>
          <w:p>
            <w:pPr>
              <w:jc w:val="right"/>
              <w:ind w:right="320"/>
              <w:spacing w:after="0"/>
              <w:rPr>
                <w:sz w:val="20"/>
                <w:szCs w:val="20"/>
                <w:color w:val="auto"/>
              </w:rPr>
            </w:pPr>
            <w:r>
              <w:rPr>
                <w:rFonts w:ascii="Arial" w:cs="Arial" w:eastAsia="Arial" w:hAnsi="Arial"/>
                <w:sz w:val="22"/>
                <w:szCs w:val="22"/>
                <w:color w:val="auto"/>
              </w:rPr>
              <w:t>(353)</w:t>
            </w:r>
          </w:p>
        </w:tc>
        <w:tc>
          <w:tcPr>
            <w:tcW w:w="1340" w:type="dxa"/>
            <w:vAlign w:val="bottom"/>
            <w:gridSpan w:val="2"/>
          </w:tcPr>
          <w:p>
            <w:pPr>
              <w:jc w:val="right"/>
              <w:ind w:right="340"/>
              <w:spacing w:after="0"/>
              <w:rPr>
                <w:sz w:val="20"/>
                <w:szCs w:val="20"/>
                <w:color w:val="auto"/>
              </w:rPr>
            </w:pPr>
            <w:r>
              <w:rPr>
                <w:rFonts w:ascii="Arial" w:cs="Arial" w:eastAsia="Arial" w:hAnsi="Arial"/>
                <w:sz w:val="22"/>
                <w:szCs w:val="22"/>
                <w:color w:val="auto"/>
              </w:rPr>
              <w:t>(16)</w:t>
            </w:r>
          </w:p>
        </w:tc>
        <w:tc>
          <w:tcPr>
            <w:tcW w:w="900" w:type="dxa"/>
            <w:vAlign w:val="bottom"/>
          </w:tcPr>
          <w:p>
            <w:pPr>
              <w:jc w:val="right"/>
              <w:spacing w:after="0"/>
              <w:rPr>
                <w:sz w:val="20"/>
                <w:szCs w:val="20"/>
                <w:color w:val="auto"/>
              </w:rPr>
            </w:pPr>
            <w:r>
              <w:rPr>
                <w:rFonts w:ascii="Arial" w:cs="Arial" w:eastAsia="Arial" w:hAnsi="Arial"/>
                <w:sz w:val="22"/>
                <w:szCs w:val="22"/>
                <w:color w:val="auto"/>
              </w:rPr>
              <w:t>26</w:t>
            </w:r>
          </w:p>
        </w:tc>
        <w:tc>
          <w:tcPr>
            <w:tcW w:w="80" w:type="dxa"/>
            <w:vAlign w:val="bottom"/>
          </w:tcPr>
          <w:p>
            <w:pPr>
              <w:spacing w:after="0"/>
              <w:rPr>
                <w:sz w:val="23"/>
                <w:szCs w:val="23"/>
                <w:color w:val="auto"/>
              </w:rPr>
            </w:pPr>
          </w:p>
        </w:tc>
      </w:tr>
      <w:tr>
        <w:trPr>
          <w:trHeight w:val="98"/>
        </w:trPr>
        <w:tc>
          <w:tcPr>
            <w:tcW w:w="46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55"/>
        </w:trPr>
        <w:tc>
          <w:tcPr>
            <w:tcW w:w="6500" w:type="dxa"/>
            <w:vAlign w:val="bottom"/>
            <w:gridSpan w:val="2"/>
          </w:tcPr>
          <w:p>
            <w:pPr>
              <w:ind w:left="540"/>
              <w:spacing w:after="0"/>
              <w:rPr>
                <w:sz w:val="20"/>
                <w:szCs w:val="20"/>
                <w:color w:val="auto"/>
              </w:rPr>
            </w:pPr>
            <w:r>
              <w:rPr>
                <w:rFonts w:ascii="Arial" w:cs="Arial" w:eastAsia="Arial" w:hAnsi="Arial"/>
                <w:sz w:val="22"/>
                <w:szCs w:val="22"/>
                <w:color w:val="auto"/>
              </w:rPr>
              <w:t>Investment income (loss), net</w:t>
            </w:r>
          </w:p>
        </w:tc>
        <w:tc>
          <w:tcPr>
            <w:tcW w:w="1320" w:type="dxa"/>
            <w:vAlign w:val="bottom"/>
            <w:gridSpan w:val="2"/>
          </w:tcPr>
          <w:p>
            <w:pPr>
              <w:jc w:val="right"/>
              <w:ind w:right="320"/>
              <w:spacing w:after="0"/>
              <w:rPr>
                <w:sz w:val="20"/>
                <w:szCs w:val="20"/>
                <w:color w:val="auto"/>
              </w:rPr>
            </w:pPr>
            <w:r>
              <w:rPr>
                <w:rFonts w:ascii="Arial" w:cs="Arial" w:eastAsia="Arial" w:hAnsi="Arial"/>
                <w:sz w:val="22"/>
                <w:szCs w:val="22"/>
                <w:color w:val="auto"/>
              </w:rPr>
              <w:t>($84)</w:t>
            </w:r>
          </w:p>
        </w:tc>
        <w:tc>
          <w:tcPr>
            <w:tcW w:w="1340" w:type="dxa"/>
            <w:vAlign w:val="bottom"/>
            <w:gridSpan w:val="2"/>
          </w:tcPr>
          <w:p>
            <w:pPr>
              <w:jc w:val="right"/>
              <w:ind w:right="340"/>
              <w:spacing w:after="0"/>
              <w:rPr>
                <w:sz w:val="20"/>
                <w:szCs w:val="20"/>
                <w:color w:val="auto"/>
              </w:rPr>
            </w:pPr>
            <w:r>
              <w:rPr>
                <w:rFonts w:ascii="Arial" w:cs="Arial" w:eastAsia="Arial" w:hAnsi="Arial"/>
                <w:sz w:val="22"/>
                <w:szCs w:val="22"/>
                <w:color w:val="auto"/>
              </w:rPr>
              <w:t>($543)</w:t>
            </w:r>
          </w:p>
        </w:tc>
        <w:tc>
          <w:tcPr>
            <w:tcW w:w="900" w:type="dxa"/>
            <w:vAlign w:val="bottom"/>
          </w:tcPr>
          <w:p>
            <w:pPr>
              <w:jc w:val="right"/>
              <w:spacing w:after="0"/>
              <w:rPr>
                <w:sz w:val="20"/>
                <w:szCs w:val="20"/>
                <w:color w:val="auto"/>
              </w:rPr>
            </w:pPr>
            <w:r>
              <w:rPr>
                <w:rFonts w:ascii="Arial" w:cs="Arial" w:eastAsia="Arial" w:hAnsi="Arial"/>
                <w:sz w:val="22"/>
                <w:szCs w:val="22"/>
                <w:color w:val="auto"/>
              </w:rPr>
              <w:t>$986</w:t>
            </w: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60325</wp:posOffset>
            </wp:positionV>
            <wp:extent cx="2276475"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76475" cy="21590"/>
                    </a:xfrm>
                    <a:prstGeom prst="rect">
                      <a:avLst/>
                    </a:prstGeom>
                    <a:noFill/>
                  </pic:spPr>
                </pic:pic>
              </a:graphicData>
            </a:graphic>
          </wp:anchor>
        </w:drawing>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21"/>
          <w:szCs w:val="21"/>
          <w:color w:val="auto"/>
        </w:rPr>
        <w:t>Gains (losses) on sales and exchanges of investments, net in 2001 relate principally to our investment in At Home.</w:t>
      </w:r>
    </w:p>
    <w:p>
      <w:pPr>
        <w:spacing w:after="0" w:line="245" w:lineRule="exact"/>
        <w:rPr>
          <w:sz w:val="20"/>
          <w:szCs w:val="20"/>
          <w:color w:val="auto"/>
        </w:rPr>
      </w:pPr>
    </w:p>
    <w:p>
      <w:pPr>
        <w:ind w:left="460" w:right="480"/>
        <w:spacing w:after="0" w:line="251" w:lineRule="auto"/>
        <w:rPr>
          <w:sz w:val="20"/>
          <w:szCs w:val="20"/>
          <w:color w:val="auto"/>
        </w:rPr>
      </w:pPr>
      <w:r>
        <w:rPr>
          <w:rFonts w:ascii="Arial" w:cs="Arial" w:eastAsia="Arial" w:hAnsi="Arial"/>
          <w:sz w:val="22"/>
          <w:szCs w:val="22"/>
          <w:color w:val="auto"/>
        </w:rPr>
        <w:t>The investment impairment losses for the years ended December 31, 2003, 2002 and 2001 relate principally to other than temporary declines in our investment in AT&amp;T.</w:t>
      </w:r>
    </w:p>
    <w:p>
      <w:pPr>
        <w:spacing w:after="0" w:line="200"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GOODWILL AND INTANGIBLE ASSETS</w:t>
      </w:r>
    </w:p>
    <w:p>
      <w:pPr>
        <w:spacing w:after="0" w:line="233" w:lineRule="exact"/>
        <w:rPr>
          <w:rFonts w:ascii="Arial" w:cs="Arial" w:eastAsia="Arial" w:hAnsi="Arial"/>
          <w:sz w:val="22"/>
          <w:szCs w:val="22"/>
          <w:color w:val="auto"/>
        </w:rPr>
      </w:pPr>
    </w:p>
    <w:p>
      <w:pPr>
        <w:ind w:left="460"/>
        <w:spacing w:after="0" w:line="251" w:lineRule="auto"/>
        <w:rPr>
          <w:rFonts w:ascii="Arial" w:cs="Arial" w:eastAsia="Arial" w:hAnsi="Arial"/>
          <w:sz w:val="22"/>
          <w:szCs w:val="22"/>
          <w:color w:val="auto"/>
        </w:rPr>
      </w:pPr>
      <w:r>
        <w:rPr>
          <w:rFonts w:ascii="Arial" w:cs="Arial" w:eastAsia="Arial" w:hAnsi="Arial"/>
          <w:sz w:val="22"/>
          <w:szCs w:val="22"/>
          <w:color w:val="auto"/>
        </w:rPr>
        <w:t xml:space="preserve">The changes in the carrying amount of goodwill by business segment (see </w:t>
      </w:r>
      <w:hyperlink w:anchor="page95">
        <w:r>
          <w:rPr>
            <w:rFonts w:ascii="Arial" w:cs="Arial" w:eastAsia="Arial" w:hAnsi="Arial"/>
            <w:sz w:val="22"/>
            <w:szCs w:val="22"/>
            <w:u w:val="single" w:color="auto"/>
            <w:color w:val="0000EE"/>
          </w:rPr>
          <w:t>Note 14</w:t>
        </w:r>
      </w:hyperlink>
      <w:r>
        <w:rPr>
          <w:rFonts w:ascii="Arial" w:cs="Arial" w:eastAsia="Arial" w:hAnsi="Arial"/>
          <w:sz w:val="22"/>
          <w:szCs w:val="22"/>
          <w:color w:val="auto"/>
        </w:rPr>
        <w:t>) for the periods presented are as follows (in millions):</w:t>
      </w:r>
    </w:p>
    <w:p>
      <w:pPr>
        <w:spacing w:after="0" w:line="190"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4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22"/>
                <w:szCs w:val="22"/>
                <w:color w:val="auto"/>
                <w:w w:val="89"/>
              </w:rPr>
              <w:t>Corporate</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5"/>
        </w:trPr>
        <w:tc>
          <w:tcPr>
            <w:tcW w:w="4900" w:type="dxa"/>
            <w:vAlign w:val="bottom"/>
          </w:tcPr>
          <w:p>
            <w:pPr>
              <w:spacing w:after="0"/>
              <w:rPr>
                <w:sz w:val="23"/>
                <w:szCs w:val="23"/>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22"/>
                <w:szCs w:val="22"/>
                <w:color w:val="auto"/>
              </w:rPr>
              <w:t>Cable</w:t>
            </w:r>
          </w:p>
        </w:tc>
        <w:tc>
          <w:tcPr>
            <w:tcW w:w="920" w:type="dxa"/>
            <w:vAlign w:val="bottom"/>
          </w:tcPr>
          <w:p>
            <w:pPr>
              <w:jc w:val="right"/>
              <w:ind w:right="12"/>
              <w:spacing w:after="0"/>
              <w:rPr>
                <w:sz w:val="20"/>
                <w:szCs w:val="20"/>
                <w:color w:val="auto"/>
              </w:rPr>
            </w:pPr>
            <w:r>
              <w:rPr>
                <w:rFonts w:ascii="Arial" w:cs="Arial" w:eastAsia="Arial" w:hAnsi="Arial"/>
                <w:sz w:val="22"/>
                <w:szCs w:val="22"/>
                <w:color w:val="auto"/>
              </w:rPr>
              <w:t>Content</w:t>
            </w:r>
          </w:p>
        </w:tc>
        <w:tc>
          <w:tcPr>
            <w:tcW w:w="400" w:type="dxa"/>
            <w:vAlign w:val="bottom"/>
          </w:tcPr>
          <w:p>
            <w:pPr>
              <w:spacing w:after="0"/>
              <w:rPr>
                <w:sz w:val="23"/>
                <w:szCs w:val="23"/>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22"/>
                <w:szCs w:val="22"/>
                <w:color w:val="auto"/>
                <w:w w:val="89"/>
              </w:rPr>
              <w:t>and Other</w:t>
            </w:r>
          </w:p>
        </w:tc>
        <w:tc>
          <w:tcPr>
            <w:tcW w:w="980" w:type="dxa"/>
            <w:vAlign w:val="bottom"/>
            <w:gridSpan w:val="2"/>
          </w:tcPr>
          <w:p>
            <w:pPr>
              <w:jc w:val="right"/>
              <w:ind w:right="300"/>
              <w:spacing w:after="0"/>
              <w:rPr>
                <w:sz w:val="20"/>
                <w:szCs w:val="20"/>
                <w:color w:val="auto"/>
              </w:rPr>
            </w:pPr>
            <w:r>
              <w:rPr>
                <w:rFonts w:ascii="Arial" w:cs="Arial" w:eastAsia="Arial" w:hAnsi="Arial"/>
                <w:sz w:val="22"/>
                <w:szCs w:val="22"/>
                <w:color w:val="auto"/>
              </w:rPr>
              <w:t>Total</w:t>
            </w:r>
          </w:p>
        </w:tc>
      </w:tr>
      <w:tr>
        <w:trPr>
          <w:trHeight w:val="98"/>
        </w:trPr>
        <w:tc>
          <w:tcPr>
            <w:tcW w:w="49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23"/>
        </w:trPr>
        <w:tc>
          <w:tcPr>
            <w:tcW w:w="4900" w:type="dxa"/>
            <w:vAlign w:val="bottom"/>
          </w:tcPr>
          <w:p>
            <w:pPr>
              <w:ind w:left="20"/>
              <w:spacing w:after="0"/>
              <w:rPr>
                <w:sz w:val="20"/>
                <w:szCs w:val="20"/>
                <w:color w:val="auto"/>
              </w:rPr>
            </w:pPr>
            <w:r>
              <w:rPr>
                <w:rFonts w:ascii="Arial" w:cs="Arial" w:eastAsia="Arial" w:hAnsi="Arial"/>
                <w:sz w:val="22"/>
                <w:szCs w:val="22"/>
                <w:color w:val="auto"/>
              </w:rPr>
              <w:t>Balance, December 31, 2002</w:t>
            </w:r>
          </w:p>
        </w:tc>
        <w:tc>
          <w:tcPr>
            <w:tcW w:w="920" w:type="dxa"/>
            <w:vAlign w:val="bottom"/>
          </w:tcPr>
          <w:p>
            <w:pPr>
              <w:jc w:val="right"/>
              <w:spacing w:after="0"/>
              <w:rPr>
                <w:sz w:val="20"/>
                <w:szCs w:val="20"/>
                <w:color w:val="auto"/>
              </w:rPr>
            </w:pPr>
            <w:r>
              <w:rPr>
                <w:rFonts w:ascii="Arial" w:cs="Arial" w:eastAsia="Arial" w:hAnsi="Arial"/>
                <w:sz w:val="22"/>
                <w:szCs w:val="22"/>
                <w:color w:val="auto"/>
              </w:rPr>
              <w:t>$15,644</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$722</w:t>
            </w:r>
          </w:p>
        </w:tc>
        <w:tc>
          <w:tcPr>
            <w:tcW w:w="1740" w:type="dxa"/>
            <w:vAlign w:val="bottom"/>
            <w:gridSpan w:val="3"/>
          </w:tcPr>
          <w:p>
            <w:pPr>
              <w:jc w:val="right"/>
              <w:ind w:right="420"/>
              <w:spacing w:after="0"/>
              <w:rPr>
                <w:sz w:val="20"/>
                <w:szCs w:val="20"/>
                <w:color w:val="auto"/>
              </w:rPr>
            </w:pPr>
            <w:r>
              <w:rPr>
                <w:rFonts w:ascii="Arial" w:cs="Arial" w:eastAsia="Arial" w:hAnsi="Arial"/>
                <w:sz w:val="22"/>
                <w:szCs w:val="22"/>
                <w:color w:val="auto"/>
              </w:rPr>
              <w:t>$196</w:t>
            </w:r>
          </w:p>
        </w:tc>
        <w:tc>
          <w:tcPr>
            <w:tcW w:w="900" w:type="dxa"/>
            <w:vAlign w:val="bottom"/>
          </w:tcPr>
          <w:p>
            <w:pPr>
              <w:jc w:val="right"/>
              <w:spacing w:after="0"/>
              <w:rPr>
                <w:sz w:val="20"/>
                <w:szCs w:val="20"/>
                <w:color w:val="auto"/>
              </w:rPr>
            </w:pPr>
            <w:r>
              <w:rPr>
                <w:rFonts w:ascii="Arial" w:cs="Arial" w:eastAsia="Arial" w:hAnsi="Arial"/>
                <w:sz w:val="22"/>
                <w:szCs w:val="22"/>
                <w:color w:val="auto"/>
              </w:rPr>
              <w:t>$16,562</w:t>
            </w:r>
          </w:p>
        </w:tc>
        <w:tc>
          <w:tcPr>
            <w:tcW w:w="80" w:type="dxa"/>
            <w:vAlign w:val="bottom"/>
          </w:tcPr>
          <w:p>
            <w:pPr>
              <w:spacing w:after="0"/>
              <w:rPr>
                <w:sz w:val="24"/>
                <w:szCs w:val="24"/>
                <w:color w:val="auto"/>
              </w:rPr>
            </w:pPr>
          </w:p>
        </w:tc>
      </w:tr>
      <w:tr>
        <w:trPr>
          <w:trHeight w:val="243"/>
        </w:trPr>
        <w:tc>
          <w:tcPr>
            <w:tcW w:w="4900" w:type="dxa"/>
            <w:vAlign w:val="bottom"/>
          </w:tcPr>
          <w:p>
            <w:pPr>
              <w:ind w:left="20"/>
              <w:spacing w:after="0" w:line="243" w:lineRule="exact"/>
              <w:rPr>
                <w:sz w:val="20"/>
                <w:szCs w:val="20"/>
                <w:color w:val="auto"/>
              </w:rPr>
            </w:pPr>
            <w:r>
              <w:rPr>
                <w:rFonts w:ascii="Arial" w:cs="Arial" w:eastAsia="Arial" w:hAnsi="Arial"/>
                <w:sz w:val="22"/>
                <w:szCs w:val="22"/>
                <w:color w:val="auto"/>
              </w:rPr>
              <w:t>Purchase price allocation adjustments</w:t>
            </w:r>
          </w:p>
        </w:tc>
        <w:tc>
          <w:tcPr>
            <w:tcW w:w="134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(1,773)</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(1,773)</w:t>
            </w:r>
          </w:p>
        </w:tc>
      </w:tr>
      <w:tr>
        <w:trPr>
          <w:trHeight w:val="243"/>
        </w:trPr>
        <w:tc>
          <w:tcPr>
            <w:tcW w:w="4900" w:type="dxa"/>
            <w:vAlign w:val="bottom"/>
          </w:tcPr>
          <w:p>
            <w:pPr>
              <w:spacing w:after="0" w:line="243" w:lineRule="exact"/>
              <w:rPr>
                <w:sz w:val="20"/>
                <w:szCs w:val="20"/>
                <w:color w:val="auto"/>
              </w:rPr>
            </w:pPr>
            <w:r>
              <w:rPr>
                <w:rFonts w:ascii="Arial" w:cs="Arial" w:eastAsia="Arial" w:hAnsi="Arial"/>
                <w:sz w:val="22"/>
                <w:szCs w:val="22"/>
                <w:color w:val="auto"/>
              </w:rPr>
              <w:t>Acquisitions</w:t>
            </w: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c>
          <w:tcPr>
            <w:tcW w:w="80" w:type="dxa"/>
            <w:vAlign w:val="bottom"/>
          </w:tcPr>
          <w:p>
            <w:pPr>
              <w:spacing w:after="0"/>
              <w:rPr>
                <w:sz w:val="21"/>
                <w:szCs w:val="21"/>
                <w:color w:val="auto"/>
              </w:rPr>
            </w:pPr>
          </w:p>
        </w:tc>
      </w:tr>
      <w:tr>
        <w:trPr>
          <w:trHeight w:val="275"/>
        </w:trPr>
        <w:tc>
          <w:tcPr>
            <w:tcW w:w="4900" w:type="dxa"/>
            <w:vAlign w:val="bottom"/>
          </w:tcPr>
          <w:p>
            <w:pPr>
              <w:ind w:left="20"/>
              <w:spacing w:after="0"/>
              <w:rPr>
                <w:sz w:val="20"/>
                <w:szCs w:val="20"/>
                <w:color w:val="auto"/>
              </w:rPr>
            </w:pPr>
            <w:r>
              <w:rPr>
                <w:rFonts w:ascii="Arial" w:cs="Arial" w:eastAsia="Arial" w:hAnsi="Arial"/>
                <w:sz w:val="22"/>
                <w:szCs w:val="22"/>
                <w:color w:val="auto"/>
              </w:rPr>
              <w:t>Intersegment transfers</w:t>
            </w:r>
          </w:p>
        </w:tc>
        <w:tc>
          <w:tcPr>
            <w:tcW w:w="920" w:type="dxa"/>
            <w:vAlign w:val="bottom"/>
          </w:tcPr>
          <w:p>
            <w:pPr>
              <w:jc w:val="right"/>
              <w:spacing w:after="0"/>
              <w:rPr>
                <w:sz w:val="20"/>
                <w:szCs w:val="20"/>
                <w:color w:val="auto"/>
              </w:rPr>
            </w:pPr>
            <w:r>
              <w:rPr>
                <w:rFonts w:ascii="Arial" w:cs="Arial" w:eastAsia="Arial" w:hAnsi="Arial"/>
                <w:sz w:val="22"/>
                <w:szCs w:val="22"/>
                <w:color w:val="auto"/>
              </w:rPr>
              <w:t>20</w:t>
            </w: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740" w:type="dxa"/>
            <w:vAlign w:val="bottom"/>
            <w:gridSpan w:val="3"/>
          </w:tcPr>
          <w:p>
            <w:pPr>
              <w:jc w:val="right"/>
              <w:ind w:right="340"/>
              <w:spacing w:after="0"/>
              <w:rPr>
                <w:sz w:val="20"/>
                <w:szCs w:val="20"/>
                <w:color w:val="auto"/>
              </w:rPr>
            </w:pPr>
            <w:r>
              <w:rPr>
                <w:rFonts w:ascii="Arial" w:cs="Arial" w:eastAsia="Arial" w:hAnsi="Arial"/>
                <w:sz w:val="22"/>
                <w:szCs w:val="22"/>
                <w:color w:val="auto"/>
              </w:rPr>
              <w:t>(20)</w:t>
            </w: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98"/>
        </w:trPr>
        <w:tc>
          <w:tcPr>
            <w:tcW w:w="49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55"/>
        </w:trPr>
        <w:tc>
          <w:tcPr>
            <w:tcW w:w="4900" w:type="dxa"/>
            <w:vAlign w:val="bottom"/>
          </w:tcPr>
          <w:p>
            <w:pPr>
              <w:ind w:left="20"/>
              <w:spacing w:after="0"/>
              <w:rPr>
                <w:sz w:val="20"/>
                <w:szCs w:val="20"/>
                <w:color w:val="auto"/>
              </w:rPr>
            </w:pPr>
            <w:r>
              <w:rPr>
                <w:rFonts w:ascii="Arial" w:cs="Arial" w:eastAsia="Arial" w:hAnsi="Arial"/>
                <w:sz w:val="22"/>
                <w:szCs w:val="22"/>
                <w:color w:val="auto"/>
              </w:rPr>
              <w:t>Balance, December 31, 2003</w:t>
            </w:r>
          </w:p>
        </w:tc>
        <w:tc>
          <w:tcPr>
            <w:tcW w:w="920" w:type="dxa"/>
            <w:vAlign w:val="bottom"/>
          </w:tcPr>
          <w:p>
            <w:pPr>
              <w:jc w:val="right"/>
              <w:spacing w:after="0"/>
              <w:rPr>
                <w:sz w:val="20"/>
                <w:szCs w:val="20"/>
                <w:color w:val="auto"/>
              </w:rPr>
            </w:pPr>
            <w:r>
              <w:rPr>
                <w:rFonts w:ascii="Arial" w:cs="Arial" w:eastAsia="Arial" w:hAnsi="Arial"/>
                <w:sz w:val="22"/>
                <w:szCs w:val="22"/>
                <w:color w:val="auto"/>
              </w:rPr>
              <w:t>$13,891</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$774</w:t>
            </w:r>
          </w:p>
        </w:tc>
        <w:tc>
          <w:tcPr>
            <w:tcW w:w="1740" w:type="dxa"/>
            <w:vAlign w:val="bottom"/>
            <w:gridSpan w:val="3"/>
          </w:tcPr>
          <w:p>
            <w:pPr>
              <w:jc w:val="right"/>
              <w:ind w:right="420"/>
              <w:spacing w:after="0"/>
              <w:rPr>
                <w:sz w:val="20"/>
                <w:szCs w:val="20"/>
                <w:color w:val="auto"/>
              </w:rPr>
            </w:pPr>
            <w:r>
              <w:rPr>
                <w:rFonts w:ascii="Arial" w:cs="Arial" w:eastAsia="Arial" w:hAnsi="Arial"/>
                <w:sz w:val="22"/>
                <w:szCs w:val="22"/>
                <w:color w:val="auto"/>
              </w:rPr>
              <w:t>$176</w:t>
            </w:r>
          </w:p>
        </w:tc>
        <w:tc>
          <w:tcPr>
            <w:tcW w:w="900" w:type="dxa"/>
            <w:vAlign w:val="bottom"/>
          </w:tcPr>
          <w:p>
            <w:pPr>
              <w:jc w:val="right"/>
              <w:spacing w:after="0"/>
              <w:rPr>
                <w:sz w:val="20"/>
                <w:szCs w:val="20"/>
                <w:color w:val="auto"/>
              </w:rPr>
            </w:pPr>
            <w:r>
              <w:rPr>
                <w:rFonts w:ascii="Arial" w:cs="Arial" w:eastAsia="Arial" w:hAnsi="Arial"/>
                <w:sz w:val="22"/>
                <w:szCs w:val="22"/>
                <w:color w:val="auto"/>
              </w:rPr>
              <w:t>$14,841</w:t>
            </w:r>
          </w:p>
        </w:tc>
        <w:tc>
          <w:tcPr>
            <w:tcW w:w="80" w:type="dxa"/>
            <w:vAlign w:val="bottom"/>
          </w:tcPr>
          <w:p>
            <w:pPr>
              <w:spacing w:after="0"/>
              <w:rPr>
                <w:sz w:val="24"/>
                <w:szCs w:val="24"/>
                <w:color w:val="auto"/>
              </w:rPr>
            </w:pPr>
          </w:p>
        </w:tc>
      </w:tr>
      <w:tr>
        <w:trPr>
          <w:trHeight w:val="108"/>
        </w:trPr>
        <w:tc>
          <w:tcPr>
            <w:tcW w:w="49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460"/>
        <w:spacing w:after="0" w:line="249" w:lineRule="auto"/>
        <w:rPr>
          <w:sz w:val="20"/>
          <w:szCs w:val="20"/>
          <w:color w:val="auto"/>
        </w:rPr>
      </w:pPr>
      <w:r>
        <w:rPr>
          <w:rFonts w:ascii="Arial" w:cs="Arial" w:eastAsia="Arial" w:hAnsi="Arial"/>
          <w:sz w:val="21"/>
          <w:szCs w:val="21"/>
          <w:color w:val="auto"/>
        </w:rPr>
        <w:t>During 2003, we adjusted our purchase price allocation of the Broadband acquisition. The decrease to goodwill primarily relates to the changes in values assigned to property and equipment, franchise rights and franchise-related customer relationship intangible assets as a result of obtaining updated valuation reports. Additionally, a portion of this change relates to the reduction in our estimated liabilities associated with employee termination costs, estimated contractual obligations assumed in the acquisition and the impact of the adjustments on deferred taxes.</w:t>
      </w:r>
    </w:p>
    <w:p>
      <w:pPr>
        <w:spacing w:after="0" w:line="206" w:lineRule="exact"/>
        <w:rPr>
          <w:sz w:val="20"/>
          <w:szCs w:val="20"/>
          <w:color w:val="auto"/>
        </w:rPr>
      </w:pPr>
    </w:p>
    <w:p>
      <w:pPr>
        <w:ind w:left="460" w:right="760"/>
        <w:spacing w:after="0" w:line="251" w:lineRule="auto"/>
        <w:rPr>
          <w:rFonts w:ascii="Arial" w:cs="Arial" w:eastAsia="Arial" w:hAnsi="Arial"/>
          <w:sz w:val="22"/>
          <w:szCs w:val="22"/>
          <w:color w:val="auto"/>
        </w:rPr>
      </w:pPr>
      <w:r>
        <w:rPr>
          <w:rFonts w:ascii="Arial" w:cs="Arial" w:eastAsia="Arial" w:hAnsi="Arial"/>
          <w:sz w:val="22"/>
          <w:szCs w:val="22"/>
          <w:color w:val="auto"/>
        </w:rPr>
        <w:t xml:space="preserve">During 2003, we acquired an additional interest in TGC (see </w:t>
      </w:r>
      <w:hyperlink w:anchor="page73">
        <w:r>
          <w:rPr>
            <w:rFonts w:ascii="Arial" w:cs="Arial" w:eastAsia="Arial" w:hAnsi="Arial"/>
            <w:sz w:val="22"/>
            <w:szCs w:val="22"/>
            <w:u w:val="single" w:color="auto"/>
            <w:color w:val="0000EE"/>
          </w:rPr>
          <w:t>Note 5</w:t>
        </w:r>
      </w:hyperlink>
      <w:r>
        <w:rPr>
          <w:rFonts w:ascii="Arial" w:cs="Arial" w:eastAsia="Arial" w:hAnsi="Arial"/>
          <w:sz w:val="22"/>
          <w:szCs w:val="22"/>
          <w:color w:val="auto"/>
        </w:rPr>
        <w:t>). A portion of the purchase price was allocated to goodwill.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9"/>
          <w:szCs w:val="19"/>
          <w:color w:val="auto"/>
        </w:rPr>
        <w:t>The gross carrying amount and accumulated amortization of our intangible assets subject to amortization are as follows (in</w:t>
      </w:r>
    </w:p>
    <w:p>
      <w:pPr>
        <w:sectPr>
          <w:pgSz w:w="11900" w:h="16838" w:orient="portrait"/>
          <w:cols w:equalWidth="0" w:num="1">
            <w:col w:w="11420"/>
          </w:cols>
          <w:pgMar w:left="240" w:top="118" w:right="239" w:bottom="0" w:gutter="0" w:footer="0" w:header="0"/>
        </w:sectPr>
      </w:pPr>
    </w:p>
    <w:bookmarkStart w:id="81" w:name="page82"/>
    <w:bookmarkEnd w:id="81"/>
    <w:tbl>
      <w:tblPr>
        <w:tblLayout w:type="fixed"/>
        <w:tblInd w:w="280" w:type="dxa"/>
        <w:tblCellMar>
          <w:top w:w="0" w:type="dxa"/>
          <w:left w:w="0" w:type="dxa"/>
          <w:bottom w:w="0" w:type="dxa"/>
          <w:right w:w="0" w:type="dxa"/>
        </w:tblCellMar>
      </w:tblPr>
      <w:tr>
        <w:trPr>
          <w:trHeight w:val="275"/>
        </w:trPr>
        <w:tc>
          <w:tcPr>
            <w:tcW w:w="4260" w:type="dxa"/>
            <w:vAlign w:val="bottom"/>
          </w:tcPr>
          <w:p>
            <w:pPr>
              <w:ind w:left="180"/>
              <w:spacing w:after="0"/>
              <w:rPr>
                <w:sz w:val="20"/>
                <w:szCs w:val="20"/>
                <w:color w:val="auto"/>
              </w:rPr>
            </w:pPr>
            <w:r>
              <w:rPr>
                <w:rFonts w:ascii="Arial" w:cs="Arial" w:eastAsia="Arial" w:hAnsi="Arial"/>
                <w:sz w:val="22"/>
                <w:szCs w:val="22"/>
                <w:color w:val="auto"/>
              </w:rPr>
              <w:t>millions):</w:t>
            </w: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4260" w:type="dxa"/>
            <w:vAlign w:val="bottom"/>
          </w:tcPr>
          <w:p>
            <w:pPr>
              <w:spacing w:after="0"/>
              <w:rPr>
                <w:sz w:val="24"/>
                <w:szCs w:val="24"/>
                <w:color w:val="auto"/>
              </w:rPr>
            </w:pPr>
          </w:p>
        </w:tc>
        <w:tc>
          <w:tcPr>
            <w:tcW w:w="2960" w:type="dxa"/>
            <w:vAlign w:val="bottom"/>
            <w:gridSpan w:val="4"/>
          </w:tcPr>
          <w:p>
            <w:pPr>
              <w:jc w:val="right"/>
              <w:ind w:right="560"/>
              <w:spacing w:after="0"/>
              <w:rPr>
                <w:sz w:val="20"/>
                <w:szCs w:val="20"/>
                <w:color w:val="auto"/>
              </w:rPr>
            </w:pPr>
            <w:r>
              <w:rPr>
                <w:rFonts w:ascii="Arial" w:cs="Arial" w:eastAsia="Arial" w:hAnsi="Arial"/>
                <w:sz w:val="22"/>
                <w:szCs w:val="22"/>
                <w:color w:val="auto"/>
                <w:w w:val="95"/>
              </w:rPr>
              <w:t>As of December 31, 2003</w:t>
            </w:r>
          </w:p>
        </w:tc>
        <w:tc>
          <w:tcPr>
            <w:tcW w:w="2640" w:type="dxa"/>
            <w:vAlign w:val="bottom"/>
            <w:gridSpan w:val="4"/>
          </w:tcPr>
          <w:p>
            <w:pPr>
              <w:jc w:val="right"/>
              <w:ind w:right="240"/>
              <w:spacing w:after="0"/>
              <w:rPr>
                <w:sz w:val="20"/>
                <w:szCs w:val="20"/>
                <w:color w:val="auto"/>
              </w:rPr>
            </w:pPr>
            <w:r>
              <w:rPr>
                <w:rFonts w:ascii="Arial" w:cs="Arial" w:eastAsia="Arial" w:hAnsi="Arial"/>
                <w:sz w:val="22"/>
                <w:szCs w:val="22"/>
                <w:color w:val="auto"/>
                <w:w w:val="95"/>
              </w:rPr>
              <w:t>As of December 31, 2002</w:t>
            </w: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42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color w:val="auto"/>
                <w:w w:val="85"/>
              </w:rPr>
              <w:t>Gross</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22"/>
                <w:szCs w:val="22"/>
                <w:color w:val="auto"/>
                <w:w w:val="85"/>
              </w:rPr>
              <w:t>Gross</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1"/>
                <w:szCs w:val="21"/>
                <w:color w:val="auto"/>
              </w:rPr>
            </w:pPr>
          </w:p>
        </w:tc>
        <w:tc>
          <w:tcPr>
            <w:tcW w:w="1020" w:type="dxa"/>
            <w:vAlign w:val="bottom"/>
          </w:tcPr>
          <w:p>
            <w:pPr>
              <w:jc w:val="center"/>
              <w:spacing w:after="0" w:line="243" w:lineRule="exact"/>
              <w:rPr>
                <w:sz w:val="20"/>
                <w:szCs w:val="20"/>
                <w:color w:val="auto"/>
              </w:rPr>
            </w:pPr>
            <w:r>
              <w:rPr>
                <w:rFonts w:ascii="Arial" w:cs="Arial" w:eastAsia="Arial" w:hAnsi="Arial"/>
                <w:sz w:val="22"/>
                <w:szCs w:val="22"/>
                <w:color w:val="auto"/>
                <w:w w:val="93"/>
              </w:rPr>
              <w:t>Carrying</w:t>
            </w:r>
          </w:p>
        </w:tc>
        <w:tc>
          <w:tcPr>
            <w:tcW w:w="400" w:type="dxa"/>
            <w:vAlign w:val="bottom"/>
          </w:tcPr>
          <w:p>
            <w:pPr>
              <w:spacing w:after="0"/>
              <w:rPr>
                <w:sz w:val="21"/>
                <w:szCs w:val="21"/>
                <w:color w:val="auto"/>
              </w:rPr>
            </w:pPr>
          </w:p>
        </w:tc>
        <w:tc>
          <w:tcPr>
            <w:tcW w:w="1540" w:type="dxa"/>
            <w:vAlign w:val="bottom"/>
            <w:gridSpan w:val="2"/>
          </w:tcPr>
          <w:p>
            <w:pPr>
              <w:jc w:val="right"/>
              <w:ind w:right="400"/>
              <w:spacing w:after="0" w:line="243" w:lineRule="exact"/>
              <w:rPr>
                <w:sz w:val="20"/>
                <w:szCs w:val="20"/>
                <w:color w:val="auto"/>
              </w:rPr>
            </w:pPr>
            <w:r>
              <w:rPr>
                <w:rFonts w:ascii="Arial" w:cs="Arial" w:eastAsia="Arial" w:hAnsi="Arial"/>
                <w:sz w:val="22"/>
                <w:szCs w:val="22"/>
                <w:color w:val="auto"/>
                <w:w w:val="88"/>
              </w:rPr>
              <w:t>Accumulated</w:t>
            </w:r>
          </w:p>
        </w:tc>
        <w:tc>
          <w:tcPr>
            <w:tcW w:w="1400" w:type="dxa"/>
            <w:vAlign w:val="bottom"/>
            <w:gridSpan w:val="2"/>
          </w:tcPr>
          <w:p>
            <w:pPr>
              <w:jc w:val="center"/>
              <w:ind w:right="380"/>
              <w:spacing w:after="0" w:line="243" w:lineRule="exact"/>
              <w:rPr>
                <w:sz w:val="20"/>
                <w:szCs w:val="20"/>
                <w:color w:val="auto"/>
              </w:rPr>
            </w:pPr>
            <w:r>
              <w:rPr>
                <w:rFonts w:ascii="Arial" w:cs="Arial" w:eastAsia="Arial" w:hAnsi="Arial"/>
                <w:sz w:val="22"/>
                <w:szCs w:val="22"/>
                <w:color w:val="auto"/>
                <w:w w:val="93"/>
              </w:rPr>
              <w:t>Carrying</w:t>
            </w:r>
          </w:p>
        </w:tc>
        <w:tc>
          <w:tcPr>
            <w:tcW w:w="124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w w:val="89"/>
              </w:rPr>
              <w:t>Accumulated</w:t>
            </w:r>
          </w:p>
        </w:tc>
        <w:tc>
          <w:tcPr>
            <w:tcW w:w="0" w:type="dxa"/>
            <w:vAlign w:val="bottom"/>
          </w:tcPr>
          <w:p>
            <w:pPr>
              <w:spacing w:after="0"/>
              <w:rPr>
                <w:sz w:val="1"/>
                <w:szCs w:val="1"/>
                <w:color w:val="auto"/>
              </w:rPr>
            </w:pPr>
          </w:p>
        </w:tc>
      </w:tr>
      <w:tr>
        <w:trPr>
          <w:trHeight w:val="275"/>
        </w:trPr>
        <w:tc>
          <w:tcPr>
            <w:tcW w:w="426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22"/>
                <w:szCs w:val="22"/>
                <w:color w:val="auto"/>
                <w:w w:val="92"/>
              </w:rPr>
              <w:t>Amount</w:t>
            </w:r>
          </w:p>
        </w:tc>
        <w:tc>
          <w:tcPr>
            <w:tcW w:w="400" w:type="dxa"/>
            <w:vAlign w:val="bottom"/>
          </w:tcPr>
          <w:p>
            <w:pPr>
              <w:spacing w:after="0"/>
              <w:rPr>
                <w:sz w:val="23"/>
                <w:szCs w:val="23"/>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22"/>
                <w:szCs w:val="22"/>
                <w:color w:val="auto"/>
                <w:w w:val="91"/>
              </w:rPr>
              <w:t>Amortization</w:t>
            </w:r>
          </w:p>
        </w:tc>
        <w:tc>
          <w:tcPr>
            <w:tcW w:w="1400" w:type="dxa"/>
            <w:vAlign w:val="bottom"/>
            <w:gridSpan w:val="2"/>
          </w:tcPr>
          <w:p>
            <w:pPr>
              <w:jc w:val="center"/>
              <w:ind w:right="380"/>
              <w:spacing w:after="0"/>
              <w:rPr>
                <w:sz w:val="20"/>
                <w:szCs w:val="20"/>
                <w:color w:val="auto"/>
              </w:rPr>
            </w:pPr>
            <w:r>
              <w:rPr>
                <w:rFonts w:ascii="Arial" w:cs="Arial" w:eastAsia="Arial" w:hAnsi="Arial"/>
                <w:sz w:val="22"/>
                <w:szCs w:val="22"/>
                <w:color w:val="auto"/>
                <w:w w:val="92"/>
              </w:rPr>
              <w:t>Amount</w:t>
            </w:r>
          </w:p>
        </w:tc>
        <w:tc>
          <w:tcPr>
            <w:tcW w:w="1240" w:type="dxa"/>
            <w:vAlign w:val="bottom"/>
            <w:gridSpan w:val="2"/>
          </w:tcPr>
          <w:p>
            <w:pPr>
              <w:jc w:val="right"/>
              <w:ind w:right="80"/>
              <w:spacing w:after="0"/>
              <w:rPr>
                <w:sz w:val="20"/>
                <w:szCs w:val="20"/>
                <w:color w:val="auto"/>
              </w:rPr>
            </w:pPr>
            <w:r>
              <w:rPr>
                <w:rFonts w:ascii="Arial" w:cs="Arial" w:eastAsia="Arial" w:hAnsi="Arial"/>
                <w:sz w:val="22"/>
                <w:szCs w:val="22"/>
                <w:color w:val="auto"/>
                <w:w w:val="93"/>
              </w:rPr>
              <w:t>Amortization</w:t>
            </w:r>
          </w:p>
        </w:tc>
        <w:tc>
          <w:tcPr>
            <w:tcW w:w="0" w:type="dxa"/>
            <w:vAlign w:val="bottom"/>
          </w:tcPr>
          <w:p>
            <w:pPr>
              <w:spacing w:after="0"/>
              <w:rPr>
                <w:sz w:val="1"/>
                <w:szCs w:val="1"/>
                <w:color w:val="auto"/>
              </w:rPr>
            </w:pPr>
          </w:p>
        </w:tc>
      </w:tr>
      <w:tr>
        <w:trPr>
          <w:trHeight w:val="98"/>
        </w:trPr>
        <w:tc>
          <w:tcPr>
            <w:tcW w:w="4260" w:type="dxa"/>
            <w:vAlign w:val="bottom"/>
            <w:vMerge w:val="restart"/>
          </w:tcPr>
          <w:p>
            <w:pPr>
              <w:spacing w:after="0"/>
              <w:rPr>
                <w:sz w:val="20"/>
                <w:szCs w:val="20"/>
                <w:color w:val="auto"/>
              </w:rPr>
            </w:pPr>
            <w:r>
              <w:rPr>
                <w:rFonts w:ascii="Arial" w:cs="Arial" w:eastAsia="Arial" w:hAnsi="Arial"/>
                <w:sz w:val="22"/>
                <w:szCs w:val="22"/>
                <w:color w:val="auto"/>
              </w:rPr>
              <w:t>Franchise related customer</w:t>
            </w:r>
          </w:p>
        </w:tc>
        <w:tc>
          <w:tcPr>
            <w:tcW w:w="10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42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60"/>
              <w:spacing w:after="0" w:line="243" w:lineRule="exact"/>
              <w:rPr>
                <w:sz w:val="20"/>
                <w:szCs w:val="20"/>
                <w:color w:val="auto"/>
              </w:rPr>
            </w:pPr>
            <w:r>
              <w:rPr>
                <w:rFonts w:ascii="Arial" w:cs="Arial" w:eastAsia="Arial" w:hAnsi="Arial"/>
                <w:sz w:val="22"/>
                <w:szCs w:val="22"/>
                <w:color w:val="auto"/>
              </w:rPr>
              <w:t>relationships</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$3,386</w:t>
            </w:r>
          </w:p>
        </w:tc>
        <w:tc>
          <w:tcPr>
            <w:tcW w:w="1940" w:type="dxa"/>
            <w:vAlign w:val="bottom"/>
            <w:gridSpan w:val="3"/>
          </w:tcPr>
          <w:p>
            <w:pPr>
              <w:jc w:val="right"/>
              <w:ind w:right="320"/>
              <w:spacing w:after="0" w:line="243" w:lineRule="exact"/>
              <w:rPr>
                <w:sz w:val="20"/>
                <w:szCs w:val="20"/>
                <w:color w:val="auto"/>
              </w:rPr>
            </w:pPr>
            <w:r>
              <w:rPr>
                <w:rFonts w:ascii="Arial" w:cs="Arial" w:eastAsia="Arial" w:hAnsi="Arial"/>
                <w:sz w:val="22"/>
                <w:szCs w:val="22"/>
                <w:color w:val="auto"/>
              </w:rPr>
              <w:t>($1,090)</w:t>
            </w:r>
          </w:p>
        </w:tc>
        <w:tc>
          <w:tcPr>
            <w:tcW w:w="1400" w:type="dxa"/>
            <w:vAlign w:val="bottom"/>
            <w:gridSpan w:val="2"/>
          </w:tcPr>
          <w:p>
            <w:pPr>
              <w:jc w:val="right"/>
              <w:ind w:right="380"/>
              <w:spacing w:after="0" w:line="243" w:lineRule="exact"/>
              <w:rPr>
                <w:sz w:val="20"/>
                <w:szCs w:val="20"/>
                <w:color w:val="auto"/>
              </w:rPr>
            </w:pPr>
            <w:r>
              <w:rPr>
                <w:rFonts w:ascii="Arial" w:cs="Arial" w:eastAsia="Arial" w:hAnsi="Arial"/>
                <w:sz w:val="22"/>
                <w:szCs w:val="22"/>
                <w:color w:val="auto"/>
              </w:rPr>
              <w:t>$4,019</w:t>
            </w:r>
          </w:p>
        </w:tc>
        <w:tc>
          <w:tcPr>
            <w:tcW w:w="12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($42)</w:t>
            </w:r>
          </w:p>
        </w:tc>
        <w:tc>
          <w:tcPr>
            <w:tcW w:w="0" w:type="dxa"/>
            <w:vAlign w:val="bottom"/>
          </w:tcPr>
          <w:p>
            <w:pPr>
              <w:spacing w:after="0"/>
              <w:rPr>
                <w:sz w:val="1"/>
                <w:szCs w:val="1"/>
                <w:color w:val="auto"/>
              </w:rPr>
            </w:pPr>
          </w:p>
        </w:tc>
      </w:tr>
      <w:tr>
        <w:trPr>
          <w:trHeight w:val="243"/>
        </w:trPr>
        <w:tc>
          <w:tcPr>
            <w:tcW w:w="4260" w:type="dxa"/>
            <w:vAlign w:val="bottom"/>
          </w:tcPr>
          <w:p>
            <w:pPr>
              <w:spacing w:after="0" w:line="243" w:lineRule="exact"/>
              <w:rPr>
                <w:sz w:val="20"/>
                <w:szCs w:val="20"/>
                <w:color w:val="auto"/>
              </w:rPr>
            </w:pPr>
            <w:r>
              <w:rPr>
                <w:rFonts w:ascii="Arial" w:cs="Arial" w:eastAsia="Arial" w:hAnsi="Arial"/>
                <w:sz w:val="22"/>
                <w:szCs w:val="22"/>
                <w:color w:val="auto"/>
              </w:rPr>
              <w:t>Cable and satellite television</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60"/>
              <w:spacing w:after="0" w:line="243" w:lineRule="exact"/>
              <w:rPr>
                <w:sz w:val="20"/>
                <w:szCs w:val="20"/>
                <w:color w:val="auto"/>
              </w:rPr>
            </w:pPr>
            <w:r>
              <w:rPr>
                <w:rFonts w:ascii="Arial" w:cs="Arial" w:eastAsia="Arial" w:hAnsi="Arial"/>
                <w:sz w:val="22"/>
                <w:szCs w:val="22"/>
                <w:color w:val="auto"/>
              </w:rPr>
              <w:t>distribution rights</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1,303</w:t>
            </w:r>
          </w:p>
        </w:tc>
        <w:tc>
          <w:tcPr>
            <w:tcW w:w="1940" w:type="dxa"/>
            <w:vAlign w:val="bottom"/>
            <w:gridSpan w:val="3"/>
          </w:tcPr>
          <w:p>
            <w:pPr>
              <w:jc w:val="right"/>
              <w:ind w:right="320"/>
              <w:spacing w:after="0" w:line="243" w:lineRule="exact"/>
              <w:rPr>
                <w:sz w:val="20"/>
                <w:szCs w:val="20"/>
                <w:color w:val="auto"/>
              </w:rPr>
            </w:pPr>
            <w:r>
              <w:rPr>
                <w:rFonts w:ascii="Arial" w:cs="Arial" w:eastAsia="Arial" w:hAnsi="Arial"/>
                <w:sz w:val="22"/>
                <w:szCs w:val="22"/>
                <w:color w:val="auto"/>
              </w:rPr>
              <w:t>(430)</w:t>
            </w:r>
          </w:p>
        </w:tc>
        <w:tc>
          <w:tcPr>
            <w:tcW w:w="1400" w:type="dxa"/>
            <w:vAlign w:val="bottom"/>
            <w:gridSpan w:val="2"/>
          </w:tcPr>
          <w:p>
            <w:pPr>
              <w:jc w:val="right"/>
              <w:ind w:right="380"/>
              <w:spacing w:after="0" w:line="243" w:lineRule="exact"/>
              <w:rPr>
                <w:sz w:val="20"/>
                <w:szCs w:val="20"/>
                <w:color w:val="auto"/>
              </w:rPr>
            </w:pPr>
            <w:r>
              <w:rPr>
                <w:rFonts w:ascii="Arial" w:cs="Arial" w:eastAsia="Arial" w:hAnsi="Arial"/>
                <w:sz w:val="22"/>
                <w:szCs w:val="22"/>
                <w:color w:val="auto"/>
              </w:rPr>
              <w:t>1,266</w:t>
            </w:r>
          </w:p>
        </w:tc>
        <w:tc>
          <w:tcPr>
            <w:tcW w:w="12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(261)</w:t>
            </w:r>
          </w:p>
        </w:tc>
        <w:tc>
          <w:tcPr>
            <w:tcW w:w="0" w:type="dxa"/>
            <w:vAlign w:val="bottom"/>
          </w:tcPr>
          <w:p>
            <w:pPr>
              <w:spacing w:after="0"/>
              <w:rPr>
                <w:sz w:val="1"/>
                <w:szCs w:val="1"/>
                <w:color w:val="auto"/>
              </w:rPr>
            </w:pPr>
          </w:p>
        </w:tc>
      </w:tr>
      <w:tr>
        <w:trPr>
          <w:trHeight w:val="243"/>
        </w:trPr>
        <w:tc>
          <w:tcPr>
            <w:tcW w:w="4260" w:type="dxa"/>
            <w:vAlign w:val="bottom"/>
          </w:tcPr>
          <w:p>
            <w:pPr>
              <w:spacing w:after="0" w:line="243" w:lineRule="exact"/>
              <w:rPr>
                <w:sz w:val="20"/>
                <w:szCs w:val="20"/>
                <w:color w:val="auto"/>
              </w:rPr>
            </w:pPr>
            <w:r>
              <w:rPr>
                <w:rFonts w:ascii="Arial" w:cs="Arial" w:eastAsia="Arial" w:hAnsi="Arial"/>
                <w:sz w:val="22"/>
                <w:szCs w:val="22"/>
                <w:color w:val="auto"/>
              </w:rPr>
              <w:t>Cable franchise renewal costs and</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60"/>
              <w:spacing w:after="0" w:line="243" w:lineRule="exact"/>
              <w:rPr>
                <w:sz w:val="20"/>
                <w:szCs w:val="20"/>
                <w:color w:val="auto"/>
              </w:rPr>
            </w:pPr>
            <w:r>
              <w:rPr>
                <w:rFonts w:ascii="Arial" w:cs="Arial" w:eastAsia="Arial" w:hAnsi="Arial"/>
                <w:sz w:val="22"/>
                <w:szCs w:val="22"/>
                <w:color w:val="auto"/>
              </w:rPr>
              <w:t>contractual operating rights</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394</w:t>
            </w:r>
          </w:p>
        </w:tc>
        <w:tc>
          <w:tcPr>
            <w:tcW w:w="1940" w:type="dxa"/>
            <w:vAlign w:val="bottom"/>
            <w:gridSpan w:val="3"/>
          </w:tcPr>
          <w:p>
            <w:pPr>
              <w:jc w:val="right"/>
              <w:ind w:right="320"/>
              <w:spacing w:after="0" w:line="243" w:lineRule="exact"/>
              <w:rPr>
                <w:sz w:val="20"/>
                <w:szCs w:val="20"/>
                <w:color w:val="auto"/>
              </w:rPr>
            </w:pPr>
            <w:r>
              <w:rPr>
                <w:rFonts w:ascii="Arial" w:cs="Arial" w:eastAsia="Arial" w:hAnsi="Arial"/>
                <w:sz w:val="22"/>
                <w:szCs w:val="22"/>
                <w:color w:val="auto"/>
              </w:rPr>
              <w:t>(126)</w:t>
            </w:r>
          </w:p>
        </w:tc>
        <w:tc>
          <w:tcPr>
            <w:tcW w:w="1400" w:type="dxa"/>
            <w:vAlign w:val="bottom"/>
            <w:gridSpan w:val="2"/>
          </w:tcPr>
          <w:p>
            <w:pPr>
              <w:jc w:val="right"/>
              <w:ind w:right="380"/>
              <w:spacing w:after="0" w:line="243" w:lineRule="exact"/>
              <w:rPr>
                <w:sz w:val="20"/>
                <w:szCs w:val="20"/>
                <w:color w:val="auto"/>
              </w:rPr>
            </w:pPr>
            <w:r>
              <w:rPr>
                <w:rFonts w:ascii="Arial" w:cs="Arial" w:eastAsia="Arial" w:hAnsi="Arial"/>
                <w:sz w:val="22"/>
                <w:szCs w:val="22"/>
                <w:color w:val="auto"/>
              </w:rPr>
              <w:t>313</w:t>
            </w:r>
          </w:p>
        </w:tc>
        <w:tc>
          <w:tcPr>
            <w:tcW w:w="12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(99)</w:t>
            </w:r>
          </w:p>
        </w:tc>
        <w:tc>
          <w:tcPr>
            <w:tcW w:w="0" w:type="dxa"/>
            <w:vAlign w:val="bottom"/>
          </w:tcPr>
          <w:p>
            <w:pPr>
              <w:spacing w:after="0"/>
              <w:rPr>
                <w:sz w:val="1"/>
                <w:szCs w:val="1"/>
                <w:color w:val="auto"/>
              </w:rPr>
            </w:pPr>
          </w:p>
        </w:tc>
      </w:tr>
      <w:tr>
        <w:trPr>
          <w:trHeight w:val="243"/>
        </w:trPr>
        <w:tc>
          <w:tcPr>
            <w:tcW w:w="4260" w:type="dxa"/>
            <w:vAlign w:val="bottom"/>
          </w:tcPr>
          <w:p>
            <w:pPr>
              <w:spacing w:after="0" w:line="243" w:lineRule="exact"/>
              <w:rPr>
                <w:sz w:val="20"/>
                <w:szCs w:val="20"/>
                <w:color w:val="auto"/>
              </w:rPr>
            </w:pPr>
            <w:r>
              <w:rPr>
                <w:rFonts w:ascii="Arial" w:cs="Arial" w:eastAsia="Arial" w:hAnsi="Arial"/>
                <w:sz w:val="22"/>
                <w:szCs w:val="22"/>
                <w:color w:val="auto"/>
              </w:rPr>
              <w:t>Computer software</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259</w:t>
            </w:r>
          </w:p>
        </w:tc>
        <w:tc>
          <w:tcPr>
            <w:tcW w:w="1940" w:type="dxa"/>
            <w:vAlign w:val="bottom"/>
            <w:gridSpan w:val="3"/>
          </w:tcPr>
          <w:p>
            <w:pPr>
              <w:jc w:val="right"/>
              <w:ind w:right="320"/>
              <w:spacing w:after="0" w:line="243" w:lineRule="exact"/>
              <w:rPr>
                <w:sz w:val="20"/>
                <w:szCs w:val="20"/>
                <w:color w:val="auto"/>
              </w:rPr>
            </w:pPr>
            <w:r>
              <w:rPr>
                <w:rFonts w:ascii="Arial" w:cs="Arial" w:eastAsia="Arial" w:hAnsi="Arial"/>
                <w:sz w:val="22"/>
                <w:szCs w:val="22"/>
                <w:color w:val="auto"/>
              </w:rPr>
              <w:t>(76)</w:t>
            </w:r>
          </w:p>
        </w:tc>
        <w:tc>
          <w:tcPr>
            <w:tcW w:w="1400" w:type="dxa"/>
            <w:vAlign w:val="bottom"/>
            <w:gridSpan w:val="2"/>
          </w:tcPr>
          <w:p>
            <w:pPr>
              <w:jc w:val="right"/>
              <w:ind w:right="380"/>
              <w:spacing w:after="0" w:line="243" w:lineRule="exact"/>
              <w:rPr>
                <w:sz w:val="20"/>
                <w:szCs w:val="20"/>
                <w:color w:val="auto"/>
              </w:rPr>
            </w:pPr>
            <w:r>
              <w:rPr>
                <w:rFonts w:ascii="Arial" w:cs="Arial" w:eastAsia="Arial" w:hAnsi="Arial"/>
                <w:sz w:val="22"/>
                <w:szCs w:val="22"/>
                <w:color w:val="auto"/>
              </w:rPr>
              <w:t>126</w:t>
            </w:r>
          </w:p>
        </w:tc>
        <w:tc>
          <w:tcPr>
            <w:tcW w:w="12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243"/>
        </w:trPr>
        <w:tc>
          <w:tcPr>
            <w:tcW w:w="4260" w:type="dxa"/>
            <w:vAlign w:val="bottom"/>
          </w:tcPr>
          <w:p>
            <w:pPr>
              <w:spacing w:after="0" w:line="243" w:lineRule="exact"/>
              <w:rPr>
                <w:sz w:val="20"/>
                <w:szCs w:val="20"/>
                <w:color w:val="auto"/>
              </w:rPr>
            </w:pPr>
            <w:r>
              <w:rPr>
                <w:rFonts w:ascii="Arial" w:cs="Arial" w:eastAsia="Arial" w:hAnsi="Arial"/>
                <w:sz w:val="22"/>
                <w:szCs w:val="22"/>
                <w:color w:val="auto"/>
              </w:rPr>
              <w:t>Programming costs and rights</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338</w:t>
            </w:r>
          </w:p>
        </w:tc>
        <w:tc>
          <w:tcPr>
            <w:tcW w:w="1940" w:type="dxa"/>
            <w:vAlign w:val="bottom"/>
            <w:gridSpan w:val="3"/>
          </w:tcPr>
          <w:p>
            <w:pPr>
              <w:jc w:val="right"/>
              <w:ind w:right="320"/>
              <w:spacing w:after="0" w:line="243" w:lineRule="exact"/>
              <w:rPr>
                <w:sz w:val="20"/>
                <w:szCs w:val="20"/>
                <w:color w:val="auto"/>
              </w:rPr>
            </w:pPr>
            <w:r>
              <w:rPr>
                <w:rFonts w:ascii="Arial" w:cs="Arial" w:eastAsia="Arial" w:hAnsi="Arial"/>
                <w:sz w:val="22"/>
                <w:szCs w:val="22"/>
                <w:color w:val="auto"/>
              </w:rPr>
              <w:t>(274)</w:t>
            </w:r>
          </w:p>
        </w:tc>
        <w:tc>
          <w:tcPr>
            <w:tcW w:w="1400" w:type="dxa"/>
            <w:vAlign w:val="bottom"/>
            <w:gridSpan w:val="2"/>
          </w:tcPr>
          <w:p>
            <w:pPr>
              <w:jc w:val="right"/>
              <w:ind w:right="380"/>
              <w:spacing w:after="0" w:line="243" w:lineRule="exact"/>
              <w:rPr>
                <w:sz w:val="20"/>
                <w:szCs w:val="20"/>
                <w:color w:val="auto"/>
              </w:rPr>
            </w:pPr>
            <w:r>
              <w:rPr>
                <w:rFonts w:ascii="Arial" w:cs="Arial" w:eastAsia="Arial" w:hAnsi="Arial"/>
                <w:sz w:val="22"/>
                <w:szCs w:val="22"/>
                <w:color w:val="auto"/>
              </w:rPr>
              <w:t>188</w:t>
            </w:r>
          </w:p>
        </w:tc>
        <w:tc>
          <w:tcPr>
            <w:tcW w:w="12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(143)</w:t>
            </w:r>
          </w:p>
        </w:tc>
        <w:tc>
          <w:tcPr>
            <w:tcW w:w="0" w:type="dxa"/>
            <w:vAlign w:val="bottom"/>
          </w:tcPr>
          <w:p>
            <w:pPr>
              <w:spacing w:after="0"/>
              <w:rPr>
                <w:sz w:val="1"/>
                <w:szCs w:val="1"/>
                <w:color w:val="auto"/>
              </w:rPr>
            </w:pPr>
          </w:p>
        </w:tc>
      </w:tr>
      <w:tr>
        <w:trPr>
          <w:trHeight w:val="275"/>
        </w:trPr>
        <w:tc>
          <w:tcPr>
            <w:tcW w:w="4260" w:type="dxa"/>
            <w:vAlign w:val="bottom"/>
          </w:tcPr>
          <w:p>
            <w:pPr>
              <w:spacing w:after="0"/>
              <w:rPr>
                <w:sz w:val="20"/>
                <w:szCs w:val="20"/>
                <w:color w:val="auto"/>
              </w:rPr>
            </w:pPr>
            <w:r>
              <w:rPr>
                <w:rFonts w:ascii="Arial" w:cs="Arial" w:eastAsia="Arial" w:hAnsi="Arial"/>
                <w:sz w:val="22"/>
                <w:szCs w:val="22"/>
                <w:color w:val="auto"/>
              </w:rPr>
              <w:t>Non-competition agreements and other</w:t>
            </w:r>
          </w:p>
        </w:tc>
        <w:tc>
          <w:tcPr>
            <w:tcW w:w="1020" w:type="dxa"/>
            <w:vAlign w:val="bottom"/>
          </w:tcPr>
          <w:p>
            <w:pPr>
              <w:jc w:val="right"/>
              <w:spacing w:after="0"/>
              <w:rPr>
                <w:sz w:val="20"/>
                <w:szCs w:val="20"/>
                <w:color w:val="auto"/>
              </w:rPr>
            </w:pPr>
            <w:r>
              <w:rPr>
                <w:rFonts w:ascii="Arial" w:cs="Arial" w:eastAsia="Arial" w:hAnsi="Arial"/>
                <w:sz w:val="22"/>
                <w:szCs w:val="22"/>
                <w:color w:val="auto"/>
              </w:rPr>
              <w:t>361</w:t>
            </w:r>
          </w:p>
        </w:tc>
        <w:tc>
          <w:tcPr>
            <w:tcW w:w="1940" w:type="dxa"/>
            <w:vAlign w:val="bottom"/>
            <w:gridSpan w:val="3"/>
          </w:tcPr>
          <w:p>
            <w:pPr>
              <w:jc w:val="right"/>
              <w:ind w:right="320"/>
              <w:spacing w:after="0"/>
              <w:rPr>
                <w:sz w:val="20"/>
                <w:szCs w:val="20"/>
                <w:color w:val="auto"/>
              </w:rPr>
            </w:pPr>
            <w:r>
              <w:rPr>
                <w:rFonts w:ascii="Arial" w:cs="Arial" w:eastAsia="Arial" w:hAnsi="Arial"/>
                <w:sz w:val="22"/>
                <w:szCs w:val="22"/>
                <w:color w:val="auto"/>
              </w:rPr>
              <w:t>(186)</w:t>
            </w:r>
          </w:p>
        </w:tc>
        <w:tc>
          <w:tcPr>
            <w:tcW w:w="1400" w:type="dxa"/>
            <w:vAlign w:val="bottom"/>
            <w:gridSpan w:val="2"/>
          </w:tcPr>
          <w:p>
            <w:pPr>
              <w:jc w:val="right"/>
              <w:ind w:right="380"/>
              <w:spacing w:after="0"/>
              <w:rPr>
                <w:sz w:val="20"/>
                <w:szCs w:val="20"/>
                <w:color w:val="auto"/>
              </w:rPr>
            </w:pPr>
            <w:r>
              <w:rPr>
                <w:rFonts w:ascii="Arial" w:cs="Arial" w:eastAsia="Arial" w:hAnsi="Arial"/>
                <w:sz w:val="22"/>
                <w:szCs w:val="22"/>
                <w:color w:val="auto"/>
              </w:rPr>
              <w:t>252</w:t>
            </w: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(149)</w:t>
            </w: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4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$6,041</w:t>
            </w:r>
          </w:p>
        </w:tc>
        <w:tc>
          <w:tcPr>
            <w:tcW w:w="1940" w:type="dxa"/>
            <w:vAlign w:val="bottom"/>
            <w:gridSpan w:val="3"/>
          </w:tcPr>
          <w:p>
            <w:pPr>
              <w:jc w:val="right"/>
              <w:ind w:right="320"/>
              <w:spacing w:after="0"/>
              <w:rPr>
                <w:sz w:val="20"/>
                <w:szCs w:val="20"/>
                <w:color w:val="auto"/>
              </w:rPr>
            </w:pPr>
            <w:r>
              <w:rPr>
                <w:rFonts w:ascii="Arial" w:cs="Arial" w:eastAsia="Arial" w:hAnsi="Arial"/>
                <w:sz w:val="22"/>
                <w:szCs w:val="22"/>
                <w:color w:val="auto"/>
              </w:rPr>
              <w:t>($2,182)</w:t>
            </w:r>
          </w:p>
        </w:tc>
        <w:tc>
          <w:tcPr>
            <w:tcW w:w="1400" w:type="dxa"/>
            <w:vAlign w:val="bottom"/>
            <w:gridSpan w:val="2"/>
          </w:tcPr>
          <w:p>
            <w:pPr>
              <w:jc w:val="right"/>
              <w:ind w:right="380"/>
              <w:spacing w:after="0"/>
              <w:rPr>
                <w:sz w:val="20"/>
                <w:szCs w:val="20"/>
                <w:color w:val="auto"/>
              </w:rPr>
            </w:pPr>
            <w:r>
              <w:rPr>
                <w:rFonts w:ascii="Arial" w:cs="Arial" w:eastAsia="Arial" w:hAnsi="Arial"/>
                <w:sz w:val="22"/>
                <w:szCs w:val="22"/>
                <w:color w:val="auto"/>
              </w:rPr>
              <w:t>$6,164</w:t>
            </w: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($735)</w:t>
            </w:r>
          </w:p>
        </w:tc>
        <w:tc>
          <w:tcPr>
            <w:tcW w:w="0" w:type="dxa"/>
            <w:vAlign w:val="bottom"/>
          </w:tcPr>
          <w:p>
            <w:pPr>
              <w:spacing w:after="0"/>
              <w:rPr>
                <w:sz w:val="1"/>
                <w:szCs w:val="1"/>
                <w:color w:val="auto"/>
              </w:rPr>
            </w:pPr>
          </w:p>
        </w:tc>
      </w:tr>
      <w:tr>
        <w:trPr>
          <w:trHeight w:val="108"/>
        </w:trPr>
        <w:tc>
          <w:tcPr>
            <w:tcW w:w="426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jc w:val="both"/>
        <w:ind w:left="460"/>
        <w:spacing w:after="0" w:line="328" w:lineRule="auto"/>
        <w:rPr>
          <w:sz w:val="20"/>
          <w:szCs w:val="20"/>
          <w:color w:val="auto"/>
        </w:rPr>
      </w:pPr>
      <w:r>
        <w:rPr>
          <w:rFonts w:ascii="Arial" w:cs="Arial" w:eastAsia="Arial" w:hAnsi="Arial"/>
          <w:sz w:val="19"/>
          <w:szCs w:val="19"/>
          <w:color w:val="auto"/>
        </w:rPr>
        <w:t>As of December 31, 2003, the weighted average amortization period for our intangible assets subject to amortization is 4.1 years and estimated related amortization expense for each of the five years ended December 31 is as follows (in millions):</w:t>
      </w:r>
    </w:p>
    <w:p>
      <w:pPr>
        <w:spacing w:after="0" w:line="365" w:lineRule="exact"/>
        <w:rPr>
          <w:sz w:val="20"/>
          <w:szCs w:val="20"/>
          <w:color w:val="auto"/>
        </w:rPr>
      </w:pPr>
    </w:p>
    <w:tbl>
      <w:tblPr>
        <w:tblLayout w:type="fixed"/>
        <w:tblInd w:w="1460" w:type="dxa"/>
        <w:tblCellMar>
          <w:top w:w="0" w:type="dxa"/>
          <w:left w:w="0" w:type="dxa"/>
          <w:bottom w:w="0" w:type="dxa"/>
          <w:right w:w="0" w:type="dxa"/>
        </w:tblCellMar>
      </w:tblPr>
      <w:tr>
        <w:trPr>
          <w:trHeight w:val="253"/>
        </w:trPr>
        <w:tc>
          <w:tcPr>
            <w:tcW w:w="2220" w:type="dxa"/>
            <w:vAlign w:val="bottom"/>
          </w:tcPr>
          <w:p>
            <w:pPr>
              <w:jc w:val="right"/>
              <w:ind w:right="1672"/>
              <w:spacing w:after="0"/>
              <w:rPr>
                <w:sz w:val="20"/>
                <w:szCs w:val="20"/>
                <w:color w:val="auto"/>
              </w:rPr>
            </w:pPr>
            <w:r>
              <w:rPr>
                <w:rFonts w:ascii="Arial" w:cs="Arial" w:eastAsia="Arial" w:hAnsi="Arial"/>
                <w:sz w:val="22"/>
                <w:szCs w:val="22"/>
                <w:color w:val="auto"/>
                <w:w w:val="85"/>
              </w:rPr>
              <w:t>2004</w:t>
            </w:r>
          </w:p>
        </w:tc>
        <w:tc>
          <w:tcPr>
            <w:tcW w:w="4340" w:type="dxa"/>
            <w:vAlign w:val="bottom"/>
          </w:tcPr>
          <w:p>
            <w:pPr>
              <w:jc w:val="right"/>
              <w:spacing w:after="0"/>
              <w:rPr>
                <w:sz w:val="20"/>
                <w:szCs w:val="20"/>
                <w:color w:val="auto"/>
              </w:rPr>
            </w:pPr>
            <w:r>
              <w:rPr>
                <w:rFonts w:ascii="Arial" w:cs="Arial" w:eastAsia="Arial" w:hAnsi="Arial"/>
                <w:sz w:val="22"/>
                <w:szCs w:val="22"/>
                <w:color w:val="auto"/>
              </w:rPr>
              <w:t>$1,096</w:t>
            </w:r>
          </w:p>
        </w:tc>
      </w:tr>
      <w:tr>
        <w:trPr>
          <w:trHeight w:val="243"/>
        </w:trPr>
        <w:tc>
          <w:tcPr>
            <w:tcW w:w="2220" w:type="dxa"/>
            <w:vAlign w:val="bottom"/>
          </w:tcPr>
          <w:p>
            <w:pPr>
              <w:jc w:val="right"/>
              <w:ind w:right="1672"/>
              <w:spacing w:after="0" w:line="243" w:lineRule="exact"/>
              <w:rPr>
                <w:sz w:val="20"/>
                <w:szCs w:val="20"/>
                <w:color w:val="auto"/>
              </w:rPr>
            </w:pPr>
            <w:r>
              <w:rPr>
                <w:rFonts w:ascii="Arial" w:cs="Arial" w:eastAsia="Arial" w:hAnsi="Arial"/>
                <w:sz w:val="22"/>
                <w:szCs w:val="22"/>
                <w:color w:val="auto"/>
                <w:w w:val="85"/>
              </w:rPr>
              <w:t>2005</w:t>
            </w:r>
          </w:p>
        </w:tc>
        <w:tc>
          <w:tcPr>
            <w:tcW w:w="4340" w:type="dxa"/>
            <w:vAlign w:val="bottom"/>
          </w:tcPr>
          <w:p>
            <w:pPr>
              <w:jc w:val="right"/>
              <w:spacing w:after="0" w:line="243" w:lineRule="exact"/>
              <w:rPr>
                <w:sz w:val="20"/>
                <w:szCs w:val="20"/>
                <w:color w:val="auto"/>
              </w:rPr>
            </w:pPr>
            <w:r>
              <w:rPr>
                <w:rFonts w:ascii="Arial" w:cs="Arial" w:eastAsia="Arial" w:hAnsi="Arial"/>
                <w:sz w:val="22"/>
                <w:szCs w:val="22"/>
                <w:color w:val="auto"/>
              </w:rPr>
              <w:t>$1,013</w:t>
            </w:r>
          </w:p>
        </w:tc>
      </w:tr>
      <w:tr>
        <w:trPr>
          <w:trHeight w:val="243"/>
        </w:trPr>
        <w:tc>
          <w:tcPr>
            <w:tcW w:w="2220" w:type="dxa"/>
            <w:vAlign w:val="bottom"/>
          </w:tcPr>
          <w:p>
            <w:pPr>
              <w:jc w:val="right"/>
              <w:ind w:right="1672"/>
              <w:spacing w:after="0" w:line="243" w:lineRule="exact"/>
              <w:rPr>
                <w:sz w:val="20"/>
                <w:szCs w:val="20"/>
                <w:color w:val="auto"/>
              </w:rPr>
            </w:pPr>
            <w:r>
              <w:rPr>
                <w:rFonts w:ascii="Arial" w:cs="Arial" w:eastAsia="Arial" w:hAnsi="Arial"/>
                <w:sz w:val="22"/>
                <w:szCs w:val="22"/>
                <w:color w:val="auto"/>
                <w:w w:val="85"/>
              </w:rPr>
              <w:t>2006</w:t>
            </w:r>
          </w:p>
        </w:tc>
        <w:tc>
          <w:tcPr>
            <w:tcW w:w="4340" w:type="dxa"/>
            <w:vAlign w:val="bottom"/>
          </w:tcPr>
          <w:p>
            <w:pPr>
              <w:jc w:val="right"/>
              <w:spacing w:after="0" w:line="243" w:lineRule="exact"/>
              <w:rPr>
                <w:sz w:val="20"/>
                <w:szCs w:val="20"/>
                <w:color w:val="auto"/>
              </w:rPr>
            </w:pPr>
            <w:r>
              <w:rPr>
                <w:rFonts w:ascii="Arial" w:cs="Arial" w:eastAsia="Arial" w:hAnsi="Arial"/>
                <w:sz w:val="22"/>
                <w:szCs w:val="22"/>
                <w:color w:val="auto"/>
              </w:rPr>
              <w:t>$553</w:t>
            </w:r>
          </w:p>
        </w:tc>
      </w:tr>
      <w:tr>
        <w:trPr>
          <w:trHeight w:val="243"/>
        </w:trPr>
        <w:tc>
          <w:tcPr>
            <w:tcW w:w="2220" w:type="dxa"/>
            <w:vAlign w:val="bottom"/>
          </w:tcPr>
          <w:p>
            <w:pPr>
              <w:jc w:val="right"/>
              <w:ind w:right="1672"/>
              <w:spacing w:after="0" w:line="243" w:lineRule="exact"/>
              <w:rPr>
                <w:sz w:val="20"/>
                <w:szCs w:val="20"/>
                <w:color w:val="auto"/>
              </w:rPr>
            </w:pPr>
            <w:r>
              <w:rPr>
                <w:rFonts w:ascii="Arial" w:cs="Arial" w:eastAsia="Arial" w:hAnsi="Arial"/>
                <w:sz w:val="22"/>
                <w:szCs w:val="22"/>
                <w:color w:val="auto"/>
                <w:w w:val="85"/>
              </w:rPr>
              <w:t>2007</w:t>
            </w:r>
          </w:p>
        </w:tc>
        <w:tc>
          <w:tcPr>
            <w:tcW w:w="4340" w:type="dxa"/>
            <w:vAlign w:val="bottom"/>
          </w:tcPr>
          <w:p>
            <w:pPr>
              <w:jc w:val="right"/>
              <w:spacing w:after="0" w:line="243" w:lineRule="exact"/>
              <w:rPr>
                <w:sz w:val="20"/>
                <w:szCs w:val="20"/>
                <w:color w:val="auto"/>
              </w:rPr>
            </w:pPr>
            <w:r>
              <w:rPr>
                <w:rFonts w:ascii="Arial" w:cs="Arial" w:eastAsia="Arial" w:hAnsi="Arial"/>
                <w:sz w:val="22"/>
                <w:szCs w:val="22"/>
                <w:color w:val="auto"/>
              </w:rPr>
              <w:t>$318</w:t>
            </w:r>
          </w:p>
        </w:tc>
      </w:tr>
      <w:tr>
        <w:trPr>
          <w:trHeight w:val="275"/>
        </w:trPr>
        <w:tc>
          <w:tcPr>
            <w:tcW w:w="2220" w:type="dxa"/>
            <w:vAlign w:val="bottom"/>
          </w:tcPr>
          <w:p>
            <w:pPr>
              <w:jc w:val="right"/>
              <w:ind w:right="1672"/>
              <w:spacing w:after="0"/>
              <w:rPr>
                <w:sz w:val="20"/>
                <w:szCs w:val="20"/>
                <w:color w:val="auto"/>
              </w:rPr>
            </w:pPr>
            <w:r>
              <w:rPr>
                <w:rFonts w:ascii="Arial" w:cs="Arial" w:eastAsia="Arial" w:hAnsi="Arial"/>
                <w:sz w:val="22"/>
                <w:szCs w:val="22"/>
                <w:color w:val="auto"/>
                <w:w w:val="85"/>
              </w:rPr>
              <w:t>2008</w:t>
            </w:r>
          </w:p>
        </w:tc>
        <w:tc>
          <w:tcPr>
            <w:tcW w:w="4340" w:type="dxa"/>
            <w:vAlign w:val="bottom"/>
          </w:tcPr>
          <w:p>
            <w:pPr>
              <w:jc w:val="right"/>
              <w:spacing w:after="0"/>
              <w:rPr>
                <w:sz w:val="20"/>
                <w:szCs w:val="20"/>
                <w:color w:val="auto"/>
              </w:rPr>
            </w:pPr>
            <w:r>
              <w:rPr>
                <w:rFonts w:ascii="Arial" w:cs="Arial" w:eastAsia="Arial" w:hAnsi="Arial"/>
                <w:sz w:val="22"/>
                <w:szCs w:val="22"/>
                <w:color w:val="auto"/>
              </w:rPr>
              <w:t>$213</w:t>
            </w:r>
          </w:p>
        </w:tc>
      </w:tr>
      <w:tr>
        <w:trPr>
          <w:trHeight w:val="702"/>
        </w:trPr>
        <w:tc>
          <w:tcPr>
            <w:tcW w:w="2220" w:type="dxa"/>
            <w:vAlign w:val="bottom"/>
          </w:tcPr>
          <w:p>
            <w:pPr>
              <w:spacing w:after="0"/>
              <w:rPr>
                <w:sz w:val="24"/>
                <w:szCs w:val="24"/>
                <w:color w:val="auto"/>
              </w:rPr>
            </w:pPr>
          </w:p>
        </w:tc>
        <w:tc>
          <w:tcPr>
            <w:tcW w:w="4340" w:type="dxa"/>
            <w:vAlign w:val="bottom"/>
          </w:tcPr>
          <w:p>
            <w:pPr>
              <w:jc w:val="right"/>
              <w:ind w:right="1972"/>
              <w:spacing w:after="0"/>
              <w:rPr>
                <w:sz w:val="20"/>
                <w:szCs w:val="20"/>
                <w:color w:val="auto"/>
              </w:rPr>
            </w:pPr>
            <w:r>
              <w:rPr>
                <w:rFonts w:ascii="Arial" w:cs="Arial" w:eastAsia="Arial" w:hAnsi="Arial"/>
                <w:sz w:val="22"/>
                <w:szCs w:val="22"/>
                <w:color w:val="auto"/>
              </w:rPr>
              <w:t>- 27 -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9"/>
          <w:szCs w:val="19"/>
          <w:color w:val="auto"/>
        </w:rPr>
        <w:t>The following pro forma financial information for 2003, 2002 and 2001 is presented as if SFAS No. 142 was adopted as of</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January 1, 2001 (amounts in millions, except per share data):</w:t>
      </w:r>
    </w:p>
    <w:p>
      <w:pPr>
        <w:spacing w:after="0" w:line="205" w:lineRule="exact"/>
        <w:rPr>
          <w:sz w:val="20"/>
          <w:szCs w:val="20"/>
          <w:color w:val="auto"/>
        </w:rPr>
      </w:pPr>
    </w:p>
    <w:tbl>
      <w:tblPr>
        <w:tblLayout w:type="fixed"/>
        <w:tblInd w:w="280" w:type="dxa"/>
        <w:tblCellMar>
          <w:top w:w="0" w:type="dxa"/>
          <w:left w:w="0" w:type="dxa"/>
          <w:bottom w:w="0" w:type="dxa"/>
          <w:right w:w="0" w:type="dxa"/>
        </w:tblCellMar>
      </w:tblPr>
      <w:tr>
        <w:trPr>
          <w:trHeight w:val="253"/>
        </w:trPr>
        <w:tc>
          <w:tcPr>
            <w:tcW w:w="6220" w:type="dxa"/>
            <w:vAlign w:val="bottom"/>
          </w:tcPr>
          <w:p>
            <w:pPr>
              <w:spacing w:after="0"/>
              <w:rPr>
                <w:sz w:val="21"/>
                <w:szCs w:val="21"/>
                <w:color w:val="auto"/>
              </w:rPr>
            </w:pPr>
          </w:p>
        </w:tc>
        <w:tc>
          <w:tcPr>
            <w:tcW w:w="3560" w:type="dxa"/>
            <w:vAlign w:val="bottom"/>
            <w:gridSpan w:val="5"/>
          </w:tcPr>
          <w:p>
            <w:pPr>
              <w:jc w:val="center"/>
              <w:spacing w:after="0"/>
              <w:rPr>
                <w:sz w:val="20"/>
                <w:szCs w:val="20"/>
                <w:color w:val="auto"/>
              </w:rPr>
            </w:pPr>
            <w:r>
              <w:rPr>
                <w:rFonts w:ascii="Arial" w:cs="Arial" w:eastAsia="Arial" w:hAnsi="Arial"/>
                <w:sz w:val="22"/>
                <w:szCs w:val="22"/>
                <w:color w:val="auto"/>
                <w:w w:val="86"/>
              </w:rPr>
              <w:t>Years Ended December 31,</w:t>
            </w:r>
          </w:p>
        </w:tc>
        <w:tc>
          <w:tcPr>
            <w:tcW w:w="0" w:type="dxa"/>
            <w:vAlign w:val="bottom"/>
          </w:tcPr>
          <w:p>
            <w:pPr>
              <w:spacing w:after="0"/>
              <w:rPr>
                <w:sz w:val="1"/>
                <w:szCs w:val="1"/>
                <w:color w:val="auto"/>
              </w:rPr>
            </w:pPr>
          </w:p>
        </w:tc>
      </w:tr>
      <w:tr>
        <w:trPr>
          <w:trHeight w:val="275"/>
        </w:trPr>
        <w:tc>
          <w:tcPr>
            <w:tcW w:w="622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2003</w:t>
            </w:r>
          </w:p>
        </w:tc>
        <w:tc>
          <w:tcPr>
            <w:tcW w:w="1320" w:type="dxa"/>
            <w:vAlign w:val="bottom"/>
            <w:gridSpan w:val="2"/>
          </w:tcPr>
          <w:p>
            <w:pPr>
              <w:jc w:val="right"/>
              <w:ind w:right="240"/>
              <w:spacing w:after="0"/>
              <w:rPr>
                <w:sz w:val="20"/>
                <w:szCs w:val="20"/>
                <w:color w:val="auto"/>
              </w:rPr>
            </w:pPr>
            <w:r>
              <w:rPr>
                <w:rFonts w:ascii="Arial" w:cs="Arial" w:eastAsia="Arial" w:hAnsi="Arial"/>
                <w:sz w:val="22"/>
                <w:szCs w:val="22"/>
                <w:color w:val="auto"/>
              </w:rPr>
              <w:t>2002</w:t>
            </w:r>
          </w:p>
        </w:tc>
        <w:tc>
          <w:tcPr>
            <w:tcW w:w="420" w:type="dxa"/>
            <w:vAlign w:val="bottom"/>
          </w:tcPr>
          <w:p>
            <w:pPr>
              <w:spacing w:after="0"/>
              <w:rPr>
                <w:sz w:val="23"/>
                <w:szCs w:val="23"/>
                <w:color w:val="auto"/>
              </w:rPr>
            </w:pPr>
          </w:p>
        </w:tc>
        <w:tc>
          <w:tcPr>
            <w:tcW w:w="900" w:type="dxa"/>
            <w:vAlign w:val="bottom"/>
          </w:tcPr>
          <w:p>
            <w:pPr>
              <w:jc w:val="right"/>
              <w:ind w:right="132"/>
              <w:spacing w:after="0"/>
              <w:rPr>
                <w:sz w:val="20"/>
                <w:szCs w:val="20"/>
                <w:color w:val="auto"/>
              </w:rPr>
            </w:pPr>
            <w:r>
              <w:rPr>
                <w:rFonts w:ascii="Arial" w:cs="Arial" w:eastAsia="Arial" w:hAnsi="Arial"/>
                <w:sz w:val="22"/>
                <w:szCs w:val="22"/>
                <w:color w:val="auto"/>
              </w:rPr>
              <w:t>2001</w:t>
            </w:r>
          </w:p>
        </w:tc>
        <w:tc>
          <w:tcPr>
            <w:tcW w:w="0" w:type="dxa"/>
            <w:vAlign w:val="bottom"/>
          </w:tcPr>
          <w:p>
            <w:pPr>
              <w:spacing w:after="0"/>
              <w:rPr>
                <w:sz w:val="1"/>
                <w:szCs w:val="1"/>
                <w:color w:val="auto"/>
              </w:rPr>
            </w:pPr>
          </w:p>
        </w:tc>
      </w:tr>
      <w:tr>
        <w:trPr>
          <w:trHeight w:val="98"/>
        </w:trPr>
        <w:tc>
          <w:tcPr>
            <w:tcW w:w="6220" w:type="dxa"/>
            <w:vAlign w:val="bottom"/>
            <w:vMerge w:val="restart"/>
          </w:tcPr>
          <w:p>
            <w:pPr>
              <w:spacing w:after="0"/>
              <w:rPr>
                <w:sz w:val="20"/>
                <w:szCs w:val="20"/>
                <w:color w:val="auto"/>
              </w:rPr>
            </w:pPr>
            <w:r>
              <w:rPr>
                <w:rFonts w:ascii="Arial" w:cs="Arial" w:eastAsia="Arial" w:hAnsi="Arial"/>
                <w:sz w:val="22"/>
                <w:szCs w:val="22"/>
                <w:color w:val="auto"/>
              </w:rPr>
              <w:t>Net Income (Loss)</w:t>
            </w:r>
          </w:p>
        </w:tc>
        <w:tc>
          <w:tcPr>
            <w:tcW w:w="9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62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140"/>
              <w:spacing w:after="0" w:line="243" w:lineRule="exact"/>
              <w:rPr>
                <w:sz w:val="20"/>
                <w:szCs w:val="20"/>
                <w:color w:val="auto"/>
              </w:rPr>
            </w:pPr>
            <w:r>
              <w:rPr>
                <w:rFonts w:ascii="Arial" w:cs="Arial" w:eastAsia="Arial" w:hAnsi="Arial"/>
                <w:sz w:val="22"/>
                <w:szCs w:val="22"/>
                <w:color w:val="auto"/>
              </w:rPr>
              <w:t>As reported</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$3,240</w:t>
            </w:r>
          </w:p>
        </w:tc>
        <w:tc>
          <w:tcPr>
            <w:tcW w:w="1740" w:type="dxa"/>
            <w:vAlign w:val="bottom"/>
            <w:gridSpan w:val="3"/>
          </w:tcPr>
          <w:p>
            <w:pPr>
              <w:jc w:val="right"/>
              <w:ind w:right="340"/>
              <w:spacing w:after="0" w:line="243" w:lineRule="exact"/>
              <w:rPr>
                <w:sz w:val="20"/>
                <w:szCs w:val="20"/>
                <w:color w:val="auto"/>
              </w:rPr>
            </w:pPr>
            <w:r>
              <w:rPr>
                <w:rFonts w:ascii="Arial" w:cs="Arial" w:eastAsia="Arial" w:hAnsi="Arial"/>
                <w:sz w:val="22"/>
                <w:szCs w:val="22"/>
                <w:color w:val="auto"/>
              </w:rPr>
              <w:t>($274)</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$609</w:t>
            </w:r>
          </w:p>
        </w:tc>
        <w:tc>
          <w:tcPr>
            <w:tcW w:w="0" w:type="dxa"/>
            <w:vAlign w:val="bottom"/>
          </w:tcPr>
          <w:p>
            <w:pPr>
              <w:spacing w:after="0"/>
              <w:rPr>
                <w:sz w:val="1"/>
                <w:szCs w:val="1"/>
                <w:color w:val="auto"/>
              </w:rPr>
            </w:pPr>
          </w:p>
        </w:tc>
      </w:tr>
      <w:tr>
        <w:trPr>
          <w:trHeight w:val="243"/>
        </w:trPr>
        <w:tc>
          <w:tcPr>
            <w:tcW w:w="6220" w:type="dxa"/>
            <w:vAlign w:val="bottom"/>
          </w:tcPr>
          <w:p>
            <w:pPr>
              <w:ind w:left="260"/>
              <w:spacing w:after="0" w:line="243" w:lineRule="exact"/>
              <w:rPr>
                <w:sz w:val="20"/>
                <w:szCs w:val="20"/>
                <w:color w:val="auto"/>
              </w:rPr>
            </w:pPr>
            <w:r>
              <w:rPr>
                <w:rFonts w:ascii="Arial" w:cs="Arial" w:eastAsia="Arial" w:hAnsi="Arial"/>
                <w:sz w:val="22"/>
                <w:szCs w:val="22"/>
                <w:color w:val="auto"/>
              </w:rPr>
              <w:t>Amortization of goodwill from continuing</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380"/>
              <w:spacing w:after="0" w:line="243" w:lineRule="exact"/>
              <w:rPr>
                <w:sz w:val="20"/>
                <w:szCs w:val="20"/>
                <w:color w:val="auto"/>
              </w:rPr>
            </w:pPr>
            <w:r>
              <w:rPr>
                <w:rFonts w:ascii="Arial" w:cs="Arial" w:eastAsia="Arial" w:hAnsi="Arial"/>
                <w:sz w:val="22"/>
                <w:szCs w:val="22"/>
                <w:color w:val="auto"/>
              </w:rPr>
              <w:t>operations</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299</w:t>
            </w:r>
          </w:p>
        </w:tc>
        <w:tc>
          <w:tcPr>
            <w:tcW w:w="0" w:type="dxa"/>
            <w:vAlign w:val="bottom"/>
          </w:tcPr>
          <w:p>
            <w:pPr>
              <w:spacing w:after="0"/>
              <w:rPr>
                <w:sz w:val="1"/>
                <w:szCs w:val="1"/>
                <w:color w:val="auto"/>
              </w:rPr>
            </w:pPr>
          </w:p>
        </w:tc>
      </w:tr>
      <w:tr>
        <w:trPr>
          <w:trHeight w:val="243"/>
        </w:trPr>
        <w:tc>
          <w:tcPr>
            <w:tcW w:w="6220" w:type="dxa"/>
            <w:vAlign w:val="bottom"/>
          </w:tcPr>
          <w:p>
            <w:pPr>
              <w:ind w:left="260"/>
              <w:spacing w:after="0" w:line="243" w:lineRule="exact"/>
              <w:rPr>
                <w:sz w:val="20"/>
                <w:szCs w:val="20"/>
                <w:color w:val="auto"/>
              </w:rPr>
            </w:pPr>
            <w:r>
              <w:rPr>
                <w:rFonts w:ascii="Arial" w:cs="Arial" w:eastAsia="Arial" w:hAnsi="Arial"/>
                <w:sz w:val="22"/>
                <w:szCs w:val="22"/>
                <w:color w:val="auto"/>
              </w:rPr>
              <w:t>Amortization of goodwill from discontinued</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380"/>
              <w:spacing w:after="0" w:line="243" w:lineRule="exact"/>
              <w:rPr>
                <w:sz w:val="20"/>
                <w:szCs w:val="20"/>
                <w:color w:val="auto"/>
              </w:rPr>
            </w:pPr>
            <w:r>
              <w:rPr>
                <w:rFonts w:ascii="Arial" w:cs="Arial" w:eastAsia="Arial" w:hAnsi="Arial"/>
                <w:sz w:val="22"/>
                <w:szCs w:val="22"/>
                <w:color w:val="auto"/>
              </w:rPr>
              <w:t>operations</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c>
          <w:tcPr>
            <w:tcW w:w="0" w:type="dxa"/>
            <w:vAlign w:val="bottom"/>
          </w:tcPr>
          <w:p>
            <w:pPr>
              <w:spacing w:after="0"/>
              <w:rPr>
                <w:sz w:val="1"/>
                <w:szCs w:val="1"/>
                <w:color w:val="auto"/>
              </w:rPr>
            </w:pPr>
          </w:p>
        </w:tc>
      </w:tr>
      <w:tr>
        <w:trPr>
          <w:trHeight w:val="243"/>
        </w:trPr>
        <w:tc>
          <w:tcPr>
            <w:tcW w:w="6220" w:type="dxa"/>
            <w:vAlign w:val="bottom"/>
          </w:tcPr>
          <w:p>
            <w:pPr>
              <w:ind w:left="260"/>
              <w:spacing w:after="0" w:line="243" w:lineRule="exact"/>
              <w:rPr>
                <w:sz w:val="20"/>
                <w:szCs w:val="20"/>
                <w:color w:val="auto"/>
              </w:rPr>
            </w:pPr>
            <w:r>
              <w:rPr>
                <w:rFonts w:ascii="Arial" w:cs="Arial" w:eastAsia="Arial" w:hAnsi="Arial"/>
                <w:sz w:val="22"/>
                <w:szCs w:val="22"/>
                <w:color w:val="auto"/>
              </w:rPr>
              <w:t>Amortization of equity method goodwill</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75"/>
        </w:trPr>
        <w:tc>
          <w:tcPr>
            <w:tcW w:w="6220" w:type="dxa"/>
            <w:vAlign w:val="bottom"/>
          </w:tcPr>
          <w:p>
            <w:pPr>
              <w:ind w:left="260"/>
              <w:spacing w:after="0"/>
              <w:rPr>
                <w:sz w:val="20"/>
                <w:szCs w:val="20"/>
                <w:color w:val="auto"/>
              </w:rPr>
            </w:pPr>
            <w:r>
              <w:rPr>
                <w:rFonts w:ascii="Arial" w:cs="Arial" w:eastAsia="Arial" w:hAnsi="Arial"/>
                <w:sz w:val="22"/>
                <w:szCs w:val="22"/>
                <w:color w:val="auto"/>
              </w:rPr>
              <w:t>Amortization of franchise rights</w:t>
            </w: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1,083</w:t>
            </w:r>
          </w:p>
        </w:tc>
        <w:tc>
          <w:tcPr>
            <w:tcW w:w="0" w:type="dxa"/>
            <w:vAlign w:val="bottom"/>
          </w:tcPr>
          <w:p>
            <w:pPr>
              <w:spacing w:after="0"/>
              <w:rPr>
                <w:sz w:val="1"/>
                <w:szCs w:val="1"/>
                <w:color w:val="auto"/>
              </w:rPr>
            </w:pPr>
          </w:p>
        </w:tc>
      </w:tr>
      <w:tr>
        <w:trPr>
          <w:trHeight w:val="98"/>
        </w:trPr>
        <w:tc>
          <w:tcPr>
            <w:tcW w:w="62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6220" w:type="dxa"/>
            <w:vAlign w:val="bottom"/>
          </w:tcPr>
          <w:p>
            <w:pPr>
              <w:ind w:left="140"/>
              <w:spacing w:after="0"/>
              <w:rPr>
                <w:sz w:val="20"/>
                <w:szCs w:val="20"/>
                <w:color w:val="auto"/>
              </w:rPr>
            </w:pPr>
            <w:r>
              <w:rPr>
                <w:rFonts w:ascii="Arial" w:cs="Arial" w:eastAsia="Arial" w:hAnsi="Arial"/>
                <w:sz w:val="22"/>
                <w:szCs w:val="22"/>
                <w:color w:val="auto"/>
              </w:rPr>
              <w:t>As adjusted</w:t>
            </w:r>
          </w:p>
        </w:tc>
        <w:tc>
          <w:tcPr>
            <w:tcW w:w="920" w:type="dxa"/>
            <w:vAlign w:val="bottom"/>
          </w:tcPr>
          <w:p>
            <w:pPr>
              <w:jc w:val="right"/>
              <w:spacing w:after="0"/>
              <w:rPr>
                <w:sz w:val="20"/>
                <w:szCs w:val="20"/>
                <w:color w:val="auto"/>
              </w:rPr>
            </w:pPr>
            <w:r>
              <w:rPr>
                <w:rFonts w:ascii="Arial" w:cs="Arial" w:eastAsia="Arial" w:hAnsi="Arial"/>
                <w:sz w:val="22"/>
                <w:szCs w:val="22"/>
                <w:color w:val="auto"/>
              </w:rPr>
              <w:t>$3,240</w:t>
            </w:r>
          </w:p>
        </w:tc>
        <w:tc>
          <w:tcPr>
            <w:tcW w:w="1740" w:type="dxa"/>
            <w:vAlign w:val="bottom"/>
            <w:gridSpan w:val="3"/>
          </w:tcPr>
          <w:p>
            <w:pPr>
              <w:jc w:val="right"/>
              <w:ind w:right="340"/>
              <w:spacing w:after="0"/>
              <w:rPr>
                <w:sz w:val="20"/>
                <w:szCs w:val="20"/>
                <w:color w:val="auto"/>
              </w:rPr>
            </w:pPr>
            <w:r>
              <w:rPr>
                <w:rFonts w:ascii="Arial" w:cs="Arial" w:eastAsia="Arial" w:hAnsi="Arial"/>
                <w:sz w:val="22"/>
                <w:szCs w:val="22"/>
                <w:color w:val="auto"/>
              </w:rPr>
              <w:t>($274)</w:t>
            </w:r>
          </w:p>
        </w:tc>
        <w:tc>
          <w:tcPr>
            <w:tcW w:w="900" w:type="dxa"/>
            <w:vAlign w:val="bottom"/>
          </w:tcPr>
          <w:p>
            <w:pPr>
              <w:jc w:val="right"/>
              <w:spacing w:after="0"/>
              <w:rPr>
                <w:sz w:val="20"/>
                <w:szCs w:val="20"/>
                <w:color w:val="auto"/>
              </w:rPr>
            </w:pPr>
            <w:r>
              <w:rPr>
                <w:rFonts w:ascii="Arial" w:cs="Arial" w:eastAsia="Arial" w:hAnsi="Arial"/>
                <w:sz w:val="22"/>
                <w:szCs w:val="22"/>
                <w:color w:val="auto"/>
              </w:rPr>
              <w:t>$2,042</w:t>
            </w:r>
          </w:p>
        </w:tc>
        <w:tc>
          <w:tcPr>
            <w:tcW w:w="0" w:type="dxa"/>
            <w:vAlign w:val="bottom"/>
          </w:tcPr>
          <w:p>
            <w:pPr>
              <w:spacing w:after="0"/>
              <w:rPr>
                <w:sz w:val="1"/>
                <w:szCs w:val="1"/>
                <w:color w:val="auto"/>
              </w:rPr>
            </w:pPr>
          </w:p>
        </w:tc>
      </w:tr>
      <w:tr>
        <w:trPr>
          <w:trHeight w:val="108"/>
        </w:trPr>
        <w:tc>
          <w:tcPr>
            <w:tcW w:w="6220" w:type="dxa"/>
            <w:vAlign w:val="bottom"/>
            <w:vMerge w:val="restart"/>
          </w:tcPr>
          <w:p>
            <w:pPr>
              <w:spacing w:after="0"/>
              <w:rPr>
                <w:sz w:val="20"/>
                <w:szCs w:val="20"/>
                <w:color w:val="auto"/>
              </w:rPr>
            </w:pPr>
            <w:r>
              <w:rPr>
                <w:rFonts w:ascii="Arial" w:cs="Arial" w:eastAsia="Arial" w:hAnsi="Arial"/>
                <w:sz w:val="22"/>
                <w:szCs w:val="22"/>
                <w:color w:val="auto"/>
              </w:rPr>
              <w:t>Basic EPS</w:t>
            </w:r>
          </w:p>
        </w:tc>
        <w:tc>
          <w:tcPr>
            <w:tcW w:w="9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70"/>
        </w:trPr>
        <w:tc>
          <w:tcPr>
            <w:tcW w:w="62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140"/>
              <w:spacing w:after="0" w:line="243" w:lineRule="exact"/>
              <w:rPr>
                <w:sz w:val="20"/>
                <w:szCs w:val="20"/>
                <w:color w:val="auto"/>
              </w:rPr>
            </w:pPr>
            <w:r>
              <w:rPr>
                <w:rFonts w:ascii="Arial" w:cs="Arial" w:eastAsia="Arial" w:hAnsi="Arial"/>
                <w:sz w:val="22"/>
                <w:szCs w:val="22"/>
                <w:color w:val="auto"/>
              </w:rPr>
              <w:t>As reported</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$1.44</w:t>
            </w:r>
          </w:p>
        </w:tc>
        <w:tc>
          <w:tcPr>
            <w:tcW w:w="1740" w:type="dxa"/>
            <w:vAlign w:val="bottom"/>
            <w:gridSpan w:val="3"/>
          </w:tcPr>
          <w:p>
            <w:pPr>
              <w:jc w:val="right"/>
              <w:ind w:right="340"/>
              <w:spacing w:after="0" w:line="243" w:lineRule="exact"/>
              <w:rPr>
                <w:sz w:val="20"/>
                <w:szCs w:val="20"/>
                <w:color w:val="auto"/>
              </w:rPr>
            </w:pPr>
            <w:r>
              <w:rPr>
                <w:rFonts w:ascii="Arial" w:cs="Arial" w:eastAsia="Arial" w:hAnsi="Arial"/>
                <w:sz w:val="22"/>
                <w:szCs w:val="22"/>
                <w:color w:val="auto"/>
              </w:rPr>
              <w:t>($0.25)</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$0.64</w:t>
            </w:r>
          </w:p>
        </w:tc>
        <w:tc>
          <w:tcPr>
            <w:tcW w:w="0" w:type="dxa"/>
            <w:vAlign w:val="bottom"/>
          </w:tcPr>
          <w:p>
            <w:pPr>
              <w:spacing w:after="0"/>
              <w:rPr>
                <w:sz w:val="1"/>
                <w:szCs w:val="1"/>
                <w:color w:val="auto"/>
              </w:rPr>
            </w:pPr>
          </w:p>
        </w:tc>
      </w:tr>
      <w:tr>
        <w:trPr>
          <w:trHeight w:val="243"/>
        </w:trPr>
        <w:tc>
          <w:tcPr>
            <w:tcW w:w="6220" w:type="dxa"/>
            <w:vAlign w:val="bottom"/>
          </w:tcPr>
          <w:p>
            <w:pPr>
              <w:ind w:left="260"/>
              <w:spacing w:after="0" w:line="243" w:lineRule="exact"/>
              <w:rPr>
                <w:sz w:val="20"/>
                <w:szCs w:val="20"/>
                <w:color w:val="auto"/>
              </w:rPr>
            </w:pPr>
            <w:r>
              <w:rPr>
                <w:rFonts w:ascii="Arial" w:cs="Arial" w:eastAsia="Arial" w:hAnsi="Arial"/>
                <w:sz w:val="22"/>
                <w:szCs w:val="22"/>
                <w:color w:val="auto"/>
              </w:rPr>
              <w:t>Amortization of goodwill from continuing</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380"/>
              <w:spacing w:after="0" w:line="243" w:lineRule="exact"/>
              <w:rPr>
                <w:sz w:val="20"/>
                <w:szCs w:val="20"/>
                <w:color w:val="auto"/>
              </w:rPr>
            </w:pPr>
            <w:r>
              <w:rPr>
                <w:rFonts w:ascii="Arial" w:cs="Arial" w:eastAsia="Arial" w:hAnsi="Arial"/>
                <w:sz w:val="22"/>
                <w:szCs w:val="22"/>
                <w:color w:val="auto"/>
              </w:rPr>
              <w:t>operations</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0.31</w:t>
            </w:r>
          </w:p>
        </w:tc>
        <w:tc>
          <w:tcPr>
            <w:tcW w:w="0" w:type="dxa"/>
            <w:vAlign w:val="bottom"/>
          </w:tcPr>
          <w:p>
            <w:pPr>
              <w:spacing w:after="0"/>
              <w:rPr>
                <w:sz w:val="1"/>
                <w:szCs w:val="1"/>
                <w:color w:val="auto"/>
              </w:rPr>
            </w:pPr>
          </w:p>
        </w:tc>
      </w:tr>
      <w:tr>
        <w:trPr>
          <w:trHeight w:val="243"/>
        </w:trPr>
        <w:tc>
          <w:tcPr>
            <w:tcW w:w="6220" w:type="dxa"/>
            <w:vAlign w:val="bottom"/>
          </w:tcPr>
          <w:p>
            <w:pPr>
              <w:ind w:left="260"/>
              <w:spacing w:after="0" w:line="243" w:lineRule="exact"/>
              <w:rPr>
                <w:sz w:val="20"/>
                <w:szCs w:val="20"/>
                <w:color w:val="auto"/>
              </w:rPr>
            </w:pPr>
            <w:r>
              <w:rPr>
                <w:rFonts w:ascii="Arial" w:cs="Arial" w:eastAsia="Arial" w:hAnsi="Arial"/>
                <w:sz w:val="22"/>
                <w:szCs w:val="22"/>
                <w:color w:val="auto"/>
              </w:rPr>
              <w:t>Amortization of goodwill from discontinued</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380"/>
              <w:spacing w:after="0" w:line="243" w:lineRule="exact"/>
              <w:rPr>
                <w:sz w:val="20"/>
                <w:szCs w:val="20"/>
                <w:color w:val="auto"/>
              </w:rPr>
            </w:pPr>
            <w:r>
              <w:rPr>
                <w:rFonts w:ascii="Arial" w:cs="Arial" w:eastAsia="Arial" w:hAnsi="Arial"/>
                <w:sz w:val="22"/>
                <w:szCs w:val="22"/>
                <w:color w:val="auto"/>
              </w:rPr>
              <w:t>operations</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0.04</w:t>
            </w:r>
          </w:p>
        </w:tc>
        <w:tc>
          <w:tcPr>
            <w:tcW w:w="0" w:type="dxa"/>
            <w:vAlign w:val="bottom"/>
          </w:tcPr>
          <w:p>
            <w:pPr>
              <w:spacing w:after="0"/>
              <w:rPr>
                <w:sz w:val="1"/>
                <w:szCs w:val="1"/>
                <w:color w:val="auto"/>
              </w:rPr>
            </w:pPr>
          </w:p>
        </w:tc>
      </w:tr>
      <w:tr>
        <w:trPr>
          <w:trHeight w:val="243"/>
        </w:trPr>
        <w:tc>
          <w:tcPr>
            <w:tcW w:w="6220" w:type="dxa"/>
            <w:vAlign w:val="bottom"/>
          </w:tcPr>
          <w:p>
            <w:pPr>
              <w:ind w:left="260"/>
              <w:spacing w:after="0" w:line="243" w:lineRule="exact"/>
              <w:rPr>
                <w:sz w:val="20"/>
                <w:szCs w:val="20"/>
                <w:color w:val="auto"/>
              </w:rPr>
            </w:pPr>
            <w:r>
              <w:rPr>
                <w:rFonts w:ascii="Arial" w:cs="Arial" w:eastAsia="Arial" w:hAnsi="Arial"/>
                <w:sz w:val="22"/>
                <w:szCs w:val="22"/>
                <w:color w:val="auto"/>
              </w:rPr>
              <w:t>Amortization of equity method goodwill</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0.02</w:t>
            </w:r>
          </w:p>
        </w:tc>
        <w:tc>
          <w:tcPr>
            <w:tcW w:w="0" w:type="dxa"/>
            <w:vAlign w:val="bottom"/>
          </w:tcPr>
          <w:p>
            <w:pPr>
              <w:spacing w:after="0"/>
              <w:rPr>
                <w:sz w:val="1"/>
                <w:szCs w:val="1"/>
                <w:color w:val="auto"/>
              </w:rPr>
            </w:pPr>
          </w:p>
        </w:tc>
      </w:tr>
      <w:tr>
        <w:trPr>
          <w:trHeight w:val="275"/>
        </w:trPr>
        <w:tc>
          <w:tcPr>
            <w:tcW w:w="6220" w:type="dxa"/>
            <w:vAlign w:val="bottom"/>
          </w:tcPr>
          <w:p>
            <w:pPr>
              <w:ind w:left="260"/>
              <w:spacing w:after="0"/>
              <w:rPr>
                <w:sz w:val="20"/>
                <w:szCs w:val="20"/>
                <w:color w:val="auto"/>
              </w:rPr>
            </w:pPr>
            <w:r>
              <w:rPr>
                <w:rFonts w:ascii="Arial" w:cs="Arial" w:eastAsia="Arial" w:hAnsi="Arial"/>
                <w:sz w:val="22"/>
                <w:szCs w:val="22"/>
                <w:color w:val="auto"/>
              </w:rPr>
              <w:t>Amortization of franchise rights</w:t>
            </w: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1.14</w:t>
            </w:r>
          </w:p>
        </w:tc>
        <w:tc>
          <w:tcPr>
            <w:tcW w:w="0" w:type="dxa"/>
            <w:vAlign w:val="bottom"/>
          </w:tcPr>
          <w:p>
            <w:pPr>
              <w:spacing w:after="0"/>
              <w:rPr>
                <w:sz w:val="1"/>
                <w:szCs w:val="1"/>
                <w:color w:val="auto"/>
              </w:rPr>
            </w:pPr>
          </w:p>
        </w:tc>
      </w:tr>
      <w:tr>
        <w:trPr>
          <w:trHeight w:val="98"/>
        </w:trPr>
        <w:tc>
          <w:tcPr>
            <w:tcW w:w="62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-1547495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-1547495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-1547495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-1547495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-1547495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-1547495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080"/>
          </w:cols>
          <w:pgMar w:left="240" w:top="118" w:right="579" w:bottom="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75"/>
        </w:trPr>
        <w:tc>
          <w:tcPr>
            <w:tcW w:w="6820" w:type="dxa"/>
            <w:vAlign w:val="bottom"/>
            <w:gridSpan w:val="3"/>
          </w:tcPr>
          <w:p>
            <w:pPr>
              <w:ind w:left="420"/>
              <w:spacing w:after="0"/>
              <w:rPr>
                <w:sz w:val="20"/>
                <w:szCs w:val="20"/>
                <w:color w:val="auto"/>
              </w:rPr>
            </w:pPr>
            <w:r>
              <w:rPr>
                <w:rFonts w:ascii="Arial" w:cs="Arial" w:eastAsia="Arial" w:hAnsi="Arial"/>
                <w:sz w:val="22"/>
                <w:szCs w:val="22"/>
                <w:color w:val="auto"/>
              </w:rPr>
              <w:t>As adjusted</w:t>
            </w:r>
          </w:p>
        </w:tc>
        <w:tc>
          <w:tcPr>
            <w:tcW w:w="600" w:type="dxa"/>
            <w:vAlign w:val="bottom"/>
          </w:tcPr>
          <w:p>
            <w:pPr>
              <w:jc w:val="right"/>
              <w:spacing w:after="0"/>
              <w:rPr>
                <w:sz w:val="20"/>
                <w:szCs w:val="20"/>
                <w:color w:val="auto"/>
              </w:rPr>
            </w:pPr>
            <w:r>
              <w:rPr>
                <w:rFonts w:ascii="Arial" w:cs="Arial" w:eastAsia="Arial" w:hAnsi="Arial"/>
                <w:sz w:val="22"/>
                <w:szCs w:val="22"/>
                <w:color w:val="auto"/>
              </w:rPr>
              <w:t>$1.44</w:t>
            </w:r>
          </w:p>
        </w:tc>
        <w:tc>
          <w:tcPr>
            <w:tcW w:w="1620" w:type="dxa"/>
            <w:vAlign w:val="bottom"/>
            <w:gridSpan w:val="5"/>
          </w:tcPr>
          <w:p>
            <w:pPr>
              <w:ind w:left="760"/>
              <w:spacing w:after="0"/>
              <w:rPr>
                <w:sz w:val="20"/>
                <w:szCs w:val="20"/>
                <w:color w:val="auto"/>
              </w:rPr>
            </w:pPr>
            <w:r>
              <w:rPr>
                <w:rFonts w:ascii="Arial" w:cs="Arial" w:eastAsia="Arial" w:hAnsi="Arial"/>
                <w:sz w:val="22"/>
                <w:szCs w:val="22"/>
                <w:color w:val="auto"/>
              </w:rPr>
              <w:t>($0.25)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$2.15</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46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0"/>
        </w:trPr>
        <w:tc>
          <w:tcPr>
            <w:tcW w:w="6820" w:type="dxa"/>
            <w:vAlign w:val="bottom"/>
            <w:gridSpan w:val="3"/>
          </w:tcPr>
          <w:p>
            <w:pPr>
              <w:ind w:left="280"/>
              <w:spacing w:after="0"/>
              <w:rPr>
                <w:sz w:val="20"/>
                <w:szCs w:val="20"/>
                <w:color w:val="auto"/>
              </w:rPr>
            </w:pPr>
            <w:r>
              <w:rPr>
                <w:rFonts w:ascii="Arial" w:cs="Arial" w:eastAsia="Arial" w:hAnsi="Arial"/>
                <w:sz w:val="22"/>
                <w:szCs w:val="22"/>
                <w:color w:val="auto"/>
              </w:rPr>
              <w:t>Diluted EPS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20" w:type="dxa"/>
            <w:vAlign w:val="bottom"/>
            <w:gridSpan w:val="3"/>
          </w:tcPr>
          <w:p>
            <w:pPr>
              <w:ind w:left="420"/>
              <w:spacing w:after="0" w:line="243" w:lineRule="exact"/>
              <w:rPr>
                <w:sz w:val="20"/>
                <w:szCs w:val="20"/>
                <w:color w:val="auto"/>
              </w:rPr>
            </w:pPr>
            <w:r>
              <w:rPr>
                <w:rFonts w:ascii="Arial" w:cs="Arial" w:eastAsia="Arial" w:hAnsi="Arial"/>
                <w:sz w:val="22"/>
                <w:szCs w:val="22"/>
                <w:color w:val="auto"/>
              </w:rPr>
              <w:t>As reported</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$1.44</w:t>
            </w:r>
          </w:p>
        </w:tc>
        <w:tc>
          <w:tcPr>
            <w:tcW w:w="1620" w:type="dxa"/>
            <w:vAlign w:val="bottom"/>
            <w:gridSpan w:val="5"/>
          </w:tcPr>
          <w:p>
            <w:pPr>
              <w:ind w:left="760"/>
              <w:spacing w:after="0" w:line="243" w:lineRule="exact"/>
              <w:rPr>
                <w:sz w:val="20"/>
                <w:szCs w:val="20"/>
                <w:color w:val="auto"/>
              </w:rPr>
            </w:pPr>
            <w:r>
              <w:rPr>
                <w:rFonts w:ascii="Arial" w:cs="Arial" w:eastAsia="Arial" w:hAnsi="Arial"/>
                <w:sz w:val="22"/>
                <w:szCs w:val="22"/>
                <w:color w:val="auto"/>
              </w:rPr>
              <w:t>($0.25)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$0.63</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gridSpan w:val="3"/>
          </w:tcPr>
          <w:p>
            <w:pPr>
              <w:ind w:left="540"/>
              <w:spacing w:after="0" w:line="243" w:lineRule="exact"/>
              <w:rPr>
                <w:sz w:val="20"/>
                <w:szCs w:val="20"/>
                <w:color w:val="auto"/>
              </w:rPr>
            </w:pPr>
            <w:r>
              <w:rPr>
                <w:rFonts w:ascii="Arial" w:cs="Arial" w:eastAsia="Arial" w:hAnsi="Arial"/>
                <w:sz w:val="22"/>
                <w:szCs w:val="22"/>
                <w:color w:val="auto"/>
              </w:rPr>
              <w:t>Amortization of goodwill from continuing</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gridSpan w:val="3"/>
          </w:tcPr>
          <w:p>
            <w:pPr>
              <w:ind w:left="660"/>
              <w:spacing w:after="0" w:line="243" w:lineRule="exact"/>
              <w:rPr>
                <w:sz w:val="20"/>
                <w:szCs w:val="20"/>
                <w:color w:val="auto"/>
              </w:rPr>
            </w:pPr>
            <w:r>
              <w:rPr>
                <w:rFonts w:ascii="Arial" w:cs="Arial" w:eastAsia="Arial" w:hAnsi="Arial"/>
                <w:sz w:val="22"/>
                <w:szCs w:val="22"/>
                <w:color w:val="auto"/>
              </w:rPr>
              <w:t>operations</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0.31</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gridSpan w:val="3"/>
          </w:tcPr>
          <w:p>
            <w:pPr>
              <w:ind w:left="540"/>
              <w:spacing w:after="0" w:line="243" w:lineRule="exact"/>
              <w:rPr>
                <w:sz w:val="20"/>
                <w:szCs w:val="20"/>
                <w:color w:val="auto"/>
              </w:rPr>
            </w:pPr>
            <w:r>
              <w:rPr>
                <w:rFonts w:ascii="Arial" w:cs="Arial" w:eastAsia="Arial" w:hAnsi="Arial"/>
                <w:sz w:val="22"/>
                <w:szCs w:val="22"/>
                <w:color w:val="auto"/>
              </w:rPr>
              <w:t>Amortization of goodwill from discontinued</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gridSpan w:val="3"/>
          </w:tcPr>
          <w:p>
            <w:pPr>
              <w:ind w:left="660"/>
              <w:spacing w:after="0" w:line="243" w:lineRule="exact"/>
              <w:rPr>
                <w:sz w:val="20"/>
                <w:szCs w:val="20"/>
                <w:color w:val="auto"/>
              </w:rPr>
            </w:pPr>
            <w:r>
              <w:rPr>
                <w:rFonts w:ascii="Arial" w:cs="Arial" w:eastAsia="Arial" w:hAnsi="Arial"/>
                <w:sz w:val="22"/>
                <w:szCs w:val="22"/>
                <w:color w:val="auto"/>
              </w:rPr>
              <w:t>operations</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0.04</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gridSpan w:val="3"/>
          </w:tcPr>
          <w:p>
            <w:pPr>
              <w:ind w:left="540"/>
              <w:spacing w:after="0" w:line="243" w:lineRule="exact"/>
              <w:rPr>
                <w:sz w:val="20"/>
                <w:szCs w:val="20"/>
                <w:color w:val="auto"/>
              </w:rPr>
            </w:pPr>
            <w:r>
              <w:rPr>
                <w:rFonts w:ascii="Arial" w:cs="Arial" w:eastAsia="Arial" w:hAnsi="Arial"/>
                <w:sz w:val="22"/>
                <w:szCs w:val="22"/>
                <w:color w:val="auto"/>
              </w:rPr>
              <w:t>Amortization of equity method goodwill</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0.02</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820" w:type="dxa"/>
            <w:vAlign w:val="bottom"/>
            <w:gridSpan w:val="3"/>
          </w:tcPr>
          <w:p>
            <w:pPr>
              <w:ind w:left="540"/>
              <w:spacing w:after="0"/>
              <w:rPr>
                <w:sz w:val="20"/>
                <w:szCs w:val="20"/>
                <w:color w:val="auto"/>
              </w:rPr>
            </w:pPr>
            <w:r>
              <w:rPr>
                <w:rFonts w:ascii="Arial" w:cs="Arial" w:eastAsia="Arial" w:hAnsi="Arial"/>
                <w:sz w:val="22"/>
                <w:szCs w:val="22"/>
                <w:color w:val="auto"/>
              </w:rPr>
              <w:t>Amortization of franchise rights</w:t>
            </w: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1.12</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6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6820" w:type="dxa"/>
            <w:vAlign w:val="bottom"/>
            <w:gridSpan w:val="3"/>
          </w:tcPr>
          <w:p>
            <w:pPr>
              <w:ind w:left="420"/>
              <w:spacing w:after="0"/>
              <w:rPr>
                <w:sz w:val="20"/>
                <w:szCs w:val="20"/>
                <w:color w:val="auto"/>
              </w:rPr>
            </w:pPr>
            <w:r>
              <w:rPr>
                <w:rFonts w:ascii="Arial" w:cs="Arial" w:eastAsia="Arial" w:hAnsi="Arial"/>
                <w:sz w:val="22"/>
                <w:szCs w:val="22"/>
                <w:color w:val="auto"/>
              </w:rPr>
              <w:t>As adjusted</w:t>
            </w:r>
          </w:p>
        </w:tc>
        <w:tc>
          <w:tcPr>
            <w:tcW w:w="600" w:type="dxa"/>
            <w:vAlign w:val="bottom"/>
          </w:tcPr>
          <w:p>
            <w:pPr>
              <w:jc w:val="right"/>
              <w:spacing w:after="0"/>
              <w:rPr>
                <w:sz w:val="20"/>
                <w:szCs w:val="20"/>
                <w:color w:val="auto"/>
              </w:rPr>
            </w:pPr>
            <w:r>
              <w:rPr>
                <w:rFonts w:ascii="Arial" w:cs="Arial" w:eastAsia="Arial" w:hAnsi="Arial"/>
                <w:sz w:val="22"/>
                <w:szCs w:val="22"/>
                <w:color w:val="auto"/>
              </w:rPr>
              <w:t>$1.44</w:t>
            </w:r>
          </w:p>
        </w:tc>
        <w:tc>
          <w:tcPr>
            <w:tcW w:w="1620" w:type="dxa"/>
            <w:vAlign w:val="bottom"/>
            <w:gridSpan w:val="5"/>
          </w:tcPr>
          <w:p>
            <w:pPr>
              <w:ind w:left="760"/>
              <w:spacing w:after="0"/>
              <w:rPr>
                <w:sz w:val="20"/>
                <w:szCs w:val="20"/>
                <w:color w:val="auto"/>
              </w:rPr>
            </w:pPr>
            <w:r>
              <w:rPr>
                <w:rFonts w:ascii="Arial" w:cs="Arial" w:eastAsia="Arial" w:hAnsi="Arial"/>
                <w:sz w:val="22"/>
                <w:szCs w:val="22"/>
                <w:color w:val="auto"/>
              </w:rPr>
              <w:t>($0.25)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$2.12</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500" w:type="dxa"/>
            <w:vAlign w:val="bottom"/>
            <w:gridSpan w:val="2"/>
            <w:vMerge w:val="restart"/>
          </w:tcPr>
          <w:p>
            <w:pPr>
              <w:ind w:left="5480"/>
              <w:spacing w:after="0"/>
              <w:rPr>
                <w:sz w:val="20"/>
                <w:szCs w:val="20"/>
                <w:color w:val="auto"/>
              </w:rPr>
            </w:pPr>
            <w:r>
              <w:rPr>
                <w:rFonts w:ascii="Arial" w:cs="Arial" w:eastAsia="Arial" w:hAnsi="Arial"/>
                <w:sz w:val="22"/>
                <w:szCs w:val="22"/>
                <w:color w:val="auto"/>
              </w:rPr>
              <w:t>- 28 -</w:t>
            </w:r>
          </w:p>
        </w:tc>
        <w:tc>
          <w:tcPr>
            <w:tcW w:w="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7"/>
        </w:trPr>
        <w:tc>
          <w:tcPr>
            <w:tcW w:w="65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660" w:type="dxa"/>
            <w:vAlign w:val="bottom"/>
            <w:tcBorders>
              <w:bottom w:val="single" w:sz="8" w:color="808080"/>
            </w:tcBorders>
          </w:tcPr>
          <w:p>
            <w:pPr>
              <w:spacing w:after="0"/>
              <w:rPr>
                <w:sz w:val="17"/>
                <w:szCs w:val="17"/>
                <w:color w:val="auto"/>
              </w:rPr>
            </w:pPr>
          </w:p>
        </w:tc>
        <w:tc>
          <w:tcPr>
            <w:tcW w:w="2160" w:type="dxa"/>
            <w:vAlign w:val="bottom"/>
            <w:tcBorders>
              <w:bottom w:val="single" w:sz="8" w:color="808080"/>
            </w:tcBorders>
            <w:gridSpan w:val="2"/>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13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20" w:type="dxa"/>
            <w:vAlign w:val="bottom"/>
            <w:gridSpan w:val="3"/>
          </w:tcPr>
          <w:p>
            <w:pPr>
              <w:spacing w:after="0"/>
              <w:rPr>
                <w:sz w:val="20"/>
                <w:szCs w:val="20"/>
                <w:color w:val="auto"/>
              </w:rPr>
            </w:pPr>
            <w:r>
              <w:rPr>
                <w:rFonts w:ascii="Arial" w:cs="Arial" w:eastAsia="Arial" w:hAnsi="Arial"/>
                <w:sz w:val="22"/>
                <w:szCs w:val="22"/>
                <w:color w:val="auto"/>
              </w:rPr>
              <w:t>COMCAST CORPORATION AND SUBSIDIARIES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000000"/>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6820" w:type="dxa"/>
            <w:vAlign w:val="bottom"/>
            <w:gridSpan w:val="3"/>
          </w:tcPr>
          <w:p>
            <w:pPr>
              <w:spacing w:after="0"/>
              <w:rPr>
                <w:sz w:val="20"/>
                <w:szCs w:val="20"/>
                <w:color w:val="auto"/>
              </w:rPr>
            </w:pPr>
            <w:r>
              <w:rPr>
                <w:rFonts w:ascii="Arial" w:cs="Arial" w:eastAsia="Arial" w:hAnsi="Arial"/>
                <w:sz w:val="22"/>
                <w:szCs w:val="22"/>
                <w:color w:val="auto"/>
              </w:rPr>
              <w:t>NOTES TO CONSOLIDATED FINANCIAL STATEMENTS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820" w:type="dxa"/>
            <w:vAlign w:val="bottom"/>
            <w:gridSpan w:val="3"/>
          </w:tcPr>
          <w:p>
            <w:pPr>
              <w:spacing w:after="0"/>
              <w:rPr>
                <w:sz w:val="20"/>
                <w:szCs w:val="20"/>
                <w:color w:val="auto"/>
              </w:rPr>
            </w:pPr>
            <w:r>
              <w:rPr>
                <w:rFonts w:ascii="Arial" w:cs="Arial" w:eastAsia="Arial" w:hAnsi="Arial"/>
                <w:sz w:val="22"/>
                <w:szCs w:val="22"/>
                <w:color w:val="auto"/>
              </w:rPr>
              <w:t>YEARS ENDED DECEMBER 31, 2003, 2002 AND 2001 (Continued)</w:t>
            </w: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6820" w:type="dxa"/>
            <w:vAlign w:val="bottom"/>
            <w:gridSpan w:val="3"/>
          </w:tcPr>
          <w:p>
            <w:pPr>
              <w:spacing w:after="0"/>
              <w:rPr>
                <w:sz w:val="20"/>
                <w:szCs w:val="20"/>
                <w:color w:val="auto"/>
              </w:rPr>
            </w:pPr>
            <w:r>
              <w:rPr>
                <w:rFonts w:ascii="Arial" w:cs="Arial" w:eastAsia="Arial" w:hAnsi="Arial"/>
                <w:sz w:val="22"/>
                <w:szCs w:val="22"/>
                <w:color w:val="auto"/>
              </w:rPr>
              <w:t>8.   LONG-TERM DEBT</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4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gridSpan w:val="6"/>
          </w:tcPr>
          <w:p>
            <w:pPr>
              <w:ind w:left="360"/>
              <w:spacing w:after="0"/>
              <w:rPr>
                <w:sz w:val="20"/>
                <w:szCs w:val="20"/>
                <w:color w:val="auto"/>
              </w:rPr>
            </w:pPr>
            <w:r>
              <w:rPr>
                <w:rFonts w:ascii="Arial" w:cs="Arial" w:eastAsia="Arial" w:hAnsi="Arial"/>
                <w:sz w:val="22"/>
                <w:szCs w:val="22"/>
                <w:color w:val="auto"/>
              </w:rPr>
              <w:t>December 31,</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gridSpan w:val="3"/>
          </w:tcPr>
          <w:p>
            <w:pPr>
              <w:jc w:val="right"/>
              <w:ind w:right="172"/>
              <w:spacing w:after="0"/>
              <w:rPr>
                <w:sz w:val="20"/>
                <w:szCs w:val="20"/>
                <w:color w:val="auto"/>
              </w:rPr>
            </w:pPr>
            <w:r>
              <w:rPr>
                <w:rFonts w:ascii="Arial" w:cs="Arial" w:eastAsia="Arial" w:hAnsi="Arial"/>
                <w:sz w:val="22"/>
                <w:szCs w:val="22"/>
                <w:color w:val="auto"/>
              </w:rPr>
              <w:t>2003</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72"/>
              <w:spacing w:after="0"/>
              <w:rPr>
                <w:sz w:val="20"/>
                <w:szCs w:val="20"/>
                <w:color w:val="auto"/>
              </w:rPr>
            </w:pPr>
            <w:r>
              <w:rPr>
                <w:rFonts w:ascii="Arial" w:cs="Arial" w:eastAsia="Arial" w:hAnsi="Arial"/>
                <w:sz w:val="22"/>
                <w:szCs w:val="22"/>
                <w:color w:val="auto"/>
                <w:w w:val="85"/>
              </w:rPr>
              <w:t>2002</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6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20" w:type="dxa"/>
            <w:vAlign w:val="bottom"/>
            <w:gridSpan w:val="2"/>
          </w:tcPr>
          <w:p>
            <w:pPr>
              <w:spacing w:after="0"/>
              <w:rPr>
                <w:sz w:val="8"/>
                <w:szCs w:val="8"/>
                <w:color w:val="auto"/>
              </w:rPr>
            </w:pPr>
          </w:p>
        </w:tc>
        <w:tc>
          <w:tcPr>
            <w:tcW w:w="300" w:type="dxa"/>
            <w:vAlign w:val="bottom"/>
            <w:tcBorders>
              <w:bottom w:val="single" w:sz="8" w:color="808080"/>
            </w:tcBorders>
            <w:gridSpan w:val="2"/>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4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5"/>
          </w:tcPr>
          <w:p>
            <w:pPr>
              <w:ind w:left="420"/>
              <w:spacing w:after="0"/>
              <w:rPr>
                <w:sz w:val="20"/>
                <w:szCs w:val="20"/>
                <w:color w:val="auto"/>
              </w:rPr>
            </w:pPr>
            <w:r>
              <w:rPr>
                <w:rFonts w:ascii="Arial" w:cs="Arial" w:eastAsia="Arial" w:hAnsi="Arial"/>
                <w:sz w:val="22"/>
                <w:szCs w:val="22"/>
                <w:color w:val="auto"/>
                <w:w w:val="97"/>
              </w:rPr>
              <w:t>(in millions)</w:t>
            </w: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6820" w:type="dxa"/>
            <w:vAlign w:val="bottom"/>
            <w:gridSpan w:val="3"/>
          </w:tcPr>
          <w:p>
            <w:pPr>
              <w:ind w:left="280"/>
              <w:spacing w:after="0"/>
              <w:rPr>
                <w:sz w:val="20"/>
                <w:szCs w:val="20"/>
                <w:color w:val="auto"/>
              </w:rPr>
            </w:pPr>
            <w:r>
              <w:rPr>
                <w:rFonts w:ascii="Arial" w:cs="Arial" w:eastAsia="Arial" w:hAnsi="Arial"/>
                <w:sz w:val="22"/>
                <w:szCs w:val="22"/>
                <w:color w:val="auto"/>
              </w:rPr>
              <w:t>Notes exchangeable into common stock, due 2003-2007</w:t>
            </w:r>
          </w:p>
        </w:tc>
        <w:tc>
          <w:tcPr>
            <w:tcW w:w="60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22"/>
                <w:szCs w:val="22"/>
                <w:color w:val="auto"/>
              </w:rPr>
              <w:t>$4,318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$5,459</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Notes payable to banks due in installments through 2009</w:t>
            </w:r>
          </w:p>
        </w:tc>
        <w:tc>
          <w:tcPr>
            <w:tcW w:w="600" w:type="dxa"/>
            <w:vAlign w:val="bottom"/>
          </w:tcPr>
          <w:p>
            <w:pPr>
              <w:spacing w:after="0"/>
              <w:rPr>
                <w:sz w:val="21"/>
                <w:szCs w:val="21"/>
                <w:color w:val="auto"/>
              </w:rPr>
            </w:pPr>
          </w:p>
        </w:tc>
        <w:tc>
          <w:tcPr>
            <w:tcW w:w="11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7,767</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5.30% - 6.95% Senior notes, due 2003-2037</w:t>
            </w:r>
          </w:p>
        </w:tc>
        <w:tc>
          <w:tcPr>
            <w:tcW w:w="600" w:type="dxa"/>
            <w:vAlign w:val="bottom"/>
          </w:tcPr>
          <w:p>
            <w:pPr>
              <w:spacing w:after="0"/>
              <w:rPr>
                <w:sz w:val="21"/>
                <w:szCs w:val="21"/>
                <w:color w:val="auto"/>
              </w:rPr>
            </w:pPr>
          </w:p>
        </w:tc>
        <w:tc>
          <w:tcPr>
            <w:tcW w:w="11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6,723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4,267</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7.05% - 7.95% Senior notes, due 2003-2097</w:t>
            </w:r>
          </w:p>
        </w:tc>
        <w:tc>
          <w:tcPr>
            <w:tcW w:w="600" w:type="dxa"/>
            <w:vAlign w:val="bottom"/>
          </w:tcPr>
          <w:p>
            <w:pPr>
              <w:spacing w:after="0"/>
              <w:rPr>
                <w:sz w:val="21"/>
                <w:szCs w:val="21"/>
                <w:color w:val="auto"/>
              </w:rPr>
            </w:pPr>
          </w:p>
        </w:tc>
        <w:tc>
          <w:tcPr>
            <w:tcW w:w="11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3,492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2,832</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8% - 8-7/8% Senior notes, due 2003-2032</w:t>
            </w:r>
          </w:p>
        </w:tc>
        <w:tc>
          <w:tcPr>
            <w:tcW w:w="600" w:type="dxa"/>
            <w:vAlign w:val="bottom"/>
          </w:tcPr>
          <w:p>
            <w:pPr>
              <w:spacing w:after="0"/>
              <w:rPr>
                <w:sz w:val="21"/>
                <w:szCs w:val="21"/>
                <w:color w:val="auto"/>
              </w:rPr>
            </w:pPr>
          </w:p>
        </w:tc>
        <w:tc>
          <w:tcPr>
            <w:tcW w:w="11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7,726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8,710</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9% - 10-1/8% Senior notes, due 2003-2023</w:t>
            </w:r>
          </w:p>
        </w:tc>
        <w:tc>
          <w:tcPr>
            <w:tcW w:w="600" w:type="dxa"/>
            <w:vAlign w:val="bottom"/>
          </w:tcPr>
          <w:p>
            <w:pPr>
              <w:spacing w:after="0"/>
              <w:rPr>
                <w:sz w:val="21"/>
                <w:szCs w:val="21"/>
                <w:color w:val="auto"/>
              </w:rPr>
            </w:pPr>
          </w:p>
        </w:tc>
        <w:tc>
          <w:tcPr>
            <w:tcW w:w="11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2,794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3,015</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8-1/4% - 10-5/8% Senior subordinated debentures, due 2006-2012</w:t>
            </w:r>
          </w:p>
        </w:tc>
        <w:tc>
          <w:tcPr>
            <w:tcW w:w="600" w:type="dxa"/>
            <w:vAlign w:val="bottom"/>
          </w:tcPr>
          <w:p>
            <w:pPr>
              <w:spacing w:after="0"/>
              <w:rPr>
                <w:sz w:val="21"/>
                <w:szCs w:val="21"/>
                <w:color w:val="auto"/>
              </w:rPr>
            </w:pPr>
          </w:p>
        </w:tc>
        <w:tc>
          <w:tcPr>
            <w:tcW w:w="11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372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521</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Zero Coupon Convertible Debentures, due 2020</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ZONES due 2029</w:t>
            </w:r>
          </w:p>
        </w:tc>
        <w:tc>
          <w:tcPr>
            <w:tcW w:w="600" w:type="dxa"/>
            <w:vAlign w:val="bottom"/>
          </w:tcPr>
          <w:p>
            <w:pPr>
              <w:spacing w:after="0"/>
              <w:rPr>
                <w:sz w:val="21"/>
                <w:szCs w:val="21"/>
                <w:color w:val="auto"/>
              </w:rPr>
            </w:pPr>
          </w:p>
        </w:tc>
        <w:tc>
          <w:tcPr>
            <w:tcW w:w="11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783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699</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gridSpan w:val="3"/>
          </w:tcPr>
          <w:p>
            <w:pPr>
              <w:ind w:left="280"/>
              <w:spacing w:after="0" w:line="243" w:lineRule="exact"/>
              <w:rPr>
                <w:sz w:val="20"/>
                <w:szCs w:val="20"/>
                <w:color w:val="auto"/>
              </w:rPr>
            </w:pPr>
            <w:r>
              <w:rPr>
                <w:rFonts w:ascii="Arial" w:cs="Arial" w:eastAsia="Arial" w:hAnsi="Arial"/>
                <w:sz w:val="22"/>
                <w:szCs w:val="22"/>
                <w:color w:val="auto"/>
                <w:w w:val="90"/>
              </w:rPr>
              <w:t>9.04% - 9.65% Debt supporting Trust Preferred Securities, due 2027-2038</w:t>
            </w:r>
          </w:p>
        </w:tc>
        <w:tc>
          <w:tcPr>
            <w:tcW w:w="600" w:type="dxa"/>
            <w:vAlign w:val="bottom"/>
          </w:tcPr>
          <w:p>
            <w:pPr>
              <w:spacing w:after="0"/>
              <w:rPr>
                <w:sz w:val="21"/>
                <w:szCs w:val="21"/>
                <w:color w:val="auto"/>
              </w:rPr>
            </w:pPr>
          </w:p>
        </w:tc>
        <w:tc>
          <w:tcPr>
            <w:tcW w:w="11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301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805</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820" w:type="dxa"/>
            <w:vAlign w:val="bottom"/>
            <w:gridSpan w:val="3"/>
          </w:tcPr>
          <w:p>
            <w:pPr>
              <w:ind w:left="280"/>
              <w:spacing w:after="0"/>
              <w:rPr>
                <w:sz w:val="20"/>
                <w:szCs w:val="20"/>
                <w:color w:val="auto"/>
              </w:rPr>
            </w:pPr>
            <w:r>
              <w:rPr>
                <w:rFonts w:ascii="Arial" w:cs="Arial" w:eastAsia="Arial" w:hAnsi="Arial"/>
                <w:sz w:val="22"/>
                <w:szCs w:val="22"/>
                <w:color w:val="auto"/>
              </w:rPr>
              <w:t>Other, including capital lease obligations</w:t>
            </w:r>
          </w:p>
        </w:tc>
        <w:tc>
          <w:tcPr>
            <w:tcW w:w="600" w:type="dxa"/>
            <w:vAlign w:val="bottom"/>
          </w:tcPr>
          <w:p>
            <w:pPr>
              <w:spacing w:after="0"/>
              <w:rPr>
                <w:sz w:val="23"/>
                <w:szCs w:val="23"/>
                <w:color w:val="auto"/>
              </w:rPr>
            </w:pPr>
          </w:p>
        </w:tc>
        <w:tc>
          <w:tcPr>
            <w:tcW w:w="1100" w:type="dxa"/>
            <w:vAlign w:val="bottom"/>
            <w:gridSpan w:val="3"/>
          </w:tcPr>
          <w:p>
            <w:pPr>
              <w:jc w:val="right"/>
              <w:spacing w:after="0"/>
              <w:rPr>
                <w:sz w:val="20"/>
                <w:szCs w:val="20"/>
                <w:color w:val="auto"/>
              </w:rPr>
            </w:pPr>
            <w:r>
              <w:rPr>
                <w:rFonts w:ascii="Arial" w:cs="Arial" w:eastAsia="Arial" w:hAnsi="Arial"/>
                <w:sz w:val="22"/>
                <w:szCs w:val="22"/>
                <w:color w:val="auto"/>
              </w:rPr>
              <w:t>485</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748</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6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4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22"/>
                <w:szCs w:val="22"/>
                <w:color w:val="auto"/>
              </w:rPr>
              <w:t>26,996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34,909</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Less current portion</w:t>
            </w:r>
          </w:p>
        </w:tc>
        <w:tc>
          <w:tcPr>
            <w:tcW w:w="600" w:type="dxa"/>
            <w:vAlign w:val="bottom"/>
          </w:tcPr>
          <w:p>
            <w:pPr>
              <w:spacing w:after="0"/>
              <w:rPr>
                <w:sz w:val="21"/>
                <w:szCs w:val="21"/>
                <w:color w:val="auto"/>
              </w:rPr>
            </w:pPr>
          </w:p>
        </w:tc>
        <w:tc>
          <w:tcPr>
            <w:tcW w:w="11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3,161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3,203</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820" w:type="dxa"/>
            <w:vAlign w:val="bottom"/>
            <w:gridSpan w:val="3"/>
          </w:tcPr>
          <w:p>
            <w:pPr>
              <w:ind w:left="280"/>
              <w:spacing w:after="0"/>
              <w:rPr>
                <w:sz w:val="20"/>
                <w:szCs w:val="20"/>
                <w:color w:val="auto"/>
              </w:rPr>
            </w:pPr>
            <w:r>
              <w:rPr>
                <w:rFonts w:ascii="Arial" w:cs="Arial" w:eastAsia="Arial" w:hAnsi="Arial"/>
                <w:sz w:val="22"/>
                <w:szCs w:val="22"/>
                <w:color w:val="auto"/>
              </w:rPr>
              <w:t>Less short-term debt</w:t>
            </w: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3,750</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6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4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22"/>
                <w:szCs w:val="22"/>
                <w:color w:val="auto"/>
              </w:rPr>
              <w:t>$23,835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w w:val="87"/>
              </w:rPr>
              <w:t>$27,956</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-7312025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-7312025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-7312025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-7312025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-7312025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-7312025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-5314315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-5314315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-5314315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-5314315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-5314315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-5314315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19"/>
          <w:szCs w:val="19"/>
          <w:color w:val="auto"/>
        </w:rPr>
        <w:t>Maturities of long-term debt outstanding as of December 31, 2003 for the four years after 2004 are as follows (in millions):</w:t>
      </w:r>
    </w:p>
    <w:p>
      <w:pPr>
        <w:spacing w:after="0" w:line="200" w:lineRule="exact"/>
        <w:rPr>
          <w:sz w:val="20"/>
          <w:szCs w:val="20"/>
          <w:color w:val="auto"/>
        </w:rPr>
      </w:pPr>
    </w:p>
    <w:p>
      <w:pPr>
        <w:spacing w:after="0" w:line="301" w:lineRule="exact"/>
        <w:rPr>
          <w:sz w:val="20"/>
          <w:szCs w:val="20"/>
          <w:color w:val="auto"/>
        </w:rPr>
      </w:pPr>
    </w:p>
    <w:tbl>
      <w:tblPr>
        <w:tblLayout w:type="fixed"/>
        <w:tblInd w:w="1300" w:type="dxa"/>
        <w:tblCellMar>
          <w:top w:w="0" w:type="dxa"/>
          <w:left w:w="0" w:type="dxa"/>
          <w:bottom w:w="0" w:type="dxa"/>
          <w:right w:w="0" w:type="dxa"/>
        </w:tblCellMar>
      </w:tblPr>
      <w:tr>
        <w:trPr>
          <w:trHeight w:val="253"/>
        </w:trPr>
        <w:tc>
          <w:tcPr>
            <w:tcW w:w="3280" w:type="dxa"/>
            <w:vAlign w:val="bottom"/>
          </w:tcPr>
          <w:p>
            <w:pPr>
              <w:jc w:val="right"/>
              <w:ind w:right="2732"/>
              <w:spacing w:after="0"/>
              <w:rPr>
                <w:sz w:val="20"/>
                <w:szCs w:val="20"/>
                <w:color w:val="auto"/>
              </w:rPr>
            </w:pPr>
            <w:r>
              <w:rPr>
                <w:rFonts w:ascii="Arial" w:cs="Arial" w:eastAsia="Arial" w:hAnsi="Arial"/>
                <w:sz w:val="22"/>
                <w:szCs w:val="22"/>
                <w:color w:val="auto"/>
                <w:w w:val="85"/>
              </w:rPr>
              <w:t>2005</w:t>
            </w:r>
          </w:p>
        </w:tc>
        <w:tc>
          <w:tcPr>
            <w:tcW w:w="3440" w:type="dxa"/>
            <w:vAlign w:val="bottom"/>
          </w:tcPr>
          <w:p>
            <w:pPr>
              <w:jc w:val="right"/>
              <w:spacing w:after="0"/>
              <w:rPr>
                <w:sz w:val="20"/>
                <w:szCs w:val="20"/>
                <w:color w:val="auto"/>
              </w:rPr>
            </w:pPr>
            <w:r>
              <w:rPr>
                <w:rFonts w:ascii="Arial" w:cs="Arial" w:eastAsia="Arial" w:hAnsi="Arial"/>
                <w:sz w:val="22"/>
                <w:szCs w:val="22"/>
                <w:color w:val="auto"/>
              </w:rPr>
              <w:t>$3,703</w:t>
            </w:r>
          </w:p>
        </w:tc>
      </w:tr>
      <w:tr>
        <w:trPr>
          <w:trHeight w:val="243"/>
        </w:trPr>
        <w:tc>
          <w:tcPr>
            <w:tcW w:w="3280" w:type="dxa"/>
            <w:vAlign w:val="bottom"/>
          </w:tcPr>
          <w:p>
            <w:pPr>
              <w:jc w:val="right"/>
              <w:ind w:right="2732"/>
              <w:spacing w:after="0" w:line="243" w:lineRule="exact"/>
              <w:rPr>
                <w:sz w:val="20"/>
                <w:szCs w:val="20"/>
                <w:color w:val="auto"/>
              </w:rPr>
            </w:pPr>
            <w:r>
              <w:rPr>
                <w:rFonts w:ascii="Arial" w:cs="Arial" w:eastAsia="Arial" w:hAnsi="Arial"/>
                <w:sz w:val="22"/>
                <w:szCs w:val="22"/>
                <w:color w:val="auto"/>
                <w:w w:val="85"/>
              </w:rPr>
              <w:t>2006</w:t>
            </w:r>
          </w:p>
        </w:tc>
        <w:tc>
          <w:tcPr>
            <w:tcW w:w="3440" w:type="dxa"/>
            <w:vAlign w:val="bottom"/>
          </w:tcPr>
          <w:p>
            <w:pPr>
              <w:jc w:val="right"/>
              <w:spacing w:after="0" w:line="243" w:lineRule="exact"/>
              <w:rPr>
                <w:sz w:val="20"/>
                <w:szCs w:val="20"/>
                <w:color w:val="auto"/>
              </w:rPr>
            </w:pPr>
            <w:r>
              <w:rPr>
                <w:rFonts w:ascii="Arial" w:cs="Arial" w:eastAsia="Arial" w:hAnsi="Arial"/>
                <w:sz w:val="22"/>
                <w:szCs w:val="22"/>
                <w:color w:val="auto"/>
              </w:rPr>
              <w:t>$1,725</w:t>
            </w:r>
          </w:p>
        </w:tc>
      </w:tr>
      <w:tr>
        <w:trPr>
          <w:trHeight w:val="243"/>
        </w:trPr>
        <w:tc>
          <w:tcPr>
            <w:tcW w:w="3280" w:type="dxa"/>
            <w:vAlign w:val="bottom"/>
          </w:tcPr>
          <w:p>
            <w:pPr>
              <w:jc w:val="right"/>
              <w:ind w:right="2732"/>
              <w:spacing w:after="0" w:line="243" w:lineRule="exact"/>
              <w:rPr>
                <w:sz w:val="20"/>
                <w:szCs w:val="20"/>
                <w:color w:val="auto"/>
              </w:rPr>
            </w:pPr>
            <w:r>
              <w:rPr>
                <w:rFonts w:ascii="Arial" w:cs="Arial" w:eastAsia="Arial" w:hAnsi="Arial"/>
                <w:sz w:val="22"/>
                <w:szCs w:val="22"/>
                <w:color w:val="auto"/>
                <w:w w:val="85"/>
              </w:rPr>
              <w:t>2007</w:t>
            </w:r>
          </w:p>
        </w:tc>
        <w:tc>
          <w:tcPr>
            <w:tcW w:w="3440" w:type="dxa"/>
            <w:vAlign w:val="bottom"/>
          </w:tcPr>
          <w:p>
            <w:pPr>
              <w:jc w:val="right"/>
              <w:spacing w:after="0" w:line="243" w:lineRule="exact"/>
              <w:rPr>
                <w:sz w:val="20"/>
                <w:szCs w:val="20"/>
                <w:color w:val="auto"/>
              </w:rPr>
            </w:pPr>
            <w:r>
              <w:rPr>
                <w:rFonts w:ascii="Arial" w:cs="Arial" w:eastAsia="Arial" w:hAnsi="Arial"/>
                <w:sz w:val="22"/>
                <w:szCs w:val="22"/>
                <w:color w:val="auto"/>
              </w:rPr>
              <w:t>$1,026</w:t>
            </w:r>
          </w:p>
        </w:tc>
      </w:tr>
      <w:tr>
        <w:trPr>
          <w:trHeight w:val="275"/>
        </w:trPr>
        <w:tc>
          <w:tcPr>
            <w:tcW w:w="3280" w:type="dxa"/>
            <w:vAlign w:val="bottom"/>
          </w:tcPr>
          <w:p>
            <w:pPr>
              <w:jc w:val="right"/>
              <w:ind w:right="2732"/>
              <w:spacing w:after="0"/>
              <w:rPr>
                <w:sz w:val="20"/>
                <w:szCs w:val="20"/>
                <w:color w:val="auto"/>
              </w:rPr>
            </w:pPr>
            <w:r>
              <w:rPr>
                <w:rFonts w:ascii="Arial" w:cs="Arial" w:eastAsia="Arial" w:hAnsi="Arial"/>
                <w:sz w:val="22"/>
                <w:szCs w:val="22"/>
                <w:color w:val="auto"/>
                <w:w w:val="85"/>
              </w:rPr>
              <w:t>2008</w:t>
            </w:r>
          </w:p>
        </w:tc>
        <w:tc>
          <w:tcPr>
            <w:tcW w:w="3440" w:type="dxa"/>
            <w:vAlign w:val="bottom"/>
          </w:tcPr>
          <w:p>
            <w:pPr>
              <w:jc w:val="right"/>
              <w:spacing w:after="0"/>
              <w:rPr>
                <w:sz w:val="20"/>
                <w:szCs w:val="20"/>
                <w:color w:val="auto"/>
              </w:rPr>
            </w:pPr>
            <w:r>
              <w:rPr>
                <w:rFonts w:ascii="Arial" w:cs="Arial" w:eastAsia="Arial" w:hAnsi="Arial"/>
                <w:sz w:val="22"/>
                <w:szCs w:val="22"/>
                <w:color w:val="auto"/>
              </w:rPr>
              <w:t>$1,493</w:t>
            </w:r>
          </w:p>
        </w:tc>
      </w:tr>
    </w:tbl>
    <w:p>
      <w:pPr>
        <w:spacing w:after="0" w:line="212"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The Cross-Guarantee Structure</w:t>
      </w:r>
    </w:p>
    <w:p>
      <w:pPr>
        <w:spacing w:after="0" w:line="8" w:lineRule="exact"/>
        <w:rPr>
          <w:sz w:val="20"/>
          <w:szCs w:val="20"/>
          <w:color w:val="auto"/>
        </w:rPr>
      </w:pPr>
    </w:p>
    <w:p>
      <w:pPr>
        <w:ind w:left="460" w:right="300"/>
        <w:spacing w:after="0" w:line="233" w:lineRule="auto"/>
        <w:rPr>
          <w:sz w:val="20"/>
          <w:szCs w:val="20"/>
          <w:color w:val="auto"/>
        </w:rPr>
      </w:pPr>
      <w:r>
        <w:rPr>
          <w:rFonts w:ascii="Arial" w:cs="Arial" w:eastAsia="Arial" w:hAnsi="Arial"/>
          <w:sz w:val="22"/>
          <w:szCs w:val="22"/>
          <w:color w:val="auto"/>
        </w:rPr>
        <w:t>To simplify our capital structure, we and a number of our wholly-owned subsidiaries that hold substantially all of our cable communications assets have unconditionally guaranteed each other’s debt securities and indebtedness for borrowed money, including amounts outstanding under the new credit facilities. As of December 31, 2003, $20.866 billion of our debt was included in the cross-guarantee structure.</w:t>
      </w:r>
    </w:p>
    <w:p>
      <w:pPr>
        <w:spacing w:after="0" w:line="215" w:lineRule="exact"/>
        <w:rPr>
          <w:sz w:val="20"/>
          <w:szCs w:val="20"/>
          <w:color w:val="auto"/>
        </w:rPr>
      </w:pPr>
    </w:p>
    <w:p>
      <w:pPr>
        <w:ind w:left="460" w:right="1180"/>
        <w:spacing w:after="0" w:line="274" w:lineRule="auto"/>
        <w:rPr>
          <w:sz w:val="20"/>
          <w:szCs w:val="20"/>
          <w:color w:val="auto"/>
        </w:rPr>
      </w:pPr>
      <w:r>
        <w:rPr>
          <w:rFonts w:ascii="Arial" w:cs="Arial" w:eastAsia="Arial" w:hAnsi="Arial"/>
          <w:sz w:val="21"/>
          <w:szCs w:val="21"/>
          <w:color w:val="auto"/>
        </w:rPr>
        <w:t>Comcast Holdings is not a guarantor and none of its debt is guaranteed under the cross-guarantee structure. As of December 31, 2003, $1.024 billion of our debt was outstanding at Comcast Holdings.</w:t>
      </w:r>
    </w:p>
    <w:p>
      <w:pPr>
        <w:sectPr>
          <w:pgSz w:w="11900" w:h="16838" w:orient="portrait"/>
          <w:cols w:equalWidth="0" w:num="1">
            <w:col w:w="11440"/>
          </w:cols>
          <w:pgMar w:left="240" w:top="118" w:right="219" w:bottom="0" w:gutter="0" w:footer="0" w:header="0"/>
        </w:sectPr>
      </w:pPr>
    </w:p>
    <w:bookmarkStart w:id="83" w:name="page84"/>
    <w:bookmarkEnd w:id="83"/>
    <w:p>
      <w:pPr>
        <w:ind w:left="460"/>
        <w:spacing w:after="0"/>
        <w:rPr>
          <w:sz w:val="20"/>
          <w:szCs w:val="20"/>
          <w:color w:val="auto"/>
        </w:rPr>
      </w:pPr>
      <w:r>
        <w:rPr>
          <w:rFonts w:ascii="Arial" w:cs="Arial" w:eastAsia="Arial" w:hAnsi="Arial"/>
          <w:sz w:val="22"/>
          <w:szCs w:val="22"/>
          <w:i w:val="1"/>
          <w:iCs w:val="1"/>
          <w:color w:val="auto"/>
        </w:rPr>
        <w:t>Debt Borrowings, Repayments and Refinancings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9"/>
          <w:szCs w:val="19"/>
          <w:color w:val="auto"/>
        </w:rPr>
        <w:t>During 2003, we borrowed $9.398 billion and repaid $16.465 billion of our debt. We reduced our total debt outstanding by</w:t>
      </w:r>
    </w:p>
    <w:p>
      <w:pPr>
        <w:spacing w:after="0" w:line="25" w:lineRule="exact"/>
        <w:rPr>
          <w:sz w:val="20"/>
          <w:szCs w:val="20"/>
          <w:color w:val="auto"/>
        </w:rPr>
      </w:pPr>
    </w:p>
    <w:p>
      <w:pPr>
        <w:ind w:left="460"/>
        <w:spacing w:after="0" w:line="237" w:lineRule="auto"/>
        <w:rPr>
          <w:rFonts w:ascii="Arial" w:cs="Arial" w:eastAsia="Arial" w:hAnsi="Arial"/>
          <w:sz w:val="22"/>
          <w:szCs w:val="22"/>
          <w:color w:val="auto"/>
        </w:rPr>
      </w:pPr>
      <w:r>
        <w:rPr>
          <w:rFonts w:ascii="Arial" w:cs="Arial" w:eastAsia="Arial" w:hAnsi="Arial"/>
          <w:sz w:val="22"/>
          <w:szCs w:val="22"/>
          <w:color w:val="auto"/>
        </w:rPr>
        <w:t xml:space="preserve">$7.913 billion primarily as a result of our net debt repayments and the settlements of portions of our Exchangeable Notes upon maturity of the instruments (see </w:t>
      </w:r>
      <w:hyperlink w:anchor="page84">
        <w:r>
          <w:rPr>
            <w:rFonts w:ascii="Arial" w:cs="Arial" w:eastAsia="Arial" w:hAnsi="Arial"/>
            <w:sz w:val="22"/>
            <w:szCs w:val="22"/>
            <w:i w:val="1"/>
            <w:iCs w:val="1"/>
            <w:u w:val="single" w:color="auto"/>
            <w:color w:val="0000EE"/>
          </w:rPr>
          <w:t>Notes Exchangeable into Common Stock</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below).</w:t>
      </w:r>
    </w:p>
    <w:p>
      <w:pPr>
        <w:spacing w:after="0" w:line="212" w:lineRule="exact"/>
        <w:rPr>
          <w:sz w:val="20"/>
          <w:szCs w:val="20"/>
          <w:color w:val="auto"/>
        </w:rPr>
      </w:pPr>
    </w:p>
    <w:p>
      <w:pPr>
        <w:ind w:left="460" w:right="60"/>
        <w:spacing w:after="0"/>
        <w:rPr>
          <w:rFonts w:ascii="Arial" w:cs="Arial" w:eastAsia="Arial" w:hAnsi="Arial"/>
          <w:sz w:val="22"/>
          <w:szCs w:val="22"/>
          <w:color w:val="auto"/>
        </w:rPr>
      </w:pPr>
      <w:r>
        <w:rPr>
          <w:rFonts w:ascii="Arial" w:cs="Arial" w:eastAsia="Arial" w:hAnsi="Arial"/>
          <w:sz w:val="22"/>
          <w:szCs w:val="22"/>
          <w:color w:val="auto"/>
        </w:rPr>
        <w:t xml:space="preserve">We used the proceeds from these borrowings and substantially all of the proceeds received from the following transactions, which are more fully described in Notes </w:t>
      </w:r>
      <w:hyperlink w:anchor="page73">
        <w:r>
          <w:rPr>
            <w:rFonts w:ascii="Arial" w:cs="Arial" w:eastAsia="Arial" w:hAnsi="Arial"/>
            <w:sz w:val="22"/>
            <w:szCs w:val="22"/>
            <w:u w:val="single" w:color="auto"/>
            <w:color w:val="0000EE"/>
          </w:rPr>
          <w:t>5</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 xml:space="preserve">and </w:t>
      </w:r>
      <w:hyperlink w:anchor="page78">
        <w:r>
          <w:rPr>
            <w:rFonts w:ascii="Arial" w:cs="Arial" w:eastAsia="Arial" w:hAnsi="Arial"/>
            <w:sz w:val="22"/>
            <w:szCs w:val="22"/>
            <w:u w:val="single" w:color="auto"/>
            <w:color w:val="0000EE"/>
          </w:rPr>
          <w:t>6</w:t>
        </w:r>
      </w:hyperlink>
      <w:r>
        <w:rPr>
          <w:rFonts w:ascii="Arial" w:cs="Arial" w:eastAsia="Arial" w:hAnsi="Arial"/>
          <w:sz w:val="22"/>
          <w:szCs w:val="22"/>
          <w:color w:val="auto"/>
        </w:rPr>
        <w:t>, to refinance the maturities of certain of our debt obligations and to repay our debt, including substantially all of our notes payable to banks.</w:t>
      </w:r>
    </w:p>
    <w:p>
      <w:pPr>
        <w:spacing w:after="0" w:line="213" w:lineRule="exact"/>
        <w:rPr>
          <w:sz w:val="20"/>
          <w:szCs w:val="20"/>
          <w:color w:val="auto"/>
        </w:rPr>
      </w:pPr>
    </w:p>
    <w:p>
      <w:pPr>
        <w:ind w:left="920" w:hanging="453"/>
        <w:spacing w:after="0"/>
        <w:tabs>
          <w:tab w:leader="none" w:pos="9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Sale of QVC and Liberty Notes Transactions - $5.35 billion</w:t>
      </w:r>
    </w:p>
    <w:p>
      <w:pPr>
        <w:spacing w:after="0" w:line="233" w:lineRule="exact"/>
        <w:rPr>
          <w:rFonts w:ascii="Arial" w:cs="Arial" w:eastAsia="Arial" w:hAnsi="Arial"/>
          <w:sz w:val="22"/>
          <w:szCs w:val="22"/>
          <w:color w:val="auto"/>
        </w:rPr>
      </w:pPr>
    </w:p>
    <w:p>
      <w:pPr>
        <w:ind w:left="920" w:hanging="453"/>
        <w:spacing w:after="0"/>
        <w:tabs>
          <w:tab w:leader="none" w:pos="9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TWE Restructuring - $2.1 billion</w:t>
      </w:r>
    </w:p>
    <w:p>
      <w:pPr>
        <w:spacing w:after="0" w:line="233" w:lineRule="exact"/>
        <w:rPr>
          <w:rFonts w:ascii="Arial" w:cs="Arial" w:eastAsia="Arial" w:hAnsi="Arial"/>
          <w:sz w:val="22"/>
          <w:szCs w:val="22"/>
          <w:color w:val="auto"/>
        </w:rPr>
      </w:pPr>
    </w:p>
    <w:p>
      <w:pPr>
        <w:ind w:left="920" w:hanging="453"/>
        <w:spacing w:after="0"/>
        <w:tabs>
          <w:tab w:leader="none" w:pos="9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Sale of Interest in CC VIII, LLC - $.73 billion</w:t>
      </w:r>
    </w:p>
    <w:p>
      <w:pPr>
        <w:spacing w:after="0" w:line="233" w:lineRule="exact"/>
        <w:rPr>
          <w:rFonts w:ascii="Arial" w:cs="Arial" w:eastAsia="Arial" w:hAnsi="Arial"/>
          <w:sz w:val="22"/>
          <w:szCs w:val="22"/>
          <w:color w:val="auto"/>
        </w:rPr>
      </w:pPr>
    </w:p>
    <w:p>
      <w:pPr>
        <w:ind w:left="920" w:hanging="453"/>
        <w:spacing w:after="0"/>
        <w:tabs>
          <w:tab w:leader="none" w:pos="9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Bresnan Transaction - $.53 billion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right="60"/>
        <w:spacing w:after="0" w:line="234" w:lineRule="auto"/>
        <w:rPr>
          <w:rFonts w:ascii="Arial" w:cs="Arial" w:eastAsia="Arial" w:hAnsi="Arial"/>
          <w:sz w:val="22"/>
          <w:szCs w:val="22"/>
          <w:color w:val="auto"/>
        </w:rPr>
      </w:pPr>
      <w:r>
        <w:rPr>
          <w:rFonts w:ascii="Arial" w:cs="Arial" w:eastAsia="Arial" w:hAnsi="Arial"/>
          <w:sz w:val="22"/>
          <w:szCs w:val="22"/>
          <w:color w:val="auto"/>
        </w:rPr>
        <w:t xml:space="preserve">In January 2004, we entered into a new $4.5 billion, five-year revolving bank credit facility. Interest rates on this facility vary based on an underlying base rate (“Base Rate”), chosen at our option, plus a borrowing margin. The Base Rate is either LIBOR or the greater of the prime rate or the Federal Funds rate plus 0.5%. The borrowing margin is based on our senior unsecured debt ratings. The interest rate for borrowings under this revolver is LIBOR plus 0.625% based on our current credit ratings. This revolver replaces three previously existing revolvers that bore interest at LIBOR plus 0.875% and aggregated $6.0 billion which were terminated simultaneously with the effectiveness of the new facility (see </w:t>
      </w:r>
      <w:hyperlink w:anchor="page86">
        <w:r>
          <w:rPr>
            <w:rFonts w:ascii="Arial" w:cs="Arial" w:eastAsia="Arial" w:hAnsi="Arial"/>
            <w:sz w:val="22"/>
            <w:szCs w:val="22"/>
            <w:i w:val="1"/>
            <w:iCs w:val="1"/>
            <w:u w:val="single" w:color="auto"/>
            <w:color w:val="0000EE"/>
          </w:rPr>
          <w:t>Lines and Letters of Credit</w:t>
        </w:r>
      </w:hyperlink>
      <w:r>
        <w:rPr>
          <w:rFonts w:ascii="Arial" w:cs="Arial" w:eastAsia="Arial" w:hAnsi="Arial"/>
          <w:sz w:val="22"/>
          <w:szCs w:val="22"/>
          <w:color w:val="auto"/>
        </w:rPr>
        <w:t xml:space="preserve"> below).</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Notes Exchangeable into Common Stock</w:t>
      </w:r>
    </w:p>
    <w:p>
      <w:pPr>
        <w:spacing w:after="0" w:line="8" w:lineRule="exact"/>
        <w:rPr>
          <w:sz w:val="20"/>
          <w:szCs w:val="20"/>
          <w:color w:val="auto"/>
        </w:rPr>
      </w:pPr>
    </w:p>
    <w:p>
      <w:pPr>
        <w:ind w:left="460" w:right="280"/>
        <w:spacing w:after="0" w:line="275" w:lineRule="auto"/>
        <w:rPr>
          <w:rFonts w:ascii="Arial" w:cs="Arial" w:eastAsia="Arial" w:hAnsi="Arial"/>
          <w:sz w:val="19"/>
          <w:szCs w:val="19"/>
          <w:color w:val="auto"/>
        </w:rPr>
      </w:pPr>
      <w:r>
        <w:rPr>
          <w:rFonts w:ascii="Arial" w:cs="Arial" w:eastAsia="Arial" w:hAnsi="Arial"/>
          <w:sz w:val="19"/>
          <w:szCs w:val="19"/>
          <w:color w:val="auto"/>
        </w:rPr>
        <w:t xml:space="preserve">Our Exchangeable Notes are mandatorily redeemable at our option into shares of Cablevision Class A common stock or its cash equivalent, Microsoft common stock or its cash equivalent, (i) Vodafone ADRs, (ii) the cash equivalent, or (iii) a combination of cash and Vodafone ADRs, and Comcast Class A Special common stock or its cash equivalent. The maturity value of the Exchangeable Notes varies based upon the fair market value of the security to which it is indexed. Our Exchangeable Notes are collateralized by our investments in Cablevision, Microsoft and Vodafone, respectively, and the Comcast Class A Special common stock held in treasury (see </w:t>
      </w:r>
      <w:hyperlink w:anchor="page78">
        <w:r>
          <w:rPr>
            <w:rFonts w:ascii="Arial" w:cs="Arial" w:eastAsia="Arial" w:hAnsi="Arial"/>
            <w:sz w:val="19"/>
            <w:szCs w:val="19"/>
            <w:u w:val="single" w:color="auto"/>
            <w:color w:val="0000EE"/>
          </w:rPr>
          <w:t>Note 6</w:t>
        </w:r>
      </w:hyperlink>
      <w:r>
        <w:rPr>
          <w:rFonts w:ascii="Arial" w:cs="Arial" w:eastAsia="Arial" w:hAnsi="Arial"/>
          <w:sz w:val="19"/>
          <w:szCs w:val="19"/>
          <w:color w:val="auto"/>
        </w:rPr>
        <w:t>).</w:t>
      </w:r>
    </w:p>
    <w:p>
      <w:pPr>
        <w:spacing w:after="0" w:line="182" w:lineRule="exact"/>
        <w:rPr>
          <w:sz w:val="20"/>
          <w:szCs w:val="20"/>
          <w:color w:val="auto"/>
        </w:rPr>
      </w:pPr>
    </w:p>
    <w:p>
      <w:pPr>
        <w:ind w:left="460" w:right="100"/>
        <w:spacing w:after="0" w:line="245" w:lineRule="auto"/>
        <w:rPr>
          <w:rFonts w:ascii="Arial" w:cs="Arial" w:eastAsia="Arial" w:hAnsi="Arial"/>
          <w:sz w:val="21"/>
          <w:szCs w:val="21"/>
          <w:color w:val="0000EE"/>
        </w:rPr>
      </w:pPr>
      <w:r>
        <w:rPr>
          <w:rFonts w:ascii="Arial" w:cs="Arial" w:eastAsia="Arial" w:hAnsi="Arial"/>
          <w:sz w:val="21"/>
          <w:szCs w:val="21"/>
          <w:color w:val="auto"/>
        </w:rPr>
        <w:t xml:space="preserve">During 2003, we settled an aggregate of $1.851 billion of our obligations relating to our Exchangeable Notes. We settled an aggregate of $1.213 billion of our obligations relating to Microsoft and Vodafone exchangeable notes by delivering the underlying shares of common stock to the counterparty upon maturity of the instruments, and the equity collar agreements related to the underlying shares expired. We also settled an aggregate of $638 million of our obligations relating to Comcast exchangeable notes by paying $498 million in cash and by exercising our options to put the underlying equity collar agreements, which had a value of $140 million, to the counterparty. The Microsoft and Vodafone transactions, and the put option exercises in the Comcast transactions, represented non-cash investing and financing activities and had no effect on our statement of cash flows due to their non-cash nature. As of December 31, 2003, the securities we hold collateralizing the Exchangeable Notes were sufficient to satisfy the debt obligations associated with the outstanding Exchangeable Notes (see </w:t>
      </w:r>
      <w:hyperlink w:anchor="page78">
        <w:r>
          <w:rPr>
            <w:rFonts w:ascii="Arial" w:cs="Arial" w:eastAsia="Arial" w:hAnsi="Arial"/>
            <w:sz w:val="21"/>
            <w:szCs w:val="21"/>
            <w:u w:val="single" w:color="auto"/>
            <w:color w:val="0000EE"/>
          </w:rPr>
          <w:t xml:space="preserve">Notes 6 </w:t>
        </w:r>
      </w:hyperlink>
      <w:hyperlink w:anchor="page92">
        <w:r>
          <w:rPr>
            <w:rFonts w:ascii="Arial" w:cs="Arial" w:eastAsia="Arial" w:hAnsi="Arial"/>
            <w:sz w:val="21"/>
            <w:szCs w:val="21"/>
            <w:u w:val="single" w:color="auto"/>
            <w:color w:val="0000EE"/>
          </w:rPr>
          <w:t>and 12</w:t>
        </w:r>
      </w:hyperlink>
      <w:r>
        <w:rPr>
          <w:rFonts w:ascii="Arial" w:cs="Arial" w:eastAsia="Arial" w:hAnsi="Arial"/>
          <w:sz w:val="21"/>
          <w:szCs w:val="21"/>
          <w:color w:val="000000"/>
        </w:rPr>
        <w:t>).</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ZONES</w:t>
      </w:r>
    </w:p>
    <w:p>
      <w:pPr>
        <w:spacing w:after="0" w:line="8" w:lineRule="exact"/>
        <w:rPr>
          <w:sz w:val="20"/>
          <w:szCs w:val="20"/>
          <w:color w:val="auto"/>
        </w:rPr>
      </w:pPr>
    </w:p>
    <w:p>
      <w:pPr>
        <w:ind w:left="460" w:right="80"/>
        <w:spacing w:after="0" w:line="233" w:lineRule="auto"/>
        <w:rPr>
          <w:sz w:val="20"/>
          <w:szCs w:val="20"/>
          <w:color w:val="auto"/>
        </w:rPr>
      </w:pPr>
      <w:r>
        <w:rPr>
          <w:rFonts w:ascii="Arial" w:cs="Arial" w:eastAsia="Arial" w:hAnsi="Arial"/>
          <w:sz w:val="22"/>
          <w:szCs w:val="22"/>
          <w:color w:val="auto"/>
        </w:rPr>
        <w:t>At maturity, holders of our 2.0% Exchangeable Subordinated Debentures due 2029 (the “ZONES”) are entitled to receive in cash an amount equal to the higher of the principal amount of the ZONES or the market value of Sprint PCS common stock. Prior to maturity, each ZONES is exchangeable at the holders’ option for an amount of cash equal to 95% of the market value of Sprint PCS Stock. As of December 31, 2003, the number of Sprint PCS shares we held exceeded the number of ZONES outstanding.</w:t>
      </w:r>
    </w:p>
    <w:p>
      <w:pPr>
        <w:spacing w:after="0" w:line="213" w:lineRule="exact"/>
        <w:rPr>
          <w:sz w:val="20"/>
          <w:szCs w:val="20"/>
          <w:color w:val="auto"/>
        </w:rPr>
      </w:pPr>
    </w:p>
    <w:p>
      <w:pPr>
        <w:jc w:val="both"/>
        <w:ind w:left="460" w:right="80"/>
        <w:spacing w:after="0" w:line="297" w:lineRule="auto"/>
        <w:rPr>
          <w:rFonts w:ascii="Arial" w:cs="Arial" w:eastAsia="Arial" w:hAnsi="Arial"/>
          <w:sz w:val="19"/>
          <w:szCs w:val="19"/>
          <w:color w:val="auto"/>
        </w:rPr>
      </w:pPr>
      <w:r>
        <w:rPr>
          <w:rFonts w:ascii="Arial" w:cs="Arial" w:eastAsia="Arial" w:hAnsi="Arial"/>
          <w:sz w:val="19"/>
          <w:szCs w:val="19"/>
          <w:color w:val="auto"/>
        </w:rPr>
        <w:t xml:space="preserve">We separated the accounting for the Exchangeable Notes and the ZONES into derivative and debt components. We record the change in the fair value of the derivative component of the Exchangeable Notes and the ZONES (see </w:t>
      </w:r>
      <w:hyperlink w:anchor="page78">
        <w:r>
          <w:rPr>
            <w:rFonts w:ascii="Arial" w:cs="Arial" w:eastAsia="Arial" w:hAnsi="Arial"/>
            <w:sz w:val="19"/>
            <w:szCs w:val="19"/>
            <w:u w:val="single" w:color="auto"/>
            <w:color w:val="0000EE"/>
          </w:rPr>
          <w:t>Note 6</w:t>
        </w:r>
      </w:hyperlink>
      <w:r>
        <w:rPr>
          <w:rFonts w:ascii="Arial" w:cs="Arial" w:eastAsia="Arial" w:hAnsi="Arial"/>
          <w:sz w:val="19"/>
          <w:szCs w:val="19"/>
          <w:color w:val="auto"/>
        </w:rPr>
        <w:t>) and the change in the carrying value of the debt component of the Exchangeable Notes and the ZONES as follows (in millions):</w:t>
      </w:r>
    </w:p>
    <w:p>
      <w:pPr>
        <w:sectPr>
          <w:pgSz w:w="11900" w:h="16838" w:orient="portrait"/>
          <w:cols w:equalWidth="0" w:num="1">
            <w:col w:w="11420"/>
          </w:cols>
          <w:pgMar w:left="240" w:top="118" w:right="239" w:bottom="284"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6376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8" w:right="239" w:bottom="284"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53"/>
        </w:trPr>
        <w:tc>
          <w:tcPr>
            <w:tcW w:w="7320" w:type="dxa"/>
            <w:vAlign w:val="bottom"/>
            <w:gridSpan w:val="2"/>
          </w:tcPr>
          <w:p>
            <w:pPr>
              <w:spacing w:after="0"/>
              <w:rPr>
                <w:sz w:val="20"/>
                <w:szCs w:val="20"/>
                <w:color w:val="auto"/>
              </w:rPr>
            </w:pPr>
            <w:r>
              <w:rPr>
                <w:rFonts w:ascii="Arial" w:cs="Arial" w:eastAsia="Arial" w:hAnsi="Arial"/>
                <w:sz w:val="22"/>
                <w:szCs w:val="22"/>
                <w:color w:val="auto"/>
              </w:rPr>
              <w:t>COMCAST CORPORATION AND SUBSIDIARIES</w:t>
            </w: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7320" w:type="dxa"/>
            <w:vAlign w:val="bottom"/>
            <w:gridSpan w:val="2"/>
          </w:tcPr>
          <w:p>
            <w:pPr>
              <w:spacing w:after="0"/>
              <w:rPr>
                <w:sz w:val="20"/>
                <w:szCs w:val="20"/>
                <w:color w:val="auto"/>
              </w:rPr>
            </w:pPr>
            <w:r>
              <w:rPr>
                <w:rFonts w:ascii="Arial" w:cs="Arial" w:eastAsia="Arial" w:hAnsi="Arial"/>
                <w:sz w:val="22"/>
                <w:szCs w:val="22"/>
                <w:color w:val="auto"/>
              </w:rPr>
              <w:t>NOTES TO CONSOLIDATED FINANCIAL STATEMENTS</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320" w:type="dxa"/>
            <w:vAlign w:val="bottom"/>
            <w:gridSpan w:val="2"/>
          </w:tcPr>
          <w:p>
            <w:pPr>
              <w:spacing w:after="0"/>
              <w:rPr>
                <w:sz w:val="20"/>
                <w:szCs w:val="20"/>
                <w:color w:val="auto"/>
              </w:rPr>
            </w:pPr>
            <w:r>
              <w:rPr>
                <w:rFonts w:ascii="Arial" w:cs="Arial" w:eastAsia="Arial" w:hAnsi="Arial"/>
                <w:sz w:val="22"/>
                <w:szCs w:val="22"/>
                <w:color w:val="auto"/>
              </w:rPr>
              <w:t>YEARS ENDED DECEMBER 31, 2003, 2002 AND 2001 (Continued)</w:t>
            </w:r>
          </w:p>
        </w:tc>
        <w:tc>
          <w:tcPr>
            <w:tcW w:w="1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4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740" w:type="dxa"/>
            <w:vAlign w:val="bottom"/>
            <w:gridSpan w:val="3"/>
          </w:tcPr>
          <w:p>
            <w:pPr>
              <w:jc w:val="right"/>
              <w:ind w:right="132"/>
              <w:spacing w:after="0"/>
              <w:rPr>
                <w:sz w:val="20"/>
                <w:szCs w:val="20"/>
                <w:color w:val="auto"/>
              </w:rPr>
            </w:pPr>
            <w:r>
              <w:rPr>
                <w:rFonts w:ascii="Arial" w:cs="Arial" w:eastAsia="Arial" w:hAnsi="Arial"/>
                <w:sz w:val="22"/>
                <w:szCs w:val="22"/>
                <w:color w:val="auto"/>
                <w:w w:val="95"/>
              </w:rPr>
              <w:t>Year Ended December 31,</w:t>
            </w: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7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2003</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720" w:type="dxa"/>
            <w:vAlign w:val="bottom"/>
            <w:gridSpan w:val="2"/>
          </w:tcPr>
          <w:p>
            <w:pPr>
              <w:jc w:val="right"/>
              <w:ind w:right="520"/>
              <w:spacing w:after="0" w:line="243" w:lineRule="exact"/>
              <w:rPr>
                <w:sz w:val="20"/>
                <w:szCs w:val="20"/>
                <w:color w:val="auto"/>
              </w:rPr>
            </w:pPr>
            <w:r>
              <w:rPr>
                <w:rFonts w:ascii="Arial" w:cs="Arial" w:eastAsia="Arial" w:hAnsi="Arial"/>
                <w:sz w:val="22"/>
                <w:szCs w:val="22"/>
                <w:color w:val="auto"/>
                <w:w w:val="84"/>
              </w:rPr>
              <w:t>Exchangeable</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66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1720" w:type="dxa"/>
            <w:vAlign w:val="bottom"/>
            <w:gridSpan w:val="2"/>
          </w:tcPr>
          <w:p>
            <w:pPr>
              <w:jc w:val="right"/>
              <w:ind w:right="860"/>
              <w:spacing w:after="0"/>
              <w:rPr>
                <w:sz w:val="20"/>
                <w:szCs w:val="20"/>
                <w:color w:val="auto"/>
              </w:rPr>
            </w:pPr>
            <w:r>
              <w:rPr>
                <w:rFonts w:ascii="Arial" w:cs="Arial" w:eastAsia="Arial" w:hAnsi="Arial"/>
                <w:sz w:val="22"/>
                <w:szCs w:val="22"/>
                <w:color w:val="auto"/>
              </w:rPr>
              <w:t>Notes</w:t>
            </w: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ZONES</w:t>
            </w:r>
          </w:p>
        </w:tc>
        <w:tc>
          <w:tcPr>
            <w:tcW w:w="0" w:type="dxa"/>
            <w:vAlign w:val="bottom"/>
          </w:tcPr>
          <w:p>
            <w:pPr>
              <w:spacing w:after="0"/>
              <w:rPr>
                <w:sz w:val="1"/>
                <w:szCs w:val="1"/>
                <w:color w:val="auto"/>
              </w:rPr>
            </w:pPr>
          </w:p>
        </w:tc>
      </w:tr>
      <w:tr>
        <w:trPr>
          <w:trHeight w:val="98"/>
        </w:trPr>
        <w:tc>
          <w:tcPr>
            <w:tcW w:w="7320" w:type="dxa"/>
            <w:vAlign w:val="bottom"/>
            <w:gridSpan w:val="2"/>
            <w:vMerge w:val="restart"/>
          </w:tcPr>
          <w:p>
            <w:pPr>
              <w:ind w:left="280"/>
              <w:spacing w:after="0"/>
              <w:rPr>
                <w:sz w:val="20"/>
                <w:szCs w:val="20"/>
                <w:color w:val="auto"/>
              </w:rPr>
            </w:pPr>
            <w:r>
              <w:rPr>
                <w:rFonts w:ascii="Arial" w:cs="Arial" w:eastAsia="Arial" w:hAnsi="Arial"/>
                <w:sz w:val="22"/>
                <w:szCs w:val="22"/>
                <w:color w:val="auto"/>
              </w:rPr>
              <w:t>Balance at Beginning of Year:</w:t>
            </w:r>
          </w:p>
        </w:tc>
        <w:tc>
          <w:tcPr>
            <w:tcW w:w="12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732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320" w:type="dxa"/>
            <w:vAlign w:val="bottom"/>
            <w:gridSpan w:val="2"/>
          </w:tcPr>
          <w:p>
            <w:pPr>
              <w:ind w:left="540"/>
              <w:spacing w:after="0" w:line="243" w:lineRule="exact"/>
              <w:rPr>
                <w:sz w:val="20"/>
                <w:szCs w:val="20"/>
                <w:color w:val="auto"/>
              </w:rPr>
            </w:pPr>
            <w:r>
              <w:rPr>
                <w:rFonts w:ascii="Arial" w:cs="Arial" w:eastAsia="Arial" w:hAnsi="Arial"/>
                <w:sz w:val="22"/>
                <w:szCs w:val="22"/>
                <w:color w:val="auto"/>
              </w:rPr>
              <w:t>Debt component</w:t>
            </w:r>
          </w:p>
        </w:tc>
        <w:tc>
          <w:tcPr>
            <w:tcW w:w="1200" w:type="dxa"/>
            <w:vAlign w:val="bottom"/>
          </w:tcPr>
          <w:p>
            <w:pPr>
              <w:jc w:val="right"/>
              <w:spacing w:after="0" w:line="243" w:lineRule="exact"/>
              <w:rPr>
                <w:sz w:val="20"/>
                <w:szCs w:val="20"/>
                <w:color w:val="auto"/>
              </w:rPr>
            </w:pPr>
            <w:r>
              <w:rPr>
                <w:rFonts w:ascii="Arial" w:cs="Arial" w:eastAsia="Arial" w:hAnsi="Arial"/>
                <w:sz w:val="22"/>
                <w:szCs w:val="22"/>
                <w:color w:val="auto"/>
              </w:rPr>
              <w:t>$6,981</w:t>
            </w:r>
          </w:p>
        </w:tc>
        <w:tc>
          <w:tcPr>
            <w:tcW w:w="52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$491</w:t>
            </w:r>
          </w:p>
        </w:tc>
        <w:tc>
          <w:tcPr>
            <w:tcW w:w="0" w:type="dxa"/>
            <w:vAlign w:val="bottom"/>
          </w:tcPr>
          <w:p>
            <w:pPr>
              <w:spacing w:after="0"/>
              <w:rPr>
                <w:sz w:val="1"/>
                <w:szCs w:val="1"/>
                <w:color w:val="auto"/>
              </w:rPr>
            </w:pPr>
          </w:p>
        </w:tc>
      </w:tr>
      <w:tr>
        <w:trPr>
          <w:trHeight w:val="275"/>
        </w:trPr>
        <w:tc>
          <w:tcPr>
            <w:tcW w:w="7320" w:type="dxa"/>
            <w:vAlign w:val="bottom"/>
            <w:gridSpan w:val="2"/>
          </w:tcPr>
          <w:p>
            <w:pPr>
              <w:ind w:left="540"/>
              <w:spacing w:after="0"/>
              <w:rPr>
                <w:sz w:val="20"/>
                <w:szCs w:val="20"/>
                <w:color w:val="auto"/>
              </w:rPr>
            </w:pPr>
            <w:r>
              <w:rPr>
                <w:rFonts w:ascii="Arial" w:cs="Arial" w:eastAsia="Arial" w:hAnsi="Arial"/>
                <w:sz w:val="22"/>
                <w:szCs w:val="22"/>
                <w:color w:val="auto"/>
              </w:rPr>
              <w:t>Derivative component</w:t>
            </w:r>
          </w:p>
        </w:tc>
        <w:tc>
          <w:tcPr>
            <w:tcW w:w="1720" w:type="dxa"/>
            <w:vAlign w:val="bottom"/>
            <w:gridSpan w:val="2"/>
          </w:tcPr>
          <w:p>
            <w:pPr>
              <w:jc w:val="right"/>
              <w:ind w:right="440"/>
              <w:spacing w:after="0"/>
              <w:rPr>
                <w:sz w:val="20"/>
                <w:szCs w:val="20"/>
                <w:color w:val="auto"/>
              </w:rPr>
            </w:pPr>
            <w:r>
              <w:rPr>
                <w:rFonts w:ascii="Arial" w:cs="Arial" w:eastAsia="Arial" w:hAnsi="Arial"/>
                <w:sz w:val="22"/>
                <w:szCs w:val="22"/>
                <w:color w:val="auto"/>
              </w:rPr>
              <w:t>(1,522)</w:t>
            </w:r>
          </w:p>
        </w:tc>
        <w:tc>
          <w:tcPr>
            <w:tcW w:w="1020" w:type="dxa"/>
            <w:vAlign w:val="bottom"/>
          </w:tcPr>
          <w:p>
            <w:pPr>
              <w:jc w:val="right"/>
              <w:spacing w:after="0"/>
              <w:rPr>
                <w:sz w:val="20"/>
                <w:szCs w:val="20"/>
                <w:color w:val="auto"/>
              </w:rPr>
            </w:pPr>
            <w:r>
              <w:rPr>
                <w:rFonts w:ascii="Arial" w:cs="Arial" w:eastAsia="Arial" w:hAnsi="Arial"/>
                <w:sz w:val="22"/>
                <w:szCs w:val="22"/>
                <w:color w:val="auto"/>
              </w:rPr>
              <w:t>208</w:t>
            </w:r>
          </w:p>
        </w:tc>
        <w:tc>
          <w:tcPr>
            <w:tcW w:w="0" w:type="dxa"/>
            <w:vAlign w:val="bottom"/>
          </w:tcPr>
          <w:p>
            <w:pPr>
              <w:spacing w:after="0"/>
              <w:rPr>
                <w:sz w:val="1"/>
                <w:szCs w:val="1"/>
                <w:color w:val="auto"/>
              </w:rPr>
            </w:pPr>
          </w:p>
        </w:tc>
      </w:tr>
      <w:tr>
        <w:trPr>
          <w:trHeight w:val="98"/>
        </w:trPr>
        <w:tc>
          <w:tcPr>
            <w:tcW w:w="46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320" w:type="dxa"/>
            <w:vAlign w:val="bottom"/>
            <w:gridSpan w:val="2"/>
          </w:tcPr>
          <w:p>
            <w:pPr>
              <w:ind w:left="540"/>
              <w:spacing w:after="0"/>
              <w:rPr>
                <w:sz w:val="20"/>
                <w:szCs w:val="20"/>
                <w:color w:val="auto"/>
              </w:rPr>
            </w:pPr>
            <w:r>
              <w:rPr>
                <w:rFonts w:ascii="Arial" w:cs="Arial" w:eastAsia="Arial" w:hAnsi="Arial"/>
                <w:sz w:val="22"/>
                <w:szCs w:val="22"/>
                <w:color w:val="auto"/>
              </w:rPr>
              <w:t>Total</w:t>
            </w:r>
          </w:p>
        </w:tc>
        <w:tc>
          <w:tcPr>
            <w:tcW w:w="1200" w:type="dxa"/>
            <w:vAlign w:val="bottom"/>
          </w:tcPr>
          <w:p>
            <w:pPr>
              <w:jc w:val="right"/>
              <w:spacing w:after="0"/>
              <w:rPr>
                <w:sz w:val="20"/>
                <w:szCs w:val="20"/>
                <w:color w:val="auto"/>
              </w:rPr>
            </w:pPr>
            <w:r>
              <w:rPr>
                <w:rFonts w:ascii="Arial" w:cs="Arial" w:eastAsia="Arial" w:hAnsi="Arial"/>
                <w:sz w:val="22"/>
                <w:szCs w:val="22"/>
                <w:color w:val="auto"/>
              </w:rPr>
              <w:t>5,459</w:t>
            </w: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699</w:t>
            </w:r>
          </w:p>
        </w:tc>
        <w:tc>
          <w:tcPr>
            <w:tcW w:w="0" w:type="dxa"/>
            <w:vAlign w:val="bottom"/>
          </w:tcPr>
          <w:p>
            <w:pPr>
              <w:spacing w:after="0"/>
              <w:rPr>
                <w:sz w:val="1"/>
                <w:szCs w:val="1"/>
                <w:color w:val="auto"/>
              </w:rPr>
            </w:pPr>
          </w:p>
        </w:tc>
      </w:tr>
      <w:tr>
        <w:trPr>
          <w:trHeight w:val="455"/>
        </w:trPr>
        <w:tc>
          <w:tcPr>
            <w:tcW w:w="7320" w:type="dxa"/>
            <w:vAlign w:val="bottom"/>
            <w:gridSpan w:val="2"/>
          </w:tcPr>
          <w:p>
            <w:pPr>
              <w:ind w:left="280"/>
              <w:spacing w:after="0"/>
              <w:rPr>
                <w:sz w:val="20"/>
                <w:szCs w:val="20"/>
                <w:color w:val="auto"/>
              </w:rPr>
            </w:pPr>
            <w:r>
              <w:rPr>
                <w:rFonts w:ascii="Arial" w:cs="Arial" w:eastAsia="Arial" w:hAnsi="Arial"/>
                <w:sz w:val="22"/>
                <w:szCs w:val="22"/>
                <w:color w:val="auto"/>
              </w:rPr>
              <w:t>Decrease in debt component due to maturities</w:t>
            </w:r>
          </w:p>
        </w:tc>
        <w:tc>
          <w:tcPr>
            <w:tcW w:w="1720" w:type="dxa"/>
            <w:vAlign w:val="bottom"/>
            <w:gridSpan w:val="2"/>
          </w:tcPr>
          <w:p>
            <w:pPr>
              <w:jc w:val="right"/>
              <w:ind w:right="440"/>
              <w:spacing w:after="0"/>
              <w:rPr>
                <w:sz w:val="20"/>
                <w:szCs w:val="20"/>
                <w:color w:val="auto"/>
              </w:rPr>
            </w:pPr>
            <w:r>
              <w:rPr>
                <w:rFonts w:ascii="Arial" w:cs="Arial" w:eastAsia="Arial" w:hAnsi="Arial"/>
                <w:sz w:val="22"/>
                <w:szCs w:val="22"/>
                <w:color w:val="auto"/>
              </w:rPr>
              <w:t>(1,851)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32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Change in debt component to interest expense</w:t>
            </w:r>
          </w:p>
        </w:tc>
        <w:tc>
          <w:tcPr>
            <w:tcW w:w="172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(100)</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275"/>
        </w:trPr>
        <w:tc>
          <w:tcPr>
            <w:tcW w:w="7320" w:type="dxa"/>
            <w:vAlign w:val="bottom"/>
            <w:gridSpan w:val="2"/>
          </w:tcPr>
          <w:p>
            <w:pPr>
              <w:ind w:left="280"/>
              <w:spacing w:after="0"/>
              <w:rPr>
                <w:sz w:val="20"/>
                <w:szCs w:val="20"/>
                <w:color w:val="auto"/>
              </w:rPr>
            </w:pPr>
            <w:r>
              <w:rPr>
                <w:rFonts w:ascii="Arial" w:cs="Arial" w:eastAsia="Arial" w:hAnsi="Arial"/>
                <w:sz w:val="22"/>
                <w:szCs w:val="22"/>
                <w:color w:val="auto"/>
              </w:rPr>
              <w:t>Change in derivative component to investment income (loss), net</w:t>
            </w:r>
          </w:p>
        </w:tc>
        <w:tc>
          <w:tcPr>
            <w:tcW w:w="1200" w:type="dxa"/>
            <w:vAlign w:val="bottom"/>
          </w:tcPr>
          <w:p>
            <w:pPr>
              <w:jc w:val="right"/>
              <w:spacing w:after="0"/>
              <w:rPr>
                <w:sz w:val="20"/>
                <w:szCs w:val="20"/>
                <w:color w:val="auto"/>
              </w:rPr>
            </w:pPr>
            <w:r>
              <w:rPr>
                <w:rFonts w:ascii="Arial" w:cs="Arial" w:eastAsia="Arial" w:hAnsi="Arial"/>
                <w:sz w:val="22"/>
                <w:szCs w:val="22"/>
                <w:color w:val="auto"/>
              </w:rPr>
              <w:t>810</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60</w:t>
            </w:r>
          </w:p>
        </w:tc>
        <w:tc>
          <w:tcPr>
            <w:tcW w:w="0" w:type="dxa"/>
            <w:vAlign w:val="bottom"/>
          </w:tcPr>
          <w:p>
            <w:pPr>
              <w:spacing w:after="0"/>
              <w:rPr>
                <w:sz w:val="1"/>
                <w:szCs w:val="1"/>
                <w:color w:val="auto"/>
              </w:rPr>
            </w:pPr>
          </w:p>
        </w:tc>
      </w:tr>
      <w:tr>
        <w:trPr>
          <w:trHeight w:val="455"/>
        </w:trPr>
        <w:tc>
          <w:tcPr>
            <w:tcW w:w="7320" w:type="dxa"/>
            <w:vAlign w:val="bottom"/>
            <w:gridSpan w:val="2"/>
          </w:tcPr>
          <w:p>
            <w:pPr>
              <w:ind w:left="280"/>
              <w:spacing w:after="0"/>
              <w:rPr>
                <w:sz w:val="20"/>
                <w:szCs w:val="20"/>
                <w:color w:val="auto"/>
              </w:rPr>
            </w:pPr>
            <w:r>
              <w:rPr>
                <w:rFonts w:ascii="Arial" w:cs="Arial" w:eastAsia="Arial" w:hAnsi="Arial"/>
                <w:sz w:val="22"/>
                <w:szCs w:val="22"/>
                <w:color w:val="auto"/>
              </w:rPr>
              <w:t>Balance at End of Year:</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320" w:type="dxa"/>
            <w:vAlign w:val="bottom"/>
            <w:gridSpan w:val="2"/>
          </w:tcPr>
          <w:p>
            <w:pPr>
              <w:ind w:left="540"/>
              <w:spacing w:after="0" w:line="243" w:lineRule="exact"/>
              <w:rPr>
                <w:sz w:val="20"/>
                <w:szCs w:val="20"/>
                <w:color w:val="auto"/>
              </w:rPr>
            </w:pPr>
            <w:r>
              <w:rPr>
                <w:rFonts w:ascii="Arial" w:cs="Arial" w:eastAsia="Arial" w:hAnsi="Arial"/>
                <w:sz w:val="22"/>
                <w:szCs w:val="22"/>
                <w:color w:val="auto"/>
              </w:rPr>
              <w:t>Debt component</w:t>
            </w:r>
          </w:p>
        </w:tc>
        <w:tc>
          <w:tcPr>
            <w:tcW w:w="1200" w:type="dxa"/>
            <w:vAlign w:val="bottom"/>
          </w:tcPr>
          <w:p>
            <w:pPr>
              <w:jc w:val="right"/>
              <w:spacing w:after="0" w:line="243" w:lineRule="exact"/>
              <w:rPr>
                <w:sz w:val="20"/>
                <w:szCs w:val="20"/>
                <w:color w:val="auto"/>
              </w:rPr>
            </w:pPr>
            <w:r>
              <w:rPr>
                <w:rFonts w:ascii="Arial" w:cs="Arial" w:eastAsia="Arial" w:hAnsi="Arial"/>
                <w:sz w:val="22"/>
                <w:szCs w:val="22"/>
                <w:color w:val="auto"/>
              </w:rPr>
              <w:t>5,030</w:t>
            </w:r>
          </w:p>
        </w:tc>
        <w:tc>
          <w:tcPr>
            <w:tcW w:w="52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515</w:t>
            </w:r>
          </w:p>
        </w:tc>
        <w:tc>
          <w:tcPr>
            <w:tcW w:w="0" w:type="dxa"/>
            <w:vAlign w:val="bottom"/>
          </w:tcPr>
          <w:p>
            <w:pPr>
              <w:spacing w:after="0"/>
              <w:rPr>
                <w:sz w:val="1"/>
                <w:szCs w:val="1"/>
                <w:color w:val="auto"/>
              </w:rPr>
            </w:pPr>
          </w:p>
        </w:tc>
      </w:tr>
      <w:tr>
        <w:trPr>
          <w:trHeight w:val="275"/>
        </w:trPr>
        <w:tc>
          <w:tcPr>
            <w:tcW w:w="7320" w:type="dxa"/>
            <w:vAlign w:val="bottom"/>
            <w:gridSpan w:val="2"/>
          </w:tcPr>
          <w:p>
            <w:pPr>
              <w:ind w:left="540"/>
              <w:spacing w:after="0"/>
              <w:rPr>
                <w:sz w:val="20"/>
                <w:szCs w:val="20"/>
                <w:color w:val="auto"/>
              </w:rPr>
            </w:pPr>
            <w:r>
              <w:rPr>
                <w:rFonts w:ascii="Arial" w:cs="Arial" w:eastAsia="Arial" w:hAnsi="Arial"/>
                <w:sz w:val="22"/>
                <w:szCs w:val="22"/>
                <w:color w:val="auto"/>
              </w:rPr>
              <w:t>Derivative component</w:t>
            </w:r>
          </w:p>
        </w:tc>
        <w:tc>
          <w:tcPr>
            <w:tcW w:w="1720" w:type="dxa"/>
            <w:vAlign w:val="bottom"/>
            <w:gridSpan w:val="2"/>
          </w:tcPr>
          <w:p>
            <w:pPr>
              <w:jc w:val="right"/>
              <w:ind w:right="440"/>
              <w:spacing w:after="0"/>
              <w:rPr>
                <w:sz w:val="20"/>
                <w:szCs w:val="20"/>
                <w:color w:val="auto"/>
              </w:rPr>
            </w:pPr>
            <w:r>
              <w:rPr>
                <w:rFonts w:ascii="Arial" w:cs="Arial" w:eastAsia="Arial" w:hAnsi="Arial"/>
                <w:sz w:val="22"/>
                <w:szCs w:val="22"/>
                <w:color w:val="auto"/>
              </w:rPr>
              <w:t>(712)</w:t>
            </w:r>
          </w:p>
        </w:tc>
        <w:tc>
          <w:tcPr>
            <w:tcW w:w="1020" w:type="dxa"/>
            <w:vAlign w:val="bottom"/>
          </w:tcPr>
          <w:p>
            <w:pPr>
              <w:jc w:val="right"/>
              <w:spacing w:after="0"/>
              <w:rPr>
                <w:sz w:val="20"/>
                <w:szCs w:val="20"/>
                <w:color w:val="auto"/>
              </w:rPr>
            </w:pPr>
            <w:r>
              <w:rPr>
                <w:rFonts w:ascii="Arial" w:cs="Arial" w:eastAsia="Arial" w:hAnsi="Arial"/>
                <w:sz w:val="22"/>
                <w:szCs w:val="22"/>
                <w:color w:val="auto"/>
              </w:rPr>
              <w:t>268</w:t>
            </w:r>
          </w:p>
        </w:tc>
        <w:tc>
          <w:tcPr>
            <w:tcW w:w="0" w:type="dxa"/>
            <w:vAlign w:val="bottom"/>
          </w:tcPr>
          <w:p>
            <w:pPr>
              <w:spacing w:after="0"/>
              <w:rPr>
                <w:sz w:val="1"/>
                <w:szCs w:val="1"/>
                <w:color w:val="auto"/>
              </w:rPr>
            </w:pPr>
          </w:p>
        </w:tc>
      </w:tr>
      <w:tr>
        <w:trPr>
          <w:trHeight w:val="98"/>
        </w:trPr>
        <w:tc>
          <w:tcPr>
            <w:tcW w:w="46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7320" w:type="dxa"/>
            <w:vAlign w:val="bottom"/>
            <w:gridSpan w:val="2"/>
          </w:tcPr>
          <w:p>
            <w:pPr>
              <w:ind w:left="540"/>
              <w:spacing w:after="0"/>
              <w:rPr>
                <w:sz w:val="20"/>
                <w:szCs w:val="20"/>
                <w:color w:val="auto"/>
              </w:rPr>
            </w:pPr>
            <w:r>
              <w:rPr>
                <w:rFonts w:ascii="Arial" w:cs="Arial" w:eastAsia="Arial" w:hAnsi="Arial"/>
                <w:sz w:val="22"/>
                <w:szCs w:val="22"/>
                <w:color w:val="auto"/>
              </w:rPr>
              <w:t>Total</w:t>
            </w:r>
          </w:p>
        </w:tc>
        <w:tc>
          <w:tcPr>
            <w:tcW w:w="1200" w:type="dxa"/>
            <w:vAlign w:val="bottom"/>
          </w:tcPr>
          <w:p>
            <w:pPr>
              <w:jc w:val="right"/>
              <w:spacing w:after="0"/>
              <w:rPr>
                <w:sz w:val="20"/>
                <w:szCs w:val="20"/>
                <w:color w:val="auto"/>
              </w:rPr>
            </w:pPr>
            <w:r>
              <w:rPr>
                <w:rFonts w:ascii="Arial" w:cs="Arial" w:eastAsia="Arial" w:hAnsi="Arial"/>
                <w:sz w:val="22"/>
                <w:szCs w:val="22"/>
                <w:color w:val="auto"/>
              </w:rPr>
              <w:t>$4,318</w:t>
            </w: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$783</w:t>
            </w:r>
          </w:p>
        </w:tc>
        <w:tc>
          <w:tcPr>
            <w:tcW w:w="0" w:type="dxa"/>
            <w:vAlign w:val="bottom"/>
          </w:tcPr>
          <w:p>
            <w:pPr>
              <w:spacing w:after="0"/>
              <w:rPr>
                <w:sz w:val="1"/>
                <w:szCs w:val="1"/>
                <w:color w:val="auto"/>
              </w:rPr>
            </w:pPr>
          </w:p>
        </w:tc>
      </w:tr>
      <w:tr>
        <w:trPr>
          <w:trHeight w:val="108"/>
        </w:trPr>
        <w:tc>
          <w:tcPr>
            <w:tcW w:w="46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Interest Rates</w:t>
      </w:r>
    </w:p>
    <w:p>
      <w:pPr>
        <w:spacing w:after="0" w:line="8" w:lineRule="exact"/>
        <w:rPr>
          <w:sz w:val="20"/>
          <w:szCs w:val="20"/>
          <w:color w:val="auto"/>
        </w:rPr>
      </w:pPr>
    </w:p>
    <w:p>
      <w:pPr>
        <w:ind w:left="460"/>
        <w:spacing w:after="0" w:line="233" w:lineRule="auto"/>
        <w:rPr>
          <w:sz w:val="20"/>
          <w:szCs w:val="20"/>
          <w:color w:val="auto"/>
        </w:rPr>
      </w:pPr>
      <w:r>
        <w:rPr>
          <w:rFonts w:ascii="Arial" w:cs="Arial" w:eastAsia="Arial" w:hAnsi="Arial"/>
          <w:sz w:val="22"/>
          <w:szCs w:val="22"/>
          <w:color w:val="auto"/>
        </w:rPr>
        <w:t>Excluding the derivative component of the Exchangeable Notes and the ZONES whose changes in fair value are recorded to investment income (loss), net, our effective weighted average interest rate on our total debt outstanding was 7.08% and 6.00% as of December 31, 2003 and 2002, respectively. The weighted average interest rate on our short-term debt was 2.53% as of December 31, 2002.</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Interest Rate Risk Management</w:t>
      </w:r>
    </w:p>
    <w:p>
      <w:pPr>
        <w:spacing w:after="0" w:line="8" w:lineRule="exact"/>
        <w:rPr>
          <w:sz w:val="20"/>
          <w:szCs w:val="20"/>
          <w:color w:val="auto"/>
        </w:rPr>
      </w:pPr>
    </w:p>
    <w:p>
      <w:pPr>
        <w:ind w:left="460" w:right="140"/>
        <w:spacing w:after="0" w:line="234" w:lineRule="auto"/>
        <w:rPr>
          <w:sz w:val="20"/>
          <w:szCs w:val="20"/>
          <w:color w:val="auto"/>
        </w:rPr>
      </w:pPr>
      <w:r>
        <w:rPr>
          <w:rFonts w:ascii="Arial" w:cs="Arial" w:eastAsia="Arial" w:hAnsi="Arial"/>
          <w:sz w:val="22"/>
          <w:szCs w:val="22"/>
          <w:color w:val="auto"/>
        </w:rPr>
        <w:t>We are exposed to the market risk of adverse changes in interest rates. To manage the volatility relating to these exposures, our policy is to maintain a mix of fixed and variable rate debt and to enter into various interest rate derivative transactions as described below.</w:t>
      </w:r>
    </w:p>
    <w:p>
      <w:pPr>
        <w:spacing w:after="0" w:line="214" w:lineRule="exact"/>
        <w:rPr>
          <w:sz w:val="20"/>
          <w:szCs w:val="20"/>
          <w:color w:val="auto"/>
        </w:rPr>
      </w:pPr>
    </w:p>
    <w:p>
      <w:pPr>
        <w:ind w:left="460"/>
        <w:spacing w:after="0" w:line="235" w:lineRule="auto"/>
        <w:rPr>
          <w:sz w:val="20"/>
          <w:szCs w:val="20"/>
          <w:color w:val="auto"/>
        </w:rPr>
      </w:pPr>
      <w:r>
        <w:rPr>
          <w:rFonts w:ascii="Arial" w:cs="Arial" w:eastAsia="Arial" w:hAnsi="Arial"/>
          <w:sz w:val="22"/>
          <w:szCs w:val="22"/>
          <w:color w:val="auto"/>
        </w:rPr>
        <w:t>Using Swaps, we agree to exchange, at specified intervals, the difference between fixed and variable interest amounts calculated by reference to an agreed-upon notional principal amount. Rate Locks are used to hedge the risk that the cash flows related to the interest payments on an anticipated issuance or assumption of fixed rate debt may be adversely affected by interest rate fluctuations. Caps are used to lock in a maximum interest rate should variable rates rise, but enable us otherwise to pay lower market rates. Collars limit our exposure to and benefits from interest rate fluctuations on variable rate debt to within a certain range of rates.</w:t>
      </w:r>
    </w:p>
    <w:p>
      <w:pPr>
        <w:spacing w:after="0" w:line="215" w:lineRule="exact"/>
        <w:rPr>
          <w:sz w:val="20"/>
          <w:szCs w:val="20"/>
          <w:color w:val="auto"/>
        </w:rPr>
      </w:pPr>
    </w:p>
    <w:p>
      <w:pPr>
        <w:ind w:left="460" w:right="520"/>
        <w:spacing w:after="0" w:line="258" w:lineRule="auto"/>
        <w:rPr>
          <w:sz w:val="20"/>
          <w:szCs w:val="20"/>
          <w:color w:val="auto"/>
        </w:rPr>
      </w:pPr>
      <w:r>
        <w:rPr>
          <w:rFonts w:ascii="Arial" w:cs="Arial" w:eastAsia="Arial" w:hAnsi="Arial"/>
          <w:sz w:val="21"/>
          <w:szCs w:val="21"/>
          <w:color w:val="auto"/>
        </w:rPr>
        <w:t>All derivative transactions must comply with a board-approved derivatives policy. In addition to prohibiting the use of derivatives for trading purposes or that increase risk, this policy requires quarterly monitoring of the portfolio, including portfolio valuation, measuring counterparty exposure and performing sensitivity analyses.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The following table summarizes the terms of our existing Swaps (dollars in millions):</w:t>
      </w:r>
    </w:p>
    <w:p>
      <w:pPr>
        <w:spacing w:after="0" w:line="223" w:lineRule="exact"/>
        <w:rPr>
          <w:sz w:val="20"/>
          <w:szCs w:val="20"/>
          <w:color w:val="auto"/>
        </w:rPr>
      </w:pPr>
    </w:p>
    <w:tbl>
      <w:tblPr>
        <w:tblLayout w:type="fixed"/>
        <w:tblInd w:w="500" w:type="dxa"/>
        <w:tblCellMar>
          <w:top w:w="0" w:type="dxa"/>
          <w:left w:w="0" w:type="dxa"/>
          <w:bottom w:w="0" w:type="dxa"/>
          <w:right w:w="0" w:type="dxa"/>
        </w:tblCellMar>
      </w:tblPr>
      <w:tr>
        <w:trPr>
          <w:trHeight w:val="253"/>
        </w:trPr>
        <w:tc>
          <w:tcPr>
            <w:tcW w:w="22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22"/>
                <w:szCs w:val="22"/>
                <w:color w:val="auto"/>
                <w:w w:val="85"/>
              </w:rPr>
              <w:t>Average</w:t>
            </w:r>
          </w:p>
        </w:tc>
        <w:tc>
          <w:tcPr>
            <w:tcW w:w="1160" w:type="dxa"/>
            <w:vAlign w:val="bottom"/>
            <w:gridSpan w:val="3"/>
          </w:tcPr>
          <w:p>
            <w:pPr>
              <w:jc w:val="right"/>
              <w:ind w:right="300"/>
              <w:spacing w:after="0"/>
              <w:rPr>
                <w:sz w:val="20"/>
                <w:szCs w:val="20"/>
                <w:color w:val="auto"/>
              </w:rPr>
            </w:pPr>
            <w:r>
              <w:rPr>
                <w:rFonts w:ascii="Arial" w:cs="Arial" w:eastAsia="Arial" w:hAnsi="Arial"/>
                <w:sz w:val="22"/>
                <w:szCs w:val="22"/>
                <w:color w:val="auto"/>
              </w:rPr>
              <w:t>Average</w:t>
            </w:r>
          </w:p>
        </w:tc>
        <w:tc>
          <w:tcPr>
            <w:tcW w:w="860" w:type="dxa"/>
            <w:vAlign w:val="bottom"/>
          </w:tcPr>
          <w:p>
            <w:pPr>
              <w:jc w:val="right"/>
              <w:spacing w:after="0"/>
              <w:rPr>
                <w:sz w:val="20"/>
                <w:szCs w:val="20"/>
                <w:color w:val="auto"/>
              </w:rPr>
            </w:pPr>
            <w:r>
              <w:rPr>
                <w:rFonts w:ascii="Arial" w:cs="Arial" w:eastAsia="Arial" w:hAnsi="Arial"/>
                <w:sz w:val="22"/>
                <w:szCs w:val="22"/>
                <w:color w:val="auto"/>
                <w:w w:val="85"/>
              </w:rPr>
              <w:t>Estimated</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w w:val="91"/>
              </w:rPr>
              <w:t>Notional</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jc w:val="center"/>
              <w:ind w:right="140"/>
              <w:spacing w:after="0" w:line="243" w:lineRule="exact"/>
              <w:rPr>
                <w:sz w:val="20"/>
                <w:szCs w:val="20"/>
                <w:color w:val="auto"/>
              </w:rPr>
            </w:pPr>
            <w:r>
              <w:rPr>
                <w:rFonts w:ascii="Arial" w:cs="Arial" w:eastAsia="Arial" w:hAnsi="Arial"/>
                <w:sz w:val="22"/>
                <w:szCs w:val="22"/>
                <w:color w:val="auto"/>
                <w:w w:val="84"/>
              </w:rPr>
              <w:t>Pay</w:t>
            </w:r>
          </w:p>
        </w:tc>
        <w:tc>
          <w:tcPr>
            <w:tcW w:w="160" w:type="dxa"/>
            <w:vAlign w:val="bottom"/>
          </w:tcPr>
          <w:p>
            <w:pPr>
              <w:spacing w:after="0"/>
              <w:rPr>
                <w:sz w:val="21"/>
                <w:szCs w:val="21"/>
                <w:color w:val="auto"/>
              </w:rPr>
            </w:pPr>
          </w:p>
        </w:tc>
        <w:tc>
          <w:tcPr>
            <w:tcW w:w="10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w w:val="85"/>
              </w:rPr>
              <w:t>Receive</w:t>
            </w:r>
          </w:p>
        </w:tc>
        <w:tc>
          <w:tcPr>
            <w:tcW w:w="860" w:type="dxa"/>
            <w:vAlign w:val="bottom"/>
          </w:tcPr>
          <w:p>
            <w:pPr>
              <w:jc w:val="right"/>
              <w:ind w:right="132"/>
              <w:spacing w:after="0" w:line="243" w:lineRule="exact"/>
              <w:rPr>
                <w:sz w:val="20"/>
                <w:szCs w:val="20"/>
                <w:color w:val="auto"/>
              </w:rPr>
            </w:pPr>
            <w:r>
              <w:rPr>
                <w:rFonts w:ascii="Arial" w:cs="Arial" w:eastAsia="Arial" w:hAnsi="Arial"/>
                <w:sz w:val="22"/>
                <w:szCs w:val="22"/>
                <w:color w:val="auto"/>
              </w:rPr>
              <w:t>Fair</w:t>
            </w:r>
          </w:p>
        </w:tc>
        <w:tc>
          <w:tcPr>
            <w:tcW w:w="0" w:type="dxa"/>
            <w:vAlign w:val="bottom"/>
          </w:tcPr>
          <w:p>
            <w:pPr>
              <w:spacing w:after="0"/>
              <w:rPr>
                <w:sz w:val="1"/>
                <w:szCs w:val="1"/>
                <w:color w:val="auto"/>
              </w:rPr>
            </w:pPr>
          </w:p>
        </w:tc>
      </w:tr>
      <w:tr>
        <w:trPr>
          <w:trHeight w:val="275"/>
        </w:trPr>
        <w:tc>
          <w:tcPr>
            <w:tcW w:w="22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w w:val="94"/>
              </w:rPr>
              <w:t>Amount</w:t>
            </w:r>
          </w:p>
        </w:tc>
        <w:tc>
          <w:tcPr>
            <w:tcW w:w="300" w:type="dxa"/>
            <w:vAlign w:val="bottom"/>
          </w:tcPr>
          <w:p>
            <w:pPr>
              <w:spacing w:after="0"/>
              <w:rPr>
                <w:sz w:val="23"/>
                <w:szCs w:val="23"/>
                <w:color w:val="auto"/>
              </w:rPr>
            </w:pPr>
          </w:p>
        </w:tc>
        <w:tc>
          <w:tcPr>
            <w:tcW w:w="1020" w:type="dxa"/>
            <w:vAlign w:val="bottom"/>
          </w:tcPr>
          <w:p>
            <w:pPr>
              <w:ind w:left="60"/>
              <w:spacing w:after="0"/>
              <w:rPr>
                <w:sz w:val="20"/>
                <w:szCs w:val="20"/>
                <w:color w:val="auto"/>
              </w:rPr>
            </w:pPr>
            <w:r>
              <w:rPr>
                <w:rFonts w:ascii="Arial" w:cs="Arial" w:eastAsia="Arial" w:hAnsi="Arial"/>
                <w:sz w:val="22"/>
                <w:szCs w:val="22"/>
                <w:color w:val="auto"/>
                <w:w w:val="98"/>
              </w:rPr>
              <w:t>Maturities</w:t>
            </w:r>
          </w:p>
        </w:tc>
        <w:tc>
          <w:tcPr>
            <w:tcW w:w="300" w:type="dxa"/>
            <w:vAlign w:val="bottom"/>
          </w:tcPr>
          <w:p>
            <w:pPr>
              <w:spacing w:after="0"/>
              <w:rPr>
                <w:sz w:val="23"/>
                <w:szCs w:val="23"/>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22"/>
                <w:szCs w:val="22"/>
                <w:color w:val="auto"/>
                <w:w w:val="85"/>
              </w:rPr>
              <w:t>Rate</w:t>
            </w:r>
          </w:p>
        </w:tc>
        <w:tc>
          <w:tcPr>
            <w:tcW w:w="160" w:type="dxa"/>
            <w:vAlign w:val="bottom"/>
          </w:tcPr>
          <w:p>
            <w:pPr>
              <w:spacing w:after="0"/>
              <w:rPr>
                <w:sz w:val="23"/>
                <w:szCs w:val="23"/>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22"/>
                <w:szCs w:val="22"/>
                <w:color w:val="auto"/>
              </w:rPr>
              <w:t>Rate</w:t>
            </w:r>
          </w:p>
        </w:tc>
        <w:tc>
          <w:tcPr>
            <w:tcW w:w="860" w:type="dxa"/>
            <w:vAlign w:val="bottom"/>
          </w:tcPr>
          <w:p>
            <w:pPr>
              <w:jc w:val="right"/>
              <w:ind w:right="72"/>
              <w:spacing w:after="0"/>
              <w:rPr>
                <w:sz w:val="20"/>
                <w:szCs w:val="20"/>
                <w:color w:val="auto"/>
              </w:rPr>
            </w:pPr>
            <w:r>
              <w:rPr>
                <w:rFonts w:ascii="Arial" w:cs="Arial" w:eastAsia="Arial" w:hAnsi="Arial"/>
                <w:sz w:val="22"/>
                <w:szCs w:val="22"/>
                <w:color w:val="auto"/>
              </w:rPr>
              <w:t>Value</w:t>
            </w:r>
          </w:p>
        </w:tc>
        <w:tc>
          <w:tcPr>
            <w:tcW w:w="0" w:type="dxa"/>
            <w:vAlign w:val="bottom"/>
          </w:tcPr>
          <w:p>
            <w:pPr>
              <w:spacing w:after="0"/>
              <w:rPr>
                <w:sz w:val="1"/>
                <w:szCs w:val="1"/>
                <w:color w:val="auto"/>
              </w:rPr>
            </w:pPr>
          </w:p>
        </w:tc>
      </w:tr>
      <w:tr>
        <w:trPr>
          <w:trHeight w:val="98"/>
        </w:trPr>
        <w:tc>
          <w:tcPr>
            <w:tcW w:w="4300" w:type="dxa"/>
            <w:vAlign w:val="bottom"/>
            <w:gridSpan w:val="2"/>
            <w:vMerge w:val="restart"/>
          </w:tcPr>
          <w:p>
            <w:pPr>
              <w:spacing w:after="0"/>
              <w:rPr>
                <w:sz w:val="20"/>
                <w:szCs w:val="20"/>
                <w:color w:val="auto"/>
              </w:rPr>
            </w:pPr>
            <w:r>
              <w:rPr>
                <w:rFonts w:ascii="Arial" w:cs="Arial" w:eastAsia="Arial" w:hAnsi="Arial"/>
                <w:sz w:val="22"/>
                <w:szCs w:val="22"/>
                <w:color w:val="auto"/>
              </w:rPr>
              <w:t>As of December 31, 2003</w:t>
            </w:r>
          </w:p>
        </w:tc>
        <w:tc>
          <w:tcPr>
            <w:tcW w:w="7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47"/>
        </w:trPr>
        <w:tc>
          <w:tcPr>
            <w:tcW w:w="4300" w:type="dxa"/>
            <w:vAlign w:val="bottom"/>
            <w:gridSpan w:val="2"/>
            <w:vMerge w:val="continue"/>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22"/>
                <w:szCs w:val="22"/>
                <w:color w:val="auto"/>
              </w:rPr>
              <w:t>$1,203</w:t>
            </w:r>
          </w:p>
        </w:tc>
        <w:tc>
          <w:tcPr>
            <w:tcW w:w="1320" w:type="dxa"/>
            <w:vAlign w:val="bottom"/>
            <w:gridSpan w:val="2"/>
            <w:vMerge w:val="restart"/>
          </w:tcPr>
          <w:p>
            <w:pPr>
              <w:jc w:val="center"/>
              <w:ind w:left="192"/>
              <w:spacing w:after="0"/>
              <w:rPr>
                <w:sz w:val="20"/>
                <w:szCs w:val="20"/>
                <w:color w:val="auto"/>
              </w:rPr>
            </w:pPr>
            <w:r>
              <w:rPr>
                <w:rFonts w:ascii="Arial" w:cs="Arial" w:eastAsia="Arial" w:hAnsi="Arial"/>
                <w:sz w:val="22"/>
                <w:szCs w:val="22"/>
                <w:color w:val="auto"/>
                <w:w w:val="89"/>
              </w:rPr>
              <w:t>2004-2005</w:t>
            </w:r>
          </w:p>
        </w:tc>
        <w:tc>
          <w:tcPr>
            <w:tcW w:w="1020" w:type="dxa"/>
            <w:vAlign w:val="bottom"/>
            <w:gridSpan w:val="2"/>
            <w:vMerge w:val="restart"/>
          </w:tcPr>
          <w:p>
            <w:pPr>
              <w:jc w:val="right"/>
              <w:spacing w:after="0"/>
              <w:rPr>
                <w:sz w:val="20"/>
                <w:szCs w:val="20"/>
                <w:color w:val="auto"/>
              </w:rPr>
            </w:pPr>
            <w:r>
              <w:rPr>
                <w:rFonts w:ascii="Arial" w:cs="Arial" w:eastAsia="Arial" w:hAnsi="Arial"/>
                <w:sz w:val="22"/>
                <w:szCs w:val="22"/>
                <w:color w:val="auto"/>
              </w:rPr>
              <w:t>7.6%</w:t>
            </w:r>
          </w:p>
        </w:tc>
        <w:tc>
          <w:tcPr>
            <w:tcW w:w="140" w:type="dxa"/>
            <w:vAlign w:val="bottom"/>
          </w:tcPr>
          <w:p>
            <w:pPr>
              <w:spacing w:after="0"/>
              <w:rPr>
                <w:sz w:val="24"/>
                <w:szCs w:val="24"/>
                <w:color w:val="auto"/>
              </w:rPr>
            </w:pPr>
          </w:p>
        </w:tc>
        <w:tc>
          <w:tcPr>
            <w:tcW w:w="1160" w:type="dxa"/>
            <w:vAlign w:val="bottom"/>
            <w:gridSpan w:val="3"/>
            <w:vMerge w:val="restart"/>
          </w:tcPr>
          <w:p>
            <w:pPr>
              <w:jc w:val="right"/>
              <w:ind w:right="300"/>
              <w:spacing w:after="0"/>
              <w:rPr>
                <w:sz w:val="20"/>
                <w:szCs w:val="20"/>
                <w:color w:val="auto"/>
              </w:rPr>
            </w:pPr>
            <w:r>
              <w:rPr>
                <w:rFonts w:ascii="Arial" w:cs="Arial" w:eastAsia="Arial" w:hAnsi="Arial"/>
                <w:sz w:val="22"/>
                <w:szCs w:val="22"/>
                <w:color w:val="auto"/>
              </w:rPr>
              <w:t>1.7%</w:t>
            </w:r>
          </w:p>
        </w:tc>
        <w:tc>
          <w:tcPr>
            <w:tcW w:w="860" w:type="dxa"/>
            <w:vAlign w:val="bottom"/>
            <w:vMerge w:val="restart"/>
          </w:tcPr>
          <w:p>
            <w:pPr>
              <w:jc w:val="right"/>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42"/>
        </w:trPr>
        <w:tc>
          <w:tcPr>
            <w:tcW w:w="222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w w:val="92"/>
              </w:rPr>
              <w:t>Variable to Fixed Swaps</w:t>
            </w:r>
          </w:p>
        </w:tc>
        <w:tc>
          <w:tcPr>
            <w:tcW w:w="208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300" w:type="dxa"/>
            <w:vAlign w:val="bottom"/>
            <w:gridSpan w:val="2"/>
          </w:tcPr>
          <w:p>
            <w:pPr>
              <w:spacing w:after="0"/>
              <w:rPr>
                <w:sz w:val="20"/>
                <w:szCs w:val="20"/>
                <w:color w:val="auto"/>
              </w:rPr>
            </w:pPr>
            <w:r>
              <w:rPr>
                <w:rFonts w:ascii="Arial" w:cs="Arial" w:eastAsia="Arial" w:hAnsi="Arial"/>
                <w:sz w:val="22"/>
                <w:szCs w:val="22"/>
                <w:color w:val="auto"/>
              </w:rPr>
              <w:t>Fixed to Variable Swaps</w:t>
            </w:r>
          </w:p>
        </w:tc>
        <w:tc>
          <w:tcPr>
            <w:tcW w:w="760" w:type="dxa"/>
            <w:vAlign w:val="bottom"/>
          </w:tcPr>
          <w:p>
            <w:pPr>
              <w:jc w:val="right"/>
              <w:spacing w:after="0"/>
              <w:rPr>
                <w:sz w:val="20"/>
                <w:szCs w:val="20"/>
                <w:color w:val="auto"/>
              </w:rPr>
            </w:pPr>
            <w:r>
              <w:rPr>
                <w:rFonts w:ascii="Arial" w:cs="Arial" w:eastAsia="Arial" w:hAnsi="Arial"/>
                <w:sz w:val="22"/>
                <w:szCs w:val="22"/>
                <w:color w:val="auto"/>
              </w:rPr>
              <w:t>$2,450</w:t>
            </w:r>
          </w:p>
        </w:tc>
        <w:tc>
          <w:tcPr>
            <w:tcW w:w="1320" w:type="dxa"/>
            <w:vAlign w:val="bottom"/>
            <w:gridSpan w:val="2"/>
          </w:tcPr>
          <w:p>
            <w:pPr>
              <w:jc w:val="center"/>
              <w:ind w:left="192"/>
              <w:spacing w:after="0"/>
              <w:rPr>
                <w:sz w:val="20"/>
                <w:szCs w:val="20"/>
                <w:color w:val="auto"/>
              </w:rPr>
            </w:pPr>
            <w:r>
              <w:rPr>
                <w:rFonts w:ascii="Arial" w:cs="Arial" w:eastAsia="Arial" w:hAnsi="Arial"/>
                <w:sz w:val="22"/>
                <w:szCs w:val="22"/>
                <w:color w:val="auto"/>
                <w:w w:val="89"/>
              </w:rPr>
              <w:t>2006-2027</w:t>
            </w: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3.7%</w:t>
            </w:r>
          </w:p>
        </w:tc>
        <w:tc>
          <w:tcPr>
            <w:tcW w:w="140" w:type="dxa"/>
            <w:vAlign w:val="bottom"/>
          </w:tcPr>
          <w:p>
            <w:pPr>
              <w:spacing w:after="0"/>
              <w:rPr>
                <w:sz w:val="23"/>
                <w:szCs w:val="23"/>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22"/>
                <w:szCs w:val="22"/>
                <w:color w:val="auto"/>
              </w:rPr>
              <w:t>6.6%</w:t>
            </w:r>
          </w:p>
        </w:tc>
        <w:tc>
          <w:tcPr>
            <w:tcW w:w="86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436"/>
        </w:trPr>
        <w:tc>
          <w:tcPr>
            <w:tcW w:w="4300" w:type="dxa"/>
            <w:vAlign w:val="bottom"/>
            <w:gridSpan w:val="2"/>
          </w:tcPr>
          <w:p>
            <w:pPr>
              <w:spacing w:after="0"/>
              <w:rPr>
                <w:sz w:val="20"/>
                <w:szCs w:val="20"/>
                <w:color w:val="auto"/>
              </w:rPr>
            </w:pPr>
            <w:r>
              <w:rPr>
                <w:rFonts w:ascii="Arial" w:cs="Arial" w:eastAsia="Arial" w:hAnsi="Arial"/>
                <w:sz w:val="22"/>
                <w:szCs w:val="22"/>
                <w:color w:val="auto"/>
              </w:rPr>
              <w:t>As of December 31, 2002</w:t>
            </w:r>
          </w:p>
        </w:tc>
        <w:tc>
          <w:tcPr>
            <w:tcW w:w="760" w:type="dxa"/>
            <w:vAlign w:val="bottom"/>
            <w:vMerge w:val="restart"/>
          </w:tcPr>
          <w:p>
            <w:pPr>
              <w:jc w:val="right"/>
              <w:spacing w:after="0"/>
              <w:rPr>
                <w:sz w:val="20"/>
                <w:szCs w:val="20"/>
                <w:color w:val="auto"/>
              </w:rPr>
            </w:pPr>
            <w:r>
              <w:rPr>
                <w:rFonts w:ascii="Arial" w:cs="Arial" w:eastAsia="Arial" w:hAnsi="Arial"/>
                <w:sz w:val="22"/>
                <w:szCs w:val="22"/>
                <w:color w:val="auto"/>
              </w:rPr>
              <w:t>$1,774</w:t>
            </w:r>
          </w:p>
        </w:tc>
        <w:tc>
          <w:tcPr>
            <w:tcW w:w="1320" w:type="dxa"/>
            <w:vAlign w:val="bottom"/>
            <w:gridSpan w:val="2"/>
            <w:vMerge w:val="restart"/>
          </w:tcPr>
          <w:p>
            <w:pPr>
              <w:jc w:val="center"/>
              <w:ind w:left="192"/>
              <w:spacing w:after="0"/>
              <w:rPr>
                <w:sz w:val="20"/>
                <w:szCs w:val="20"/>
                <w:color w:val="auto"/>
              </w:rPr>
            </w:pPr>
            <w:r>
              <w:rPr>
                <w:rFonts w:ascii="Arial" w:cs="Arial" w:eastAsia="Arial" w:hAnsi="Arial"/>
                <w:sz w:val="22"/>
                <w:szCs w:val="22"/>
                <w:color w:val="auto"/>
                <w:w w:val="89"/>
              </w:rPr>
              <w:t>2003-2005</w:t>
            </w:r>
          </w:p>
        </w:tc>
        <w:tc>
          <w:tcPr>
            <w:tcW w:w="1020" w:type="dxa"/>
            <w:vAlign w:val="bottom"/>
            <w:gridSpan w:val="2"/>
            <w:vMerge w:val="restart"/>
          </w:tcPr>
          <w:p>
            <w:pPr>
              <w:jc w:val="right"/>
              <w:spacing w:after="0"/>
              <w:rPr>
                <w:sz w:val="20"/>
                <w:szCs w:val="20"/>
                <w:color w:val="auto"/>
              </w:rPr>
            </w:pPr>
            <w:r>
              <w:rPr>
                <w:rFonts w:ascii="Arial" w:cs="Arial" w:eastAsia="Arial" w:hAnsi="Arial"/>
                <w:sz w:val="22"/>
                <w:szCs w:val="22"/>
                <w:color w:val="auto"/>
              </w:rPr>
              <w:t>7.6%</w:t>
            </w:r>
          </w:p>
        </w:tc>
        <w:tc>
          <w:tcPr>
            <w:tcW w:w="140" w:type="dxa"/>
            <w:vAlign w:val="bottom"/>
          </w:tcPr>
          <w:p>
            <w:pPr>
              <w:spacing w:after="0"/>
              <w:rPr>
                <w:sz w:val="24"/>
                <w:szCs w:val="24"/>
                <w:color w:val="auto"/>
              </w:rPr>
            </w:pPr>
          </w:p>
        </w:tc>
        <w:tc>
          <w:tcPr>
            <w:tcW w:w="1160" w:type="dxa"/>
            <w:vAlign w:val="bottom"/>
            <w:gridSpan w:val="3"/>
            <w:vMerge w:val="restart"/>
          </w:tcPr>
          <w:p>
            <w:pPr>
              <w:jc w:val="right"/>
              <w:ind w:right="300"/>
              <w:spacing w:after="0"/>
              <w:rPr>
                <w:sz w:val="20"/>
                <w:szCs w:val="20"/>
                <w:color w:val="auto"/>
              </w:rPr>
            </w:pPr>
            <w:r>
              <w:rPr>
                <w:rFonts w:ascii="Arial" w:cs="Arial" w:eastAsia="Arial" w:hAnsi="Arial"/>
                <w:sz w:val="22"/>
                <w:szCs w:val="22"/>
                <w:color w:val="auto"/>
              </w:rPr>
              <w:t>1.9%</w:t>
            </w:r>
          </w:p>
        </w:tc>
        <w:tc>
          <w:tcPr>
            <w:tcW w:w="860" w:type="dxa"/>
            <w:vAlign w:val="bottom"/>
            <w:vMerge w:val="restart"/>
          </w:tcPr>
          <w:p>
            <w:pPr>
              <w:jc w:val="right"/>
              <w:spacing w:after="0"/>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r>
        <w:trPr>
          <w:trHeight w:val="242"/>
        </w:trPr>
        <w:tc>
          <w:tcPr>
            <w:tcW w:w="2220" w:type="dxa"/>
            <w:vAlign w:val="bottom"/>
            <w:tcBorders>
              <w:top w:val="single" w:sz="8" w:color="auto"/>
            </w:tcBorders>
          </w:tcPr>
          <w:p>
            <w:pPr>
              <w:spacing w:after="0" w:line="242" w:lineRule="exact"/>
              <w:rPr>
                <w:sz w:val="20"/>
                <w:szCs w:val="20"/>
                <w:color w:val="auto"/>
              </w:rPr>
            </w:pPr>
            <w:r>
              <w:rPr>
                <w:rFonts w:ascii="Arial" w:cs="Arial" w:eastAsia="Arial" w:hAnsi="Arial"/>
                <w:sz w:val="22"/>
                <w:szCs w:val="22"/>
                <w:color w:val="auto"/>
                <w:w w:val="92"/>
              </w:rPr>
              <w:t>Variable to Fixed Swaps</w:t>
            </w:r>
          </w:p>
        </w:tc>
        <w:tc>
          <w:tcPr>
            <w:tcW w:w="208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300" w:type="dxa"/>
            <w:vAlign w:val="bottom"/>
            <w:gridSpan w:val="2"/>
          </w:tcPr>
          <w:p>
            <w:pPr>
              <w:spacing w:after="0"/>
              <w:rPr>
                <w:sz w:val="20"/>
                <w:szCs w:val="20"/>
                <w:color w:val="auto"/>
              </w:rPr>
            </w:pPr>
            <w:r>
              <w:rPr>
                <w:rFonts w:ascii="Arial" w:cs="Arial" w:eastAsia="Arial" w:hAnsi="Arial"/>
                <w:sz w:val="22"/>
                <w:szCs w:val="22"/>
                <w:color w:val="auto"/>
              </w:rPr>
              <w:t>Fixed to Variable Swaps</w:t>
            </w:r>
          </w:p>
        </w:tc>
        <w:tc>
          <w:tcPr>
            <w:tcW w:w="760" w:type="dxa"/>
            <w:vAlign w:val="bottom"/>
          </w:tcPr>
          <w:p>
            <w:pPr>
              <w:jc w:val="right"/>
              <w:spacing w:after="0"/>
              <w:rPr>
                <w:sz w:val="20"/>
                <w:szCs w:val="20"/>
                <w:color w:val="auto"/>
              </w:rPr>
            </w:pPr>
            <w:r>
              <w:rPr>
                <w:rFonts w:ascii="Arial" w:cs="Arial" w:eastAsia="Arial" w:hAnsi="Arial"/>
                <w:sz w:val="22"/>
                <w:szCs w:val="22"/>
                <w:color w:val="auto"/>
              </w:rPr>
              <w:t>$300</w:t>
            </w:r>
          </w:p>
        </w:tc>
        <w:tc>
          <w:tcPr>
            <w:tcW w:w="1320" w:type="dxa"/>
            <w:vAlign w:val="bottom"/>
            <w:gridSpan w:val="2"/>
          </w:tcPr>
          <w:p>
            <w:pPr>
              <w:jc w:val="center"/>
              <w:ind w:left="192"/>
              <w:spacing w:after="0"/>
              <w:rPr>
                <w:sz w:val="20"/>
                <w:szCs w:val="20"/>
                <w:color w:val="auto"/>
              </w:rPr>
            </w:pPr>
            <w:r>
              <w:rPr>
                <w:rFonts w:ascii="Arial" w:cs="Arial" w:eastAsia="Arial" w:hAnsi="Arial"/>
                <w:sz w:val="22"/>
                <w:szCs w:val="22"/>
                <w:color w:val="auto"/>
                <w:w w:val="85"/>
              </w:rPr>
              <w:t>2027</w:t>
            </w: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3.7%</w:t>
            </w:r>
          </w:p>
        </w:tc>
        <w:tc>
          <w:tcPr>
            <w:tcW w:w="140" w:type="dxa"/>
            <w:vAlign w:val="bottom"/>
          </w:tcPr>
          <w:p>
            <w:pPr>
              <w:spacing w:after="0"/>
              <w:rPr>
                <w:sz w:val="23"/>
                <w:szCs w:val="23"/>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22"/>
                <w:szCs w:val="22"/>
                <w:color w:val="auto"/>
              </w:rPr>
              <w:t>9.7%</w:t>
            </w:r>
          </w:p>
        </w:tc>
        <w:tc>
          <w:tcPr>
            <w:tcW w:w="860" w:type="dxa"/>
            <w:vAlign w:val="bottom"/>
          </w:tcPr>
          <w:p>
            <w:pPr>
              <w:jc w:val="right"/>
              <w:spacing w:after="0"/>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89" w:right="279" w:bottom="0" w:gutter="0" w:footer="0" w:header="0"/>
        </w:sect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- 31 -</w:t>
      </w:r>
    </w:p>
    <w:p>
      <w:pPr>
        <w:sectPr>
          <w:pgSz w:w="11900" w:h="16838" w:orient="portrait"/>
          <w:cols w:equalWidth="0" w:num="1">
            <w:col w:w="11380"/>
          </w:cols>
          <w:pgMar w:left="240" w:top="89" w:right="279" w:bottom="0" w:gutter="0" w:footer="0" w:header="0"/>
          <w:type w:val="continuous"/>
        </w:sectPr>
      </w:pPr>
    </w:p>
    <w:bookmarkStart w:id="85" w:name="page86"/>
    <w:bookmarkEnd w:id="85"/>
    <w:p>
      <w:pPr>
        <w:spacing w:after="0"/>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3765" cy="8255"/>
                    </a:xfrm>
                    <a:prstGeom prst="rect">
                      <a:avLst/>
                    </a:prstGeom>
                    <a:noFill/>
                  </pic:spPr>
                </pic:pic>
              </a:graphicData>
            </a:graphic>
          </wp:anchor>
        </w:drawing>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spacing w:after="0" w:line="236" w:lineRule="auto"/>
        <w:rPr>
          <w:sz w:val="20"/>
          <w:szCs w:val="20"/>
          <w:color w:val="auto"/>
        </w:rPr>
      </w:pPr>
      <w:r>
        <w:rPr>
          <w:rFonts w:ascii="Arial" w:cs="Arial" w:eastAsia="Arial" w:hAnsi="Arial"/>
          <w:sz w:val="22"/>
          <w:szCs w:val="22"/>
          <w:color w:val="auto"/>
        </w:rPr>
        <w:t>The notional amounts of interest rate instruments, as presented in the above table, are used to measure interest to be paid or received and do not represent the amount of exposure to credit loss. The estimated fair value approximates the proceeds (costs) to settle the outstanding contracts. While Swaps, Rate Locks, Caps and Collars represent an integral part of our interest rate risk management program, their effect on interest expense for the years ended December 31, 2003, 2002 and 2001 was not significant.</w:t>
      </w:r>
    </w:p>
    <w:p>
      <w:pPr>
        <w:spacing w:after="0" w:line="215" w:lineRule="exact"/>
        <w:rPr>
          <w:sz w:val="20"/>
          <w:szCs w:val="20"/>
          <w:color w:val="auto"/>
        </w:rPr>
      </w:pPr>
    </w:p>
    <w:p>
      <w:pPr>
        <w:ind w:left="460" w:right="40"/>
        <w:spacing w:after="0" w:line="273" w:lineRule="auto"/>
        <w:rPr>
          <w:sz w:val="20"/>
          <w:szCs w:val="20"/>
          <w:color w:val="auto"/>
        </w:rPr>
      </w:pPr>
      <w:r>
        <w:rPr>
          <w:rFonts w:ascii="Arial" w:cs="Arial" w:eastAsia="Arial" w:hAnsi="Arial"/>
          <w:sz w:val="19"/>
          <w:szCs w:val="19"/>
          <w:color w:val="auto"/>
        </w:rPr>
        <w:t>In 2002, we entered into Rate Locks to hedge the risk that the cash flows related to the interest payments on an anticipated issuance or assumption of certain fixed rate debt in connection with the Broadband acquisition may be adversely affected by interest rate fluctuations. To the extent the Rate Locks are effective in offsetting the variability of the hedged cash flows, changes in the fair value of the Rate Locks are not included in earnings but are reported as a component of accumulated other comprehensive income (loss). Upon the assumption of certain fixed rate debt in connection with the Broadband acquisition, the value of the Rate Locks is being recognized as an adjustment to interest expense, similar to a deferred financing cost, over 15 years, which is the same period in which the related interest costs on the debt are recognized in earnings. The unrealized pre-tax losses on cash flow hedges as of December 31, 2003 and 2002 of $213 million and $228 million, respectively, have been reported in our balance sheet as a component of accumulated other comprehensive income (loss), net of related deferred income taxes of $75 million and $80 million, respectively.</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Estimated Fair Value</w:t>
      </w:r>
    </w:p>
    <w:p>
      <w:pPr>
        <w:spacing w:after="0" w:line="8" w:lineRule="exact"/>
        <w:rPr>
          <w:sz w:val="20"/>
          <w:szCs w:val="20"/>
          <w:color w:val="auto"/>
        </w:rPr>
      </w:pPr>
    </w:p>
    <w:p>
      <w:pPr>
        <w:ind w:left="460" w:right="300"/>
        <w:spacing w:after="0" w:line="233" w:lineRule="auto"/>
        <w:rPr>
          <w:sz w:val="20"/>
          <w:szCs w:val="20"/>
          <w:color w:val="auto"/>
        </w:rPr>
      </w:pPr>
      <w:r>
        <w:rPr>
          <w:rFonts w:ascii="Arial" w:cs="Arial" w:eastAsia="Arial" w:hAnsi="Arial"/>
          <w:sz w:val="22"/>
          <w:szCs w:val="22"/>
          <w:color w:val="auto"/>
        </w:rPr>
        <w:t>Our debt had estimated fair values of $30.218 billion and $36.826 billion as of December 31, 2003 and 2002, respectively. The estimated fair value of our publicly traded debt is based on quoted market prices for that debt. Interest rates that are currently available to us for issuance of debt with similar terms and remaining maturities are used to estimate fair value for debt issues for which quoted market prices are not available.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Debt Covenants</w:t>
      </w:r>
    </w:p>
    <w:p>
      <w:pPr>
        <w:spacing w:after="0" w:line="8" w:lineRule="exact"/>
        <w:rPr>
          <w:sz w:val="20"/>
          <w:szCs w:val="20"/>
          <w:color w:val="auto"/>
        </w:rPr>
      </w:pPr>
    </w:p>
    <w:p>
      <w:pPr>
        <w:ind w:left="460" w:right="340"/>
        <w:spacing w:after="0" w:line="233" w:lineRule="auto"/>
        <w:rPr>
          <w:sz w:val="20"/>
          <w:szCs w:val="20"/>
          <w:color w:val="auto"/>
        </w:rPr>
      </w:pPr>
      <w:r>
        <w:rPr>
          <w:rFonts w:ascii="Arial" w:cs="Arial" w:eastAsia="Arial" w:hAnsi="Arial"/>
          <w:sz w:val="22"/>
          <w:szCs w:val="22"/>
          <w:color w:val="auto"/>
        </w:rPr>
        <w:t>Certain of our and our subsidiaries’ loan agreements require that we maintain financial ratios based on debt, interest and operating income before depreciation and amortization, as defined in the agreements. In addition, certain of our subsidiary loan agreements contain restrictions on dividend payments and advances of funds to us. We were in compliance with all financial covenants for all periods presented.</w:t>
      </w:r>
    </w:p>
    <w:p>
      <w:pPr>
        <w:spacing w:after="0" w:line="215" w:lineRule="exact"/>
        <w:rPr>
          <w:sz w:val="20"/>
          <w:szCs w:val="20"/>
          <w:color w:val="auto"/>
        </w:rPr>
      </w:pPr>
    </w:p>
    <w:p>
      <w:pPr>
        <w:ind w:left="460"/>
        <w:spacing w:after="0" w:line="328" w:lineRule="auto"/>
        <w:rPr>
          <w:sz w:val="20"/>
          <w:szCs w:val="20"/>
          <w:color w:val="auto"/>
        </w:rPr>
      </w:pPr>
      <w:r>
        <w:rPr>
          <w:rFonts w:ascii="Arial" w:cs="Arial" w:eastAsia="Arial" w:hAnsi="Arial"/>
          <w:sz w:val="19"/>
          <w:szCs w:val="19"/>
          <w:color w:val="auto"/>
        </w:rPr>
        <w:t>As of December 31, 2003, $50 million of our cash, cash equivalents and short-term investments is restricted under contractual or other arrangements. Restricted net assets of our subsidiaries were approximately $368 million as of December 31, 2003.</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Lines and Letters of Credit</w:t>
      </w:r>
    </w:p>
    <w:p>
      <w:pPr>
        <w:spacing w:after="0" w:line="8" w:lineRule="exact"/>
        <w:rPr>
          <w:sz w:val="20"/>
          <w:szCs w:val="20"/>
          <w:color w:val="auto"/>
        </w:rPr>
      </w:pPr>
    </w:p>
    <w:p>
      <w:pPr>
        <w:ind w:left="460" w:right="100"/>
        <w:spacing w:after="0" w:line="237" w:lineRule="auto"/>
        <w:rPr>
          <w:sz w:val="20"/>
          <w:szCs w:val="20"/>
          <w:color w:val="auto"/>
        </w:rPr>
      </w:pPr>
      <w:r>
        <w:rPr>
          <w:rFonts w:ascii="Arial" w:cs="Arial" w:eastAsia="Arial" w:hAnsi="Arial"/>
          <w:sz w:val="22"/>
          <w:szCs w:val="22"/>
          <w:color w:val="auto"/>
        </w:rPr>
        <w:t>As of December 31, 2003, certain of our subsidiaries had unused lines of credit of $5.876 billion under their respective credit facilities.</w:t>
      </w:r>
    </w:p>
    <w:p>
      <w:pPr>
        <w:spacing w:after="0" w:line="212" w:lineRule="exact"/>
        <w:rPr>
          <w:sz w:val="20"/>
          <w:szCs w:val="20"/>
          <w:color w:val="auto"/>
        </w:rPr>
      </w:pPr>
    </w:p>
    <w:p>
      <w:pPr>
        <w:ind w:left="460" w:right="40"/>
        <w:spacing w:after="0"/>
        <w:rPr>
          <w:sz w:val="20"/>
          <w:szCs w:val="20"/>
          <w:color w:val="auto"/>
        </w:rPr>
      </w:pPr>
      <w:r>
        <w:rPr>
          <w:rFonts w:ascii="Arial" w:cs="Arial" w:eastAsia="Arial" w:hAnsi="Arial"/>
          <w:sz w:val="22"/>
          <w:szCs w:val="22"/>
          <w:color w:val="auto"/>
        </w:rPr>
        <w:t>On January 8, 2004, we refinanced three of our existing revolving credit facilities with a new $4.5 billion, five-year revolving bank credit facility due January 2009. As of January 8, 2004, amounts available under our lines of credit totaled $4.381 billion.</w:t>
      </w:r>
    </w:p>
    <w:p>
      <w:pPr>
        <w:spacing w:after="0" w:line="213" w:lineRule="exact"/>
        <w:rPr>
          <w:sz w:val="20"/>
          <w:szCs w:val="20"/>
          <w:color w:val="auto"/>
        </w:rPr>
      </w:pPr>
    </w:p>
    <w:p>
      <w:pPr>
        <w:ind w:left="460" w:right="320"/>
        <w:spacing w:after="0" w:line="251" w:lineRule="auto"/>
        <w:rPr>
          <w:sz w:val="20"/>
          <w:szCs w:val="20"/>
          <w:color w:val="auto"/>
        </w:rPr>
      </w:pPr>
      <w:r>
        <w:rPr>
          <w:rFonts w:ascii="Arial" w:cs="Arial" w:eastAsia="Arial" w:hAnsi="Arial"/>
          <w:sz w:val="22"/>
          <w:szCs w:val="22"/>
          <w:color w:val="auto"/>
        </w:rPr>
        <w:t>As of December 31, 2003, we and certain of our subsidiaries had unused irrevocable standby letters of credit totaling $419 million to cover potential fundings under various agreements.</w:t>
      </w:r>
    </w:p>
    <w:p>
      <w:pPr>
        <w:spacing w:after="0" w:line="200"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PENSION, POSTRETIREMENT AND OTHER EMPLOYEE BENEFIT PLANS</w:t>
      </w:r>
    </w:p>
    <w:p>
      <w:pPr>
        <w:spacing w:after="0" w:line="233" w:lineRule="exact"/>
        <w:rPr>
          <w:rFonts w:ascii="Arial" w:cs="Arial" w:eastAsia="Arial" w:hAnsi="Arial"/>
          <w:sz w:val="22"/>
          <w:szCs w:val="22"/>
          <w:color w:val="auto"/>
        </w:rPr>
      </w:pPr>
    </w:p>
    <w:p>
      <w:pPr>
        <w:ind w:left="460" w:right="660"/>
        <w:spacing w:after="0"/>
        <w:rPr>
          <w:rFonts w:ascii="Arial" w:cs="Arial" w:eastAsia="Arial" w:hAnsi="Arial"/>
          <w:sz w:val="22"/>
          <w:szCs w:val="22"/>
          <w:color w:val="auto"/>
        </w:rPr>
      </w:pPr>
      <w:r>
        <w:rPr>
          <w:rFonts w:ascii="Arial" w:cs="Arial" w:eastAsia="Arial" w:hAnsi="Arial"/>
          <w:sz w:val="22"/>
          <w:szCs w:val="22"/>
          <w:color w:val="auto"/>
        </w:rPr>
        <w:t>We sponsor two former Broadband pension plans that together provide benefits to substantially all former Broadband employees. Future benefits for both plans have been frozen, except for some union groups and some change-in-control payments.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right="280"/>
        <w:spacing w:after="0" w:line="251" w:lineRule="auto"/>
        <w:rPr>
          <w:sz w:val="20"/>
          <w:szCs w:val="20"/>
          <w:color w:val="auto"/>
        </w:rPr>
      </w:pPr>
      <w:r>
        <w:rPr>
          <w:rFonts w:ascii="Arial" w:cs="Arial" w:eastAsia="Arial" w:hAnsi="Arial"/>
          <w:sz w:val="22"/>
          <w:szCs w:val="22"/>
          <w:color w:val="auto"/>
        </w:rPr>
        <w:t>The following table provides certain condensed information relating to our pension benefits and postretirement benefits for the periods presented (dollars in millions):</w:t>
      </w:r>
    </w:p>
    <w:p>
      <w:pPr>
        <w:spacing w:after="0" w:line="200" w:lineRule="exact"/>
        <w:rPr>
          <w:sz w:val="20"/>
          <w:szCs w:val="20"/>
          <w:color w:val="auto"/>
        </w:rPr>
      </w:pPr>
    </w:p>
    <w:p>
      <w:pPr>
        <w:ind w:left="6360"/>
        <w:spacing w:after="0"/>
        <w:rPr>
          <w:sz w:val="20"/>
          <w:szCs w:val="20"/>
          <w:color w:val="auto"/>
        </w:rPr>
      </w:pPr>
      <w:r>
        <w:rPr>
          <w:rFonts w:ascii="Arial" w:cs="Arial" w:eastAsia="Arial" w:hAnsi="Arial"/>
          <w:sz w:val="22"/>
          <w:szCs w:val="22"/>
          <w:color w:val="auto"/>
        </w:rPr>
        <w:t>Year Ended December 31,</w:t>
      </w:r>
    </w:p>
    <w:p>
      <w:pPr>
        <w:sectPr>
          <w:pgSz w:w="11900" w:h="16838" w:orient="portrait"/>
          <w:cols w:equalWidth="0" w:num="1">
            <w:col w:w="11380"/>
          </w:cols>
          <w:pgMar w:left="240" w:top="348" w:right="279" w:bottom="0" w:gutter="0" w:footer="0" w:header="0"/>
        </w:sectPr>
      </w:pPr>
    </w:p>
    <w:bookmarkStart w:id="86" w:name="page87"/>
    <w:bookmarkEnd w:id="86"/>
    <w:tbl>
      <w:tblPr>
        <w:tblLayout w:type="fixed"/>
        <w:tblInd w:w="280" w:type="dxa"/>
        <w:tblCellMar>
          <w:top w:w="0" w:type="dxa"/>
          <w:left w:w="0" w:type="dxa"/>
          <w:bottom w:w="0" w:type="dxa"/>
          <w:right w:w="0" w:type="dxa"/>
        </w:tblCellMar>
      </w:tblPr>
      <w:tr>
        <w:trPr>
          <w:trHeight w:val="275"/>
        </w:trPr>
        <w:tc>
          <w:tcPr>
            <w:tcW w:w="4640" w:type="dxa"/>
            <w:vAlign w:val="bottom"/>
          </w:tcPr>
          <w:p>
            <w:pPr>
              <w:spacing w:after="0"/>
              <w:rPr>
                <w:sz w:val="23"/>
                <w:szCs w:val="23"/>
                <w:color w:val="auto"/>
              </w:rPr>
            </w:pPr>
          </w:p>
        </w:tc>
        <w:tc>
          <w:tcPr>
            <w:tcW w:w="2480" w:type="dxa"/>
            <w:vAlign w:val="bottom"/>
            <w:gridSpan w:val="3"/>
          </w:tcPr>
          <w:p>
            <w:pPr>
              <w:jc w:val="right"/>
              <w:ind w:right="912"/>
              <w:spacing w:after="0"/>
              <w:rPr>
                <w:sz w:val="20"/>
                <w:szCs w:val="20"/>
                <w:color w:val="auto"/>
              </w:rPr>
            </w:pPr>
            <w:r>
              <w:rPr>
                <w:rFonts w:ascii="Arial" w:cs="Arial" w:eastAsia="Arial" w:hAnsi="Arial"/>
                <w:sz w:val="22"/>
                <w:szCs w:val="22"/>
                <w:color w:val="auto"/>
              </w:rPr>
              <w:t>2003</w:t>
            </w:r>
          </w:p>
        </w:tc>
        <w:tc>
          <w:tcPr>
            <w:tcW w:w="200" w:type="dxa"/>
            <w:vAlign w:val="bottom"/>
          </w:tcPr>
          <w:p>
            <w:pPr>
              <w:spacing w:after="0"/>
              <w:rPr>
                <w:sz w:val="23"/>
                <w:szCs w:val="23"/>
                <w:color w:val="auto"/>
              </w:rPr>
            </w:pPr>
          </w:p>
        </w:tc>
        <w:tc>
          <w:tcPr>
            <w:tcW w:w="2460" w:type="dxa"/>
            <w:vAlign w:val="bottom"/>
            <w:gridSpan w:val="3"/>
          </w:tcPr>
          <w:p>
            <w:pPr>
              <w:jc w:val="right"/>
              <w:ind w:right="912"/>
              <w:spacing w:after="0"/>
              <w:rPr>
                <w:sz w:val="20"/>
                <w:szCs w:val="20"/>
                <w:color w:val="auto"/>
              </w:rPr>
            </w:pPr>
            <w:r>
              <w:rPr>
                <w:rFonts w:ascii="Arial" w:cs="Arial" w:eastAsia="Arial" w:hAnsi="Arial"/>
                <w:sz w:val="22"/>
                <w:szCs w:val="22"/>
                <w:color w:val="auto"/>
              </w:rPr>
              <w:t>2002</w:t>
            </w:r>
          </w:p>
        </w:tc>
        <w:tc>
          <w:tcPr>
            <w:tcW w:w="180" w:type="dxa"/>
            <w:vAlign w:val="bottom"/>
          </w:tcPr>
          <w:p>
            <w:pPr>
              <w:spacing w:after="0"/>
              <w:rPr>
                <w:sz w:val="23"/>
                <w:szCs w:val="23"/>
                <w:color w:val="auto"/>
              </w:rPr>
            </w:pPr>
          </w:p>
        </w:tc>
      </w:tr>
      <w:tr>
        <w:trPr>
          <w:trHeight w:val="98"/>
        </w:trPr>
        <w:tc>
          <w:tcPr>
            <w:tcW w:w="46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323"/>
        </w:trPr>
        <w:tc>
          <w:tcPr>
            <w:tcW w:w="464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22"/>
                <w:szCs w:val="22"/>
                <w:color w:val="auto"/>
              </w:rPr>
              <w:t>Pension</w:t>
            </w:r>
          </w:p>
        </w:tc>
        <w:tc>
          <w:tcPr>
            <w:tcW w:w="1480" w:type="dxa"/>
            <w:vAlign w:val="bottom"/>
            <w:gridSpan w:val="2"/>
          </w:tcPr>
          <w:p>
            <w:pPr>
              <w:jc w:val="right"/>
              <w:ind w:right="200"/>
              <w:spacing w:after="0"/>
              <w:rPr>
                <w:sz w:val="20"/>
                <w:szCs w:val="20"/>
                <w:color w:val="auto"/>
              </w:rPr>
            </w:pPr>
            <w:r>
              <w:rPr>
                <w:rFonts w:ascii="Arial" w:cs="Arial" w:eastAsia="Arial" w:hAnsi="Arial"/>
                <w:sz w:val="22"/>
                <w:szCs w:val="22"/>
                <w:color w:val="auto"/>
                <w:w w:val="88"/>
              </w:rPr>
              <w:t>Postretirement</w:t>
            </w:r>
          </w:p>
        </w:tc>
        <w:tc>
          <w:tcPr>
            <w:tcW w:w="1200" w:type="dxa"/>
            <w:vAlign w:val="bottom"/>
            <w:gridSpan w:val="2"/>
          </w:tcPr>
          <w:p>
            <w:pPr>
              <w:jc w:val="right"/>
              <w:ind w:right="360"/>
              <w:spacing w:after="0"/>
              <w:rPr>
                <w:sz w:val="20"/>
                <w:szCs w:val="20"/>
                <w:color w:val="auto"/>
              </w:rPr>
            </w:pPr>
            <w:r>
              <w:rPr>
                <w:rFonts w:ascii="Arial" w:cs="Arial" w:eastAsia="Arial" w:hAnsi="Arial"/>
                <w:sz w:val="22"/>
                <w:szCs w:val="22"/>
                <w:color w:val="auto"/>
              </w:rPr>
              <w:t>Pension</w:t>
            </w:r>
          </w:p>
        </w:tc>
        <w:tc>
          <w:tcPr>
            <w:tcW w:w="1440" w:type="dxa"/>
            <w:vAlign w:val="bottom"/>
            <w:gridSpan w:val="2"/>
          </w:tcPr>
          <w:p>
            <w:pPr>
              <w:jc w:val="right"/>
              <w:ind w:right="180"/>
              <w:spacing w:after="0"/>
              <w:rPr>
                <w:sz w:val="20"/>
                <w:szCs w:val="20"/>
                <w:color w:val="auto"/>
              </w:rPr>
            </w:pPr>
            <w:r>
              <w:rPr>
                <w:rFonts w:ascii="Arial" w:cs="Arial" w:eastAsia="Arial" w:hAnsi="Arial"/>
                <w:sz w:val="22"/>
                <w:szCs w:val="22"/>
                <w:color w:val="auto"/>
                <w:w w:val="86"/>
              </w:rPr>
              <w:t>Postretirement</w:t>
            </w:r>
          </w:p>
        </w:tc>
      </w:tr>
      <w:tr>
        <w:trPr>
          <w:trHeight w:val="275"/>
        </w:trPr>
        <w:tc>
          <w:tcPr>
            <w:tcW w:w="4640" w:type="dxa"/>
            <w:vAlign w:val="bottom"/>
          </w:tcPr>
          <w:p>
            <w:pPr>
              <w:spacing w:after="0"/>
              <w:rPr>
                <w:sz w:val="23"/>
                <w:szCs w:val="23"/>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22"/>
                <w:szCs w:val="22"/>
                <w:color w:val="auto"/>
              </w:rPr>
              <w:t>Benefits</w:t>
            </w:r>
          </w:p>
        </w:tc>
        <w:tc>
          <w:tcPr>
            <w:tcW w:w="1480" w:type="dxa"/>
            <w:vAlign w:val="bottom"/>
            <w:gridSpan w:val="2"/>
          </w:tcPr>
          <w:p>
            <w:pPr>
              <w:jc w:val="right"/>
              <w:ind w:right="480"/>
              <w:spacing w:after="0"/>
              <w:rPr>
                <w:sz w:val="20"/>
                <w:szCs w:val="20"/>
                <w:color w:val="auto"/>
              </w:rPr>
            </w:pPr>
            <w:r>
              <w:rPr>
                <w:rFonts w:ascii="Arial" w:cs="Arial" w:eastAsia="Arial" w:hAnsi="Arial"/>
                <w:sz w:val="22"/>
                <w:szCs w:val="22"/>
                <w:color w:val="auto"/>
              </w:rPr>
              <w:t>Benefits</w:t>
            </w:r>
          </w:p>
        </w:tc>
        <w:tc>
          <w:tcPr>
            <w:tcW w:w="1200" w:type="dxa"/>
            <w:vAlign w:val="bottom"/>
            <w:gridSpan w:val="2"/>
          </w:tcPr>
          <w:p>
            <w:pPr>
              <w:jc w:val="right"/>
              <w:ind w:right="340"/>
              <w:spacing w:after="0"/>
              <w:rPr>
                <w:sz w:val="20"/>
                <w:szCs w:val="20"/>
                <w:color w:val="auto"/>
              </w:rPr>
            </w:pPr>
            <w:r>
              <w:rPr>
                <w:rFonts w:ascii="Arial" w:cs="Arial" w:eastAsia="Arial" w:hAnsi="Arial"/>
                <w:sz w:val="22"/>
                <w:szCs w:val="22"/>
                <w:color w:val="auto"/>
              </w:rPr>
              <w:t>Benefits</w:t>
            </w:r>
          </w:p>
        </w:tc>
        <w:tc>
          <w:tcPr>
            <w:tcW w:w="1440" w:type="dxa"/>
            <w:vAlign w:val="bottom"/>
            <w:gridSpan w:val="2"/>
          </w:tcPr>
          <w:p>
            <w:pPr>
              <w:jc w:val="right"/>
              <w:ind w:right="440"/>
              <w:spacing w:after="0"/>
              <w:rPr>
                <w:sz w:val="20"/>
                <w:szCs w:val="20"/>
                <w:color w:val="auto"/>
              </w:rPr>
            </w:pPr>
            <w:r>
              <w:rPr>
                <w:rFonts w:ascii="Arial" w:cs="Arial" w:eastAsia="Arial" w:hAnsi="Arial"/>
                <w:sz w:val="22"/>
                <w:szCs w:val="22"/>
                <w:color w:val="auto"/>
              </w:rPr>
              <w:t>Benefits</w:t>
            </w:r>
          </w:p>
        </w:tc>
      </w:tr>
      <w:tr>
        <w:trPr>
          <w:trHeight w:val="98"/>
        </w:trPr>
        <w:tc>
          <w:tcPr>
            <w:tcW w:w="464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566"/>
        </w:trPr>
        <w:tc>
          <w:tcPr>
            <w:tcW w:w="4640" w:type="dxa"/>
            <w:vAlign w:val="bottom"/>
          </w:tcPr>
          <w:p>
            <w:pPr>
              <w:spacing w:after="0"/>
              <w:rPr>
                <w:sz w:val="20"/>
                <w:szCs w:val="20"/>
                <w:color w:val="auto"/>
              </w:rPr>
            </w:pPr>
            <w:r>
              <w:rPr>
                <w:rFonts w:ascii="Arial" w:cs="Arial" w:eastAsia="Arial" w:hAnsi="Arial"/>
                <w:sz w:val="22"/>
                <w:szCs w:val="22"/>
                <w:color w:val="auto"/>
              </w:rPr>
              <w:t>Net periodic benefit cost</w:t>
            </w:r>
          </w:p>
        </w:tc>
        <w:tc>
          <w:tcPr>
            <w:tcW w:w="1200" w:type="dxa"/>
            <w:vAlign w:val="bottom"/>
            <w:gridSpan w:val="2"/>
          </w:tcPr>
          <w:p>
            <w:pPr>
              <w:jc w:val="right"/>
              <w:ind w:right="200"/>
              <w:spacing w:after="0"/>
              <w:rPr>
                <w:sz w:val="20"/>
                <w:szCs w:val="20"/>
                <w:color w:val="auto"/>
              </w:rPr>
            </w:pPr>
            <w:r>
              <w:rPr>
                <w:rFonts w:ascii="Arial" w:cs="Arial" w:eastAsia="Arial" w:hAnsi="Arial"/>
                <w:sz w:val="22"/>
                <w:szCs w:val="22"/>
                <w:color w:val="auto"/>
              </w:rPr>
              <w:t>$15</w:t>
            </w:r>
          </w:p>
        </w:tc>
        <w:tc>
          <w:tcPr>
            <w:tcW w:w="1280" w:type="dxa"/>
            <w:vAlign w:val="bottom"/>
          </w:tcPr>
          <w:p>
            <w:pPr>
              <w:jc w:val="right"/>
              <w:spacing w:after="0"/>
              <w:rPr>
                <w:sz w:val="20"/>
                <w:szCs w:val="20"/>
                <w:color w:val="auto"/>
              </w:rPr>
            </w:pPr>
            <w:r>
              <w:rPr>
                <w:rFonts w:ascii="Arial" w:cs="Arial" w:eastAsia="Arial" w:hAnsi="Arial"/>
                <w:sz w:val="22"/>
                <w:szCs w:val="22"/>
                <w:color w:val="auto"/>
              </w:rPr>
              <w:t>$19</w:t>
            </w:r>
          </w:p>
        </w:tc>
        <w:tc>
          <w:tcPr>
            <w:tcW w:w="20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22"/>
                <w:szCs w:val="22"/>
                <w:color w:val="auto"/>
              </w:rPr>
              <w:t>$3</w:t>
            </w:r>
          </w:p>
        </w:tc>
        <w:tc>
          <w:tcPr>
            <w:tcW w:w="1260" w:type="dxa"/>
            <w:vAlign w:val="bottom"/>
          </w:tcPr>
          <w:p>
            <w:pPr>
              <w:jc w:val="right"/>
              <w:spacing w:after="0"/>
              <w:rPr>
                <w:sz w:val="20"/>
                <w:szCs w:val="20"/>
                <w:color w:val="auto"/>
              </w:rPr>
            </w:pPr>
            <w:r>
              <w:rPr>
                <w:rFonts w:ascii="Arial" w:cs="Arial" w:eastAsia="Arial" w:hAnsi="Arial"/>
                <w:sz w:val="22"/>
                <w:szCs w:val="22"/>
                <w:color w:val="auto"/>
              </w:rPr>
              <w:t>$10</w:t>
            </w:r>
          </w:p>
        </w:tc>
        <w:tc>
          <w:tcPr>
            <w:tcW w:w="180" w:type="dxa"/>
            <w:vAlign w:val="bottom"/>
          </w:tcPr>
          <w:p>
            <w:pPr>
              <w:spacing w:after="0"/>
              <w:rPr>
                <w:sz w:val="24"/>
                <w:szCs w:val="24"/>
                <w:color w:val="auto"/>
              </w:rPr>
            </w:pPr>
          </w:p>
        </w:tc>
      </w:tr>
      <w:tr>
        <w:trPr>
          <w:trHeight w:val="243"/>
        </w:trPr>
        <w:tc>
          <w:tcPr>
            <w:tcW w:w="4640" w:type="dxa"/>
            <w:vAlign w:val="bottom"/>
          </w:tcPr>
          <w:p>
            <w:pPr>
              <w:spacing w:after="0" w:line="243" w:lineRule="exact"/>
              <w:rPr>
                <w:sz w:val="20"/>
                <w:szCs w:val="20"/>
                <w:color w:val="auto"/>
              </w:rPr>
            </w:pPr>
            <w:r>
              <w:rPr>
                <w:rFonts w:ascii="Arial" w:cs="Arial" w:eastAsia="Arial" w:hAnsi="Arial"/>
                <w:sz w:val="22"/>
                <w:szCs w:val="22"/>
                <w:color w:val="auto"/>
              </w:rPr>
              <w:t>Benefit obligation</w:t>
            </w:r>
          </w:p>
        </w:tc>
        <w:tc>
          <w:tcPr>
            <w:tcW w:w="120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234</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200</w:t>
            </w:r>
          </w:p>
        </w:tc>
        <w:tc>
          <w:tcPr>
            <w:tcW w:w="200" w:type="dxa"/>
            <w:vAlign w:val="bottom"/>
          </w:tcPr>
          <w:p>
            <w:pPr>
              <w:spacing w:after="0"/>
              <w:rPr>
                <w:sz w:val="21"/>
                <w:szCs w:val="21"/>
                <w:color w:val="auto"/>
              </w:rPr>
            </w:pPr>
          </w:p>
        </w:tc>
        <w:tc>
          <w:tcPr>
            <w:tcW w:w="120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350</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154</w:t>
            </w:r>
          </w:p>
        </w:tc>
        <w:tc>
          <w:tcPr>
            <w:tcW w:w="180" w:type="dxa"/>
            <w:vAlign w:val="bottom"/>
          </w:tcPr>
          <w:p>
            <w:pPr>
              <w:spacing w:after="0"/>
              <w:rPr>
                <w:sz w:val="21"/>
                <w:szCs w:val="21"/>
                <w:color w:val="auto"/>
              </w:rPr>
            </w:pPr>
          </w:p>
        </w:tc>
      </w:tr>
      <w:tr>
        <w:trPr>
          <w:trHeight w:val="243"/>
        </w:trPr>
        <w:tc>
          <w:tcPr>
            <w:tcW w:w="4640" w:type="dxa"/>
            <w:vAlign w:val="bottom"/>
          </w:tcPr>
          <w:p>
            <w:pPr>
              <w:spacing w:after="0" w:line="243" w:lineRule="exact"/>
              <w:rPr>
                <w:sz w:val="20"/>
                <w:szCs w:val="20"/>
                <w:color w:val="auto"/>
              </w:rPr>
            </w:pPr>
            <w:r>
              <w:rPr>
                <w:rFonts w:ascii="Arial" w:cs="Arial" w:eastAsia="Arial" w:hAnsi="Arial"/>
                <w:sz w:val="22"/>
                <w:szCs w:val="22"/>
                <w:color w:val="auto"/>
              </w:rPr>
              <w:t>Fair value of plan assets</w:t>
            </w:r>
          </w:p>
        </w:tc>
        <w:tc>
          <w:tcPr>
            <w:tcW w:w="120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69</w:t>
            </w: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72</w:t>
            </w: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c>
          <w:tcPr>
            <w:tcW w:w="180" w:type="dxa"/>
            <w:vAlign w:val="bottom"/>
          </w:tcPr>
          <w:p>
            <w:pPr>
              <w:spacing w:after="0"/>
              <w:rPr>
                <w:sz w:val="21"/>
                <w:szCs w:val="21"/>
                <w:color w:val="auto"/>
              </w:rPr>
            </w:pPr>
          </w:p>
        </w:tc>
      </w:tr>
      <w:tr>
        <w:trPr>
          <w:trHeight w:val="243"/>
        </w:trPr>
        <w:tc>
          <w:tcPr>
            <w:tcW w:w="4640" w:type="dxa"/>
            <w:vAlign w:val="bottom"/>
          </w:tcPr>
          <w:p>
            <w:pPr>
              <w:spacing w:after="0" w:line="243" w:lineRule="exact"/>
              <w:rPr>
                <w:sz w:val="20"/>
                <w:szCs w:val="20"/>
                <w:color w:val="auto"/>
              </w:rPr>
            </w:pPr>
            <w:r>
              <w:rPr>
                <w:rFonts w:ascii="Arial" w:cs="Arial" w:eastAsia="Arial" w:hAnsi="Arial"/>
                <w:sz w:val="22"/>
                <w:szCs w:val="22"/>
                <w:color w:val="auto"/>
                <w:w w:val="94"/>
              </w:rPr>
              <w:t>Plan funded status and recorded benefit obligation</w:t>
            </w:r>
          </w:p>
        </w:tc>
        <w:tc>
          <w:tcPr>
            <w:tcW w:w="12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(166)</w:t>
            </w:r>
          </w:p>
        </w:tc>
        <w:tc>
          <w:tcPr>
            <w:tcW w:w="148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(195)</w:t>
            </w: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(277)</w:t>
            </w:r>
          </w:p>
        </w:tc>
        <w:tc>
          <w:tcPr>
            <w:tcW w:w="14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(176)</w:t>
            </w:r>
          </w:p>
        </w:tc>
      </w:tr>
      <w:tr>
        <w:trPr>
          <w:trHeight w:val="243"/>
        </w:trPr>
        <w:tc>
          <w:tcPr>
            <w:tcW w:w="4640" w:type="dxa"/>
            <w:vAlign w:val="bottom"/>
          </w:tcPr>
          <w:p>
            <w:pPr>
              <w:spacing w:after="0" w:line="243" w:lineRule="exact"/>
              <w:rPr>
                <w:sz w:val="20"/>
                <w:szCs w:val="20"/>
                <w:color w:val="auto"/>
              </w:rPr>
            </w:pPr>
            <w:r>
              <w:rPr>
                <w:rFonts w:ascii="Arial" w:cs="Arial" w:eastAsia="Arial" w:hAnsi="Arial"/>
                <w:sz w:val="22"/>
                <w:szCs w:val="22"/>
                <w:color w:val="auto"/>
              </w:rPr>
              <w:t>Discount rate</w:t>
            </w:r>
          </w:p>
        </w:tc>
        <w:tc>
          <w:tcPr>
            <w:tcW w:w="120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6.00%</w:t>
            </w:r>
          </w:p>
        </w:tc>
        <w:tc>
          <w:tcPr>
            <w:tcW w:w="14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6.25%</w:t>
            </w:r>
          </w:p>
        </w:tc>
        <w:tc>
          <w:tcPr>
            <w:tcW w:w="120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6.50%</w:t>
            </w:r>
          </w:p>
        </w:tc>
        <w:tc>
          <w:tcPr>
            <w:tcW w:w="14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6.75%</w:t>
            </w:r>
          </w:p>
        </w:tc>
      </w:tr>
      <w:tr>
        <w:trPr>
          <w:trHeight w:val="275"/>
        </w:trPr>
        <w:tc>
          <w:tcPr>
            <w:tcW w:w="4640" w:type="dxa"/>
            <w:vAlign w:val="bottom"/>
          </w:tcPr>
          <w:p>
            <w:pPr>
              <w:spacing w:after="0"/>
              <w:rPr>
                <w:sz w:val="20"/>
                <w:szCs w:val="20"/>
                <w:color w:val="auto"/>
              </w:rPr>
            </w:pPr>
            <w:r>
              <w:rPr>
                <w:rFonts w:ascii="Arial" w:cs="Arial" w:eastAsia="Arial" w:hAnsi="Arial"/>
                <w:sz w:val="22"/>
                <w:szCs w:val="22"/>
                <w:color w:val="auto"/>
              </w:rPr>
              <w:t>Expected return on plan assets</w:t>
            </w: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7.00%</w:t>
            </w:r>
          </w:p>
        </w:tc>
        <w:tc>
          <w:tcPr>
            <w:tcW w:w="1480" w:type="dxa"/>
            <w:vAlign w:val="bottom"/>
            <w:gridSpan w:val="2"/>
          </w:tcPr>
          <w:p>
            <w:pPr>
              <w:jc w:val="right"/>
              <w:ind w:right="200"/>
              <w:spacing w:after="0"/>
              <w:rPr>
                <w:sz w:val="20"/>
                <w:szCs w:val="20"/>
                <w:color w:val="auto"/>
              </w:rPr>
            </w:pPr>
            <w:r>
              <w:rPr>
                <w:rFonts w:ascii="Arial" w:cs="Arial" w:eastAsia="Arial" w:hAnsi="Arial"/>
                <w:sz w:val="22"/>
                <w:szCs w:val="22"/>
                <w:color w:val="auto"/>
              </w:rPr>
              <w:t>N/A</w:t>
            </w:r>
          </w:p>
        </w:tc>
        <w:tc>
          <w:tcPr>
            <w:tcW w:w="1200" w:type="dxa"/>
            <w:vAlign w:val="bottom"/>
            <w:gridSpan w:val="2"/>
          </w:tcPr>
          <w:p>
            <w:pPr>
              <w:jc w:val="right"/>
              <w:ind w:right="20"/>
              <w:spacing w:after="0"/>
              <w:rPr>
                <w:sz w:val="20"/>
                <w:szCs w:val="20"/>
                <w:color w:val="auto"/>
              </w:rPr>
            </w:pPr>
            <w:r>
              <w:rPr>
                <w:rFonts w:ascii="Arial" w:cs="Arial" w:eastAsia="Arial" w:hAnsi="Arial"/>
                <w:sz w:val="22"/>
                <w:szCs w:val="22"/>
                <w:color w:val="auto"/>
              </w:rPr>
              <w:t>7.00%</w:t>
            </w:r>
          </w:p>
        </w:tc>
        <w:tc>
          <w:tcPr>
            <w:tcW w:w="1440" w:type="dxa"/>
            <w:vAlign w:val="bottom"/>
            <w:gridSpan w:val="2"/>
          </w:tcPr>
          <w:p>
            <w:pPr>
              <w:jc w:val="right"/>
              <w:spacing w:after="0"/>
              <w:rPr>
                <w:sz w:val="20"/>
                <w:szCs w:val="20"/>
                <w:color w:val="auto"/>
              </w:rPr>
            </w:pPr>
            <w:r>
              <w:rPr>
                <w:rFonts w:ascii="Arial" w:cs="Arial" w:eastAsia="Arial" w:hAnsi="Arial"/>
                <w:sz w:val="22"/>
                <w:szCs w:val="22"/>
                <w:color w:val="auto"/>
              </w:rPr>
              <w:t>5.00%</w:t>
            </w:r>
          </w:p>
        </w:tc>
      </w:tr>
    </w:tbl>
    <w:p>
      <w:pPr>
        <w:spacing w:after="0" w:line="212" w:lineRule="exact"/>
        <w:rPr>
          <w:sz w:val="20"/>
          <w:szCs w:val="20"/>
          <w:color w:val="auto"/>
        </w:rPr>
      </w:pPr>
    </w:p>
    <w:p>
      <w:pPr>
        <w:ind w:left="460" w:right="80"/>
        <w:spacing w:after="0" w:line="238" w:lineRule="auto"/>
        <w:rPr>
          <w:sz w:val="20"/>
          <w:szCs w:val="20"/>
          <w:color w:val="auto"/>
        </w:rPr>
      </w:pPr>
      <w:r>
        <w:rPr>
          <w:rFonts w:ascii="Arial" w:cs="Arial" w:eastAsia="Arial" w:hAnsi="Arial"/>
          <w:sz w:val="22"/>
          <w:szCs w:val="22"/>
          <w:color w:val="auto"/>
        </w:rPr>
        <w:t>We also sponsor various retirement-investment plans that allow eligible employees to contribute a portion of their compensation through payroll deductions in accordance with specified guidelines. We match a percentage of the employees’ contributions up to certain limits. Expense related to these plans amounted to $85 million, $28 million and $18 million for the years ended December 31, 2003, 2002 and 2001, respectively.</w:t>
      </w:r>
    </w:p>
    <w:p>
      <w:pPr>
        <w:spacing w:after="0" w:line="212"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STOCKHOLDERS’ EQUITY</w:t>
      </w:r>
    </w:p>
    <w:p>
      <w:pPr>
        <w:spacing w:after="0" w:line="233"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22"/>
          <w:szCs w:val="22"/>
          <w:i w:val="1"/>
          <w:iCs w:val="1"/>
          <w:color w:val="auto"/>
        </w:rPr>
        <w:t>Preferred Stock</w:t>
      </w:r>
    </w:p>
    <w:p>
      <w:pPr>
        <w:spacing w:after="0" w:line="8" w:lineRule="exact"/>
        <w:rPr>
          <w:rFonts w:ascii="Arial" w:cs="Arial" w:eastAsia="Arial" w:hAnsi="Arial"/>
          <w:sz w:val="22"/>
          <w:szCs w:val="22"/>
          <w:color w:val="auto"/>
        </w:rPr>
      </w:pPr>
    </w:p>
    <w:p>
      <w:pPr>
        <w:jc w:val="both"/>
        <w:ind w:left="460" w:right="220"/>
        <w:spacing w:after="0" w:line="287" w:lineRule="auto"/>
        <w:rPr>
          <w:rFonts w:ascii="Arial" w:cs="Arial" w:eastAsia="Arial" w:hAnsi="Arial"/>
          <w:sz w:val="22"/>
          <w:szCs w:val="22"/>
          <w:color w:val="auto"/>
        </w:rPr>
      </w:pPr>
      <w:r>
        <w:rPr>
          <w:rFonts w:ascii="Arial" w:cs="Arial" w:eastAsia="Arial" w:hAnsi="Arial"/>
          <w:sz w:val="19"/>
          <w:szCs w:val="19"/>
          <w:color w:val="auto"/>
        </w:rPr>
        <w:t>We are authorized to issue, in one or more series, up to a maximum of 20 million shares of preferred stock. We can issue the shares with such designations, preferences, qualifications, privileges, limitations, restrictions, options, conversion rights and other special or related rights as our board of directors shall from time to time fix by resolution.</w:t>
      </w:r>
    </w:p>
    <w:p>
      <w:pPr>
        <w:spacing w:after="0" w:line="170" w:lineRule="exact"/>
        <w:rPr>
          <w:rFonts w:ascii="Arial" w:cs="Arial" w:eastAsia="Arial" w:hAnsi="Arial"/>
          <w:sz w:val="22"/>
          <w:szCs w:val="22"/>
          <w:color w:val="auto"/>
        </w:rPr>
      </w:pPr>
    </w:p>
    <w:p>
      <w:pPr>
        <w:ind w:left="460"/>
        <w:spacing w:after="0" w:line="238" w:lineRule="auto"/>
        <w:rPr>
          <w:rFonts w:ascii="Arial" w:cs="Arial" w:eastAsia="Arial" w:hAnsi="Arial"/>
          <w:sz w:val="22"/>
          <w:szCs w:val="22"/>
          <w:color w:val="auto"/>
        </w:rPr>
      </w:pPr>
      <w:r>
        <w:rPr>
          <w:rFonts w:ascii="Arial" w:cs="Arial" w:eastAsia="Arial" w:hAnsi="Arial"/>
          <w:sz w:val="22"/>
          <w:szCs w:val="22"/>
          <w:color w:val="auto"/>
        </w:rPr>
        <w:t>Our Series B Preferred Stock had a 5.25% pay-in-kind annual dividend. Dividends were paid quarterly through the issuance of additional shares of our Series B Preferred Stock. In March 2001, we issued approximately 4.2 million shares of our Class A Special common stock to the holder in connection with the holder’s election to convert the remaining $60 million at redemption value of Series B Preferred Stock.</w:t>
      </w:r>
    </w:p>
    <w:p>
      <w:pPr>
        <w:spacing w:after="0" w:line="212"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22"/>
          <w:szCs w:val="22"/>
          <w:i w:val="1"/>
          <w:iCs w:val="1"/>
          <w:color w:val="auto"/>
        </w:rPr>
        <w:t>Common Stock</w:t>
      </w:r>
    </w:p>
    <w:p>
      <w:pPr>
        <w:spacing w:after="0" w:line="8" w:lineRule="exact"/>
        <w:rPr>
          <w:rFonts w:ascii="Arial" w:cs="Arial" w:eastAsia="Arial" w:hAnsi="Arial"/>
          <w:sz w:val="22"/>
          <w:szCs w:val="22"/>
          <w:color w:val="auto"/>
        </w:rPr>
      </w:pPr>
    </w:p>
    <w:p>
      <w:pPr>
        <w:ind w:left="460" w:right="180"/>
        <w:spacing w:after="0" w:line="273" w:lineRule="auto"/>
        <w:rPr>
          <w:rFonts w:ascii="Arial" w:cs="Arial" w:eastAsia="Arial" w:hAnsi="Arial"/>
          <w:sz w:val="22"/>
          <w:szCs w:val="22"/>
          <w:color w:val="auto"/>
        </w:rPr>
      </w:pPr>
      <w:r>
        <w:rPr>
          <w:rFonts w:ascii="Arial" w:cs="Arial" w:eastAsia="Arial" w:hAnsi="Arial"/>
          <w:sz w:val="19"/>
          <w:szCs w:val="19"/>
          <w:color w:val="auto"/>
        </w:rPr>
        <w:t>Our Class A Special common stock is generally nonvoting. Holders of our Class A common stock in the aggregate hold 66 2/3% of the aggregate voting power of our capital stock. The number of votes that each share of our Class A common stock will have at any given time will depend on the number of shares of Class A common stock and Class B common stock then outstanding. Each share of our Class B common stock is entitled to fifteen votes and all shares of our Class B common stock in the aggregate have 33 1/3% of the voting power of all of our common stock. The 33 1/3% aggregate voting power of our Class B common stock will not be diluted by additional issuances of any other class of our common stock. Our Class B common stock is convertible, share for share, into Class A or Class A Special common stock, subject to certain restrictions.</w:t>
      </w:r>
    </w:p>
    <w:p>
      <w:pPr>
        <w:spacing w:after="0" w:line="187"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22"/>
          <w:szCs w:val="22"/>
          <w:i w:val="1"/>
          <w:iCs w:val="1"/>
          <w:color w:val="auto"/>
        </w:rPr>
        <w:t>Treasury Stock</w:t>
      </w:r>
    </w:p>
    <w:p>
      <w:pPr>
        <w:spacing w:after="0" w:line="8" w:lineRule="exact"/>
        <w:rPr>
          <w:rFonts w:ascii="Arial" w:cs="Arial" w:eastAsia="Arial" w:hAnsi="Arial"/>
          <w:sz w:val="22"/>
          <w:szCs w:val="22"/>
          <w:color w:val="auto"/>
        </w:rPr>
      </w:pPr>
    </w:p>
    <w:p>
      <w:pPr>
        <w:ind w:left="460" w:right="40"/>
        <w:spacing w:after="0" w:line="273" w:lineRule="auto"/>
        <w:rPr>
          <w:rFonts w:ascii="Arial" w:cs="Arial" w:eastAsia="Arial" w:hAnsi="Arial"/>
          <w:sz w:val="22"/>
          <w:szCs w:val="22"/>
          <w:color w:val="auto"/>
        </w:rPr>
      </w:pPr>
      <w:r>
        <w:rPr>
          <w:rFonts w:ascii="Arial" w:cs="Arial" w:eastAsia="Arial" w:hAnsi="Arial"/>
          <w:sz w:val="19"/>
          <w:szCs w:val="19"/>
          <w:color w:val="auto"/>
        </w:rPr>
        <w:t>Certain Broadband subsidiaries held AT&amp;T preferred stock convertible into AT&amp;T common stock. Prior to the closing of the Broadband acquisition, these subsidiaries converted the AT&amp;T preferred stock into AT&amp;T common stock. Upon closing of the Broadband acquisition, the shares of Broadband common stock were exchanged for approximately 243.6 million shares of our Class A common stock. We classified these shares, which are held by certain of our subsidiaries, as treasury stock within stockholders’ equity. The shares were valued at $6.391 billion based on the closing share price of our Class A common stock as of the closing date of the Broadband acquisition and will continue to be carried at this amount. The shares are deemed issued but not outstanding and are not included in the computation of Diluted EPS.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right="20"/>
        <w:spacing w:after="0" w:line="279" w:lineRule="auto"/>
        <w:rPr>
          <w:rFonts w:ascii="Arial" w:cs="Arial" w:eastAsia="Arial" w:hAnsi="Arial"/>
          <w:sz w:val="19"/>
          <w:szCs w:val="19"/>
          <w:color w:val="auto"/>
        </w:rPr>
      </w:pPr>
      <w:r>
        <w:rPr>
          <w:rFonts w:ascii="Arial" w:cs="Arial" w:eastAsia="Arial" w:hAnsi="Arial"/>
          <w:sz w:val="19"/>
          <w:szCs w:val="19"/>
          <w:color w:val="auto"/>
        </w:rPr>
        <w:t xml:space="preserve">Prior to the Broadband acquisition, Broadband held approximately 47.3 million shares of our Class A Special common stock that collateralize the related Comcast exchangeable notes (see </w:t>
      </w:r>
      <w:hyperlink w:anchor="page83">
        <w:r>
          <w:rPr>
            <w:rFonts w:ascii="Arial" w:cs="Arial" w:eastAsia="Arial" w:hAnsi="Arial"/>
            <w:sz w:val="19"/>
            <w:szCs w:val="19"/>
            <w:u w:val="single" w:color="auto"/>
            <w:color w:val="0000EE"/>
          </w:rPr>
          <w:t>Note 8</w:t>
        </w:r>
      </w:hyperlink>
      <w:r>
        <w:rPr>
          <w:rFonts w:ascii="Arial" w:cs="Arial" w:eastAsia="Arial" w:hAnsi="Arial"/>
          <w:sz w:val="19"/>
          <w:szCs w:val="19"/>
          <w:color w:val="auto"/>
        </w:rPr>
        <w:t>). Upon closing of the Broadband acquisition, we classified these shares, which are held by our subsidiary, as treasury stock within stockholders’ equity. The shares were valued based on the closing share price of our Class A Special common stock as of the closing date of the Broadband acquisition and will continue to be carried at this amount. The shares are deemed issued but not outstanding and are not included in the computation of Diluted EPS because it is our intent to settle the related Comcast exchangeable notes using cash.</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Board-Authorized Repurchase Programs</w:t>
      </w:r>
    </w:p>
    <w:p>
      <w:pPr>
        <w:spacing w:after="0" w:line="8" w:lineRule="exact"/>
        <w:rPr>
          <w:sz w:val="20"/>
          <w:szCs w:val="20"/>
          <w:color w:val="auto"/>
        </w:rPr>
      </w:pPr>
    </w:p>
    <w:p>
      <w:pPr>
        <w:jc w:val="both"/>
        <w:ind w:left="460" w:right="340"/>
        <w:spacing w:after="0" w:line="234" w:lineRule="auto"/>
        <w:rPr>
          <w:sz w:val="20"/>
          <w:szCs w:val="20"/>
          <w:color w:val="auto"/>
        </w:rPr>
      </w:pPr>
      <w:r>
        <w:rPr>
          <w:rFonts w:ascii="Arial" w:cs="Arial" w:eastAsia="Arial" w:hAnsi="Arial"/>
          <w:sz w:val="22"/>
          <w:szCs w:val="22"/>
          <w:color w:val="auto"/>
        </w:rPr>
        <w:t>In December 2003, our Board of Directors authorized the repurchase of up to $1 billion of our outstanding common equity securities. We expect such repurchases to occur from time to time, in the open market or in private transactions, subject to market conditions.</w:t>
      </w:r>
    </w:p>
    <w:p>
      <w:pPr>
        <w:sectPr>
          <w:pgSz w:w="11900" w:h="16838" w:orient="portrait"/>
          <w:cols w:equalWidth="0" w:num="1">
            <w:col w:w="11420"/>
          </w:cols>
          <w:pgMar w:left="240" w:top="118" w:right="239" w:bottom="0" w:gutter="0" w:footer="0" w:header="0"/>
        </w:sectPr>
      </w:pPr>
    </w:p>
    <w:bookmarkStart w:id="87" w:name="page88"/>
    <w:bookmarkEnd w:id="87"/>
    <w:p>
      <w:pPr>
        <w:spacing w:after="0" w:line="69" w:lineRule="exact"/>
        <w:rPr>
          <w:sz w:val="20"/>
          <w:szCs w:val="20"/>
          <w:color w:val="auto"/>
        </w:rPr>
      </w:pPr>
    </w:p>
    <w:p>
      <w:pPr>
        <w:ind w:left="460" w:right="180"/>
        <w:spacing w:after="0" w:line="251" w:lineRule="auto"/>
        <w:rPr>
          <w:sz w:val="20"/>
          <w:szCs w:val="20"/>
          <w:color w:val="auto"/>
        </w:rPr>
      </w:pPr>
      <w:r>
        <w:rPr>
          <w:rFonts w:ascii="Arial" w:cs="Arial" w:eastAsia="Arial" w:hAnsi="Arial"/>
          <w:sz w:val="22"/>
          <w:szCs w:val="22"/>
          <w:color w:val="auto"/>
        </w:rPr>
        <w:t>As part of a previous Board-authorized repurchase program, we sold Comcast Put Options on shares of our Class A Special common stock that expired unexercised in 2001.</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22"/>
          <w:szCs w:val="22"/>
          <w:color w:val="auto"/>
        </w:rPr>
        <w:t>The following table summarizes our share activity for the three years ended December 31, 2003:</w:t>
      </w:r>
    </w:p>
    <w:p>
      <w:pPr>
        <w:spacing w:after="0" w:line="233" w:lineRule="exact"/>
        <w:rPr>
          <w:sz w:val="20"/>
          <w:szCs w:val="20"/>
          <w:color w:val="auto"/>
        </w:rPr>
      </w:pPr>
    </w:p>
    <w:tbl>
      <w:tblPr>
        <w:tblLayout w:type="fixed"/>
        <w:tblInd w:w="260" w:type="dxa"/>
        <w:tblCellMar>
          <w:top w:w="0" w:type="dxa"/>
          <w:left w:w="0" w:type="dxa"/>
          <w:bottom w:w="0" w:type="dxa"/>
          <w:right w:w="0" w:type="dxa"/>
        </w:tblCellMar>
      </w:tblPr>
      <w:tr>
        <w:trPr>
          <w:trHeight w:val="275"/>
        </w:trPr>
        <w:tc>
          <w:tcPr>
            <w:tcW w:w="49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20" w:type="dxa"/>
            <w:vAlign w:val="bottom"/>
            <w:gridSpan w:val="4"/>
          </w:tcPr>
          <w:p>
            <w:pPr>
              <w:jc w:val="right"/>
              <w:ind w:right="240"/>
              <w:spacing w:after="0"/>
              <w:rPr>
                <w:sz w:val="20"/>
                <w:szCs w:val="20"/>
                <w:color w:val="auto"/>
              </w:rPr>
            </w:pPr>
            <w:r>
              <w:rPr>
                <w:rFonts w:ascii="Arial" w:cs="Arial" w:eastAsia="Arial" w:hAnsi="Arial"/>
                <w:sz w:val="22"/>
                <w:szCs w:val="22"/>
                <w:color w:val="auto"/>
              </w:rPr>
              <w:t>Common Stock</w:t>
            </w: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920" w:type="dxa"/>
            <w:vAlign w:val="bottom"/>
          </w:tcPr>
          <w:p>
            <w:pPr>
              <w:spacing w:after="0"/>
              <w:rPr>
                <w:sz w:val="8"/>
                <w:szCs w:val="8"/>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22"/>
                <w:szCs w:val="22"/>
                <w:color w:val="auto"/>
                <w:w w:val="86"/>
              </w:rPr>
              <w:t>Series B</w:t>
            </w:r>
          </w:p>
        </w:tc>
        <w:tc>
          <w:tcPr>
            <w:tcW w:w="1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4920" w:type="dxa"/>
            <w:vAlign w:val="bottom"/>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1"/>
                <w:szCs w:val="21"/>
                <w:color w:val="auto"/>
              </w:rPr>
            </w:pPr>
          </w:p>
        </w:tc>
        <w:tc>
          <w:tcPr>
            <w:tcW w:w="1080" w:type="dxa"/>
            <w:vAlign w:val="bottom"/>
            <w:gridSpan w:val="2"/>
          </w:tcPr>
          <w:p>
            <w:pPr>
              <w:jc w:val="center"/>
              <w:ind w:right="280"/>
              <w:spacing w:after="0" w:line="243" w:lineRule="exact"/>
              <w:rPr>
                <w:sz w:val="20"/>
                <w:szCs w:val="20"/>
                <w:color w:val="auto"/>
              </w:rPr>
            </w:pPr>
            <w:r>
              <w:rPr>
                <w:rFonts w:ascii="Arial" w:cs="Arial" w:eastAsia="Arial" w:hAnsi="Arial"/>
                <w:sz w:val="22"/>
                <w:szCs w:val="22"/>
                <w:color w:val="auto"/>
                <w:w w:val="87"/>
              </w:rPr>
              <w:t>Preferred</w:t>
            </w: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420"/>
              <w:spacing w:after="0" w:line="243" w:lineRule="exact"/>
              <w:rPr>
                <w:sz w:val="20"/>
                <w:szCs w:val="20"/>
                <w:color w:val="auto"/>
              </w:rPr>
            </w:pPr>
            <w:r>
              <w:rPr>
                <w:rFonts w:ascii="Arial" w:cs="Arial" w:eastAsia="Arial" w:hAnsi="Arial"/>
                <w:sz w:val="22"/>
                <w:szCs w:val="22"/>
                <w:color w:val="auto"/>
              </w:rPr>
              <w:t>Class A</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920" w:type="dxa"/>
            <w:vAlign w:val="bottom"/>
          </w:tcPr>
          <w:p>
            <w:pPr>
              <w:spacing w:after="0"/>
              <w:rPr>
                <w:sz w:val="23"/>
                <w:szCs w:val="2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22"/>
                <w:szCs w:val="22"/>
                <w:color w:val="auto"/>
                <w:w w:val="90"/>
              </w:rPr>
              <w:t>Stock</w:t>
            </w:r>
          </w:p>
        </w:tc>
        <w:tc>
          <w:tcPr>
            <w:tcW w:w="1520" w:type="dxa"/>
            <w:vAlign w:val="bottom"/>
            <w:gridSpan w:val="2"/>
          </w:tcPr>
          <w:p>
            <w:pPr>
              <w:jc w:val="right"/>
              <w:ind w:right="560"/>
              <w:spacing w:after="0"/>
              <w:rPr>
                <w:sz w:val="20"/>
                <w:szCs w:val="20"/>
                <w:color w:val="auto"/>
              </w:rPr>
            </w:pPr>
            <w:r>
              <w:rPr>
                <w:rFonts w:ascii="Arial" w:cs="Arial" w:eastAsia="Arial" w:hAnsi="Arial"/>
                <w:sz w:val="22"/>
                <w:szCs w:val="22"/>
                <w:color w:val="auto"/>
              </w:rPr>
              <w:t>Class A</w:t>
            </w:r>
          </w:p>
        </w:tc>
        <w:tc>
          <w:tcPr>
            <w:tcW w:w="1300" w:type="dxa"/>
            <w:vAlign w:val="bottom"/>
            <w:gridSpan w:val="2"/>
          </w:tcPr>
          <w:p>
            <w:pPr>
              <w:jc w:val="right"/>
              <w:ind w:right="440"/>
              <w:spacing w:after="0"/>
              <w:rPr>
                <w:sz w:val="20"/>
                <w:szCs w:val="20"/>
                <w:color w:val="auto"/>
              </w:rPr>
            </w:pPr>
            <w:r>
              <w:rPr>
                <w:rFonts w:ascii="Arial" w:cs="Arial" w:eastAsia="Arial" w:hAnsi="Arial"/>
                <w:sz w:val="22"/>
                <w:szCs w:val="22"/>
                <w:color w:val="auto"/>
              </w:rPr>
              <w:t>Special</w:t>
            </w:r>
          </w:p>
        </w:tc>
        <w:tc>
          <w:tcPr>
            <w:tcW w:w="14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22"/>
                <w:szCs w:val="22"/>
                <w:color w:val="auto"/>
                <w:w w:val="87"/>
              </w:rPr>
              <w:t>Class B</w:t>
            </w:r>
          </w:p>
        </w:tc>
        <w:tc>
          <w:tcPr>
            <w:tcW w:w="0" w:type="dxa"/>
            <w:vAlign w:val="bottom"/>
          </w:tcPr>
          <w:p>
            <w:pPr>
              <w:spacing w:after="0"/>
              <w:rPr>
                <w:sz w:val="1"/>
                <w:szCs w:val="1"/>
                <w:color w:val="auto"/>
              </w:rPr>
            </w:pPr>
          </w:p>
        </w:tc>
      </w:tr>
      <w:tr>
        <w:trPr>
          <w:trHeight w:val="98"/>
        </w:trPr>
        <w:tc>
          <w:tcPr>
            <w:tcW w:w="49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4920" w:type="dxa"/>
            <w:vAlign w:val="bottom"/>
          </w:tcPr>
          <w:p>
            <w:pPr>
              <w:ind w:left="20"/>
              <w:spacing w:after="0"/>
              <w:rPr>
                <w:sz w:val="20"/>
                <w:szCs w:val="20"/>
                <w:color w:val="auto"/>
              </w:rPr>
            </w:pPr>
            <w:r>
              <w:rPr>
                <w:rFonts w:ascii="Arial" w:cs="Arial" w:eastAsia="Arial" w:hAnsi="Arial"/>
                <w:sz w:val="22"/>
                <w:szCs w:val="22"/>
                <w:color w:val="auto"/>
              </w:rPr>
              <w:t>Balance, January 1, 2001</w:t>
            </w:r>
          </w:p>
        </w:tc>
        <w:tc>
          <w:tcPr>
            <w:tcW w:w="820" w:type="dxa"/>
            <w:vAlign w:val="bottom"/>
          </w:tcPr>
          <w:p>
            <w:pPr>
              <w:jc w:val="right"/>
              <w:spacing w:after="0"/>
              <w:rPr>
                <w:sz w:val="20"/>
                <w:szCs w:val="20"/>
                <w:color w:val="auto"/>
              </w:rPr>
            </w:pPr>
            <w:r>
              <w:rPr>
                <w:rFonts w:ascii="Arial" w:cs="Arial" w:eastAsia="Arial" w:hAnsi="Arial"/>
                <w:sz w:val="22"/>
                <w:szCs w:val="22"/>
                <w:color w:val="auto"/>
              </w:rPr>
              <w:t>59,450</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21,832,250</w:t>
            </w:r>
          </w:p>
        </w:tc>
        <w:tc>
          <w:tcPr>
            <w:tcW w:w="2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22"/>
                <w:szCs w:val="22"/>
                <w:color w:val="auto"/>
                <w:w w:val="86"/>
              </w:rPr>
              <w:t>908,015,192</w:t>
            </w:r>
          </w:p>
        </w:tc>
        <w:tc>
          <w:tcPr>
            <w:tcW w:w="1000" w:type="dxa"/>
            <w:vAlign w:val="bottom"/>
            <w:gridSpan w:val="2"/>
          </w:tcPr>
          <w:p>
            <w:pPr>
              <w:jc w:val="center"/>
              <w:ind w:left="32"/>
              <w:spacing w:after="0"/>
              <w:rPr>
                <w:sz w:val="20"/>
                <w:szCs w:val="20"/>
                <w:color w:val="auto"/>
              </w:rPr>
            </w:pPr>
            <w:r>
              <w:rPr>
                <w:rFonts w:ascii="Arial" w:cs="Arial" w:eastAsia="Arial" w:hAnsi="Arial"/>
                <w:sz w:val="22"/>
                <w:szCs w:val="22"/>
                <w:color w:val="auto"/>
                <w:w w:val="87"/>
              </w:rPr>
              <w:t>9,444,375</w:t>
            </w:r>
          </w:p>
        </w:tc>
        <w:tc>
          <w:tcPr>
            <w:tcW w:w="0" w:type="dxa"/>
            <w:vAlign w:val="bottom"/>
          </w:tcPr>
          <w:p>
            <w:pPr>
              <w:spacing w:after="0"/>
              <w:rPr>
                <w:sz w:val="1"/>
                <w:szCs w:val="1"/>
                <w:color w:val="auto"/>
              </w:rPr>
            </w:pPr>
          </w:p>
        </w:tc>
      </w:tr>
      <w:tr>
        <w:trPr>
          <w:trHeight w:val="455"/>
        </w:trPr>
        <w:tc>
          <w:tcPr>
            <w:tcW w:w="4920" w:type="dxa"/>
            <w:vAlign w:val="bottom"/>
          </w:tcPr>
          <w:p>
            <w:pPr>
              <w:ind w:left="20"/>
              <w:spacing w:after="0"/>
              <w:rPr>
                <w:sz w:val="20"/>
                <w:szCs w:val="20"/>
                <w:color w:val="auto"/>
              </w:rPr>
            </w:pPr>
            <w:r>
              <w:rPr>
                <w:rFonts w:ascii="Arial" w:cs="Arial" w:eastAsia="Arial" w:hAnsi="Arial"/>
                <w:sz w:val="22"/>
                <w:szCs w:val="22"/>
                <w:color w:val="auto"/>
              </w:rPr>
              <w:t>Stock compensation plans</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22"/>
                <w:szCs w:val="22"/>
                <w:color w:val="auto"/>
              </w:rPr>
              <w:t>(2,828)</w:t>
            </w:r>
          </w:p>
        </w:tc>
        <w:tc>
          <w:tcPr>
            <w:tcW w:w="1300" w:type="dxa"/>
            <w:vAlign w:val="bottom"/>
            <w:gridSpan w:val="2"/>
          </w:tcPr>
          <w:p>
            <w:pPr>
              <w:jc w:val="right"/>
              <w:ind w:right="220"/>
              <w:spacing w:after="0"/>
              <w:rPr>
                <w:sz w:val="20"/>
                <w:szCs w:val="20"/>
                <w:color w:val="auto"/>
              </w:rPr>
            </w:pPr>
            <w:r>
              <w:rPr>
                <w:rFonts w:ascii="Arial" w:cs="Arial" w:eastAsia="Arial" w:hAnsi="Arial"/>
                <w:sz w:val="22"/>
                <w:szCs w:val="22"/>
                <w:color w:val="auto"/>
              </w:rPr>
              <w:t>2,515,538</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line="243" w:lineRule="exact"/>
              <w:rPr>
                <w:sz w:val="20"/>
                <w:szCs w:val="20"/>
                <w:color w:val="auto"/>
              </w:rPr>
            </w:pPr>
            <w:r>
              <w:rPr>
                <w:rFonts w:ascii="Arial" w:cs="Arial" w:eastAsia="Arial" w:hAnsi="Arial"/>
                <w:sz w:val="22"/>
                <w:szCs w:val="22"/>
                <w:color w:val="auto"/>
              </w:rPr>
              <w:t>Retirement of common stock</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(808,000)</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920" w:type="dxa"/>
            <w:vAlign w:val="bottom"/>
          </w:tcPr>
          <w:p>
            <w:pPr>
              <w:ind w:left="20"/>
              <w:spacing w:after="0"/>
              <w:rPr>
                <w:sz w:val="20"/>
                <w:szCs w:val="20"/>
                <w:color w:val="auto"/>
              </w:rPr>
            </w:pPr>
            <w:r>
              <w:rPr>
                <w:rFonts w:ascii="Arial" w:cs="Arial" w:eastAsia="Arial" w:hAnsi="Arial"/>
                <w:sz w:val="22"/>
                <w:szCs w:val="22"/>
                <w:color w:val="auto"/>
              </w:rPr>
              <w:t>Conversion of Series B Preferred</w:t>
            </w:r>
          </w:p>
        </w:tc>
        <w:tc>
          <w:tcPr>
            <w:tcW w:w="1080" w:type="dxa"/>
            <w:vAlign w:val="bottom"/>
            <w:gridSpan w:val="2"/>
          </w:tcPr>
          <w:p>
            <w:pPr>
              <w:jc w:val="right"/>
              <w:ind w:right="200"/>
              <w:spacing w:after="0"/>
              <w:rPr>
                <w:sz w:val="20"/>
                <w:szCs w:val="20"/>
                <w:color w:val="auto"/>
              </w:rPr>
            </w:pPr>
            <w:r>
              <w:rPr>
                <w:rFonts w:ascii="Arial" w:cs="Arial" w:eastAsia="Arial" w:hAnsi="Arial"/>
                <w:sz w:val="22"/>
                <w:szCs w:val="22"/>
                <w:color w:val="auto"/>
              </w:rPr>
              <w:t>(59,450)</w:t>
            </w: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22"/>
                <w:szCs w:val="22"/>
                <w:color w:val="auto"/>
              </w:rPr>
              <w:t>4,208,824</w:t>
            </w: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9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4920" w:type="dxa"/>
            <w:vAlign w:val="bottom"/>
          </w:tcPr>
          <w:p>
            <w:pPr>
              <w:ind w:left="20"/>
              <w:spacing w:after="0"/>
              <w:rPr>
                <w:sz w:val="20"/>
                <w:szCs w:val="20"/>
                <w:color w:val="auto"/>
              </w:rPr>
            </w:pPr>
            <w:r>
              <w:rPr>
                <w:rFonts w:ascii="Arial" w:cs="Arial" w:eastAsia="Arial" w:hAnsi="Arial"/>
                <w:sz w:val="22"/>
                <w:szCs w:val="22"/>
                <w:color w:val="auto"/>
              </w:rPr>
              <w:t>Balance, December 31, 2001</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21,829,422</w:t>
            </w:r>
          </w:p>
        </w:tc>
        <w:tc>
          <w:tcPr>
            <w:tcW w:w="2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22"/>
                <w:szCs w:val="22"/>
                <w:color w:val="auto"/>
                <w:w w:val="86"/>
              </w:rPr>
              <w:t>913,931,554</w:t>
            </w:r>
          </w:p>
        </w:tc>
        <w:tc>
          <w:tcPr>
            <w:tcW w:w="1000" w:type="dxa"/>
            <w:vAlign w:val="bottom"/>
            <w:gridSpan w:val="2"/>
          </w:tcPr>
          <w:p>
            <w:pPr>
              <w:jc w:val="center"/>
              <w:ind w:left="32"/>
              <w:spacing w:after="0"/>
              <w:rPr>
                <w:sz w:val="20"/>
                <w:szCs w:val="20"/>
                <w:color w:val="auto"/>
              </w:rPr>
            </w:pPr>
            <w:r>
              <w:rPr>
                <w:rFonts w:ascii="Arial" w:cs="Arial" w:eastAsia="Arial" w:hAnsi="Arial"/>
                <w:sz w:val="22"/>
                <w:szCs w:val="22"/>
                <w:color w:val="auto"/>
                <w:w w:val="87"/>
              </w:rPr>
              <w:t>9,444,375</w:t>
            </w:r>
          </w:p>
        </w:tc>
        <w:tc>
          <w:tcPr>
            <w:tcW w:w="0" w:type="dxa"/>
            <w:vAlign w:val="bottom"/>
          </w:tcPr>
          <w:p>
            <w:pPr>
              <w:spacing w:after="0"/>
              <w:rPr>
                <w:sz w:val="1"/>
                <w:szCs w:val="1"/>
                <w:color w:val="auto"/>
              </w:rPr>
            </w:pPr>
          </w:p>
        </w:tc>
      </w:tr>
      <w:tr>
        <w:trPr>
          <w:trHeight w:val="455"/>
        </w:trPr>
        <w:tc>
          <w:tcPr>
            <w:tcW w:w="4920" w:type="dxa"/>
            <w:vAlign w:val="bottom"/>
          </w:tcPr>
          <w:p>
            <w:pPr>
              <w:spacing w:after="0"/>
              <w:rPr>
                <w:sz w:val="20"/>
                <w:szCs w:val="20"/>
                <w:color w:val="auto"/>
              </w:rPr>
            </w:pPr>
            <w:r>
              <w:rPr>
                <w:rFonts w:ascii="Arial" w:cs="Arial" w:eastAsia="Arial" w:hAnsi="Arial"/>
                <w:sz w:val="22"/>
                <w:szCs w:val="22"/>
                <w:color w:val="auto"/>
              </w:rPr>
              <w:t>Acquisitions</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w w:val="86"/>
              </w:rPr>
              <w:t>1,577,117,883</w:t>
            </w:r>
          </w:p>
        </w:tc>
        <w:tc>
          <w:tcPr>
            <w:tcW w:w="2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22"/>
                <w:szCs w:val="22"/>
                <w:color w:val="auto"/>
                <w:w w:val="96"/>
              </w:rPr>
              <w:t>14,376,283</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line="243" w:lineRule="exact"/>
              <w:rPr>
                <w:sz w:val="20"/>
                <w:szCs w:val="20"/>
                <w:color w:val="auto"/>
              </w:rPr>
            </w:pPr>
            <w:r>
              <w:rPr>
                <w:rFonts w:ascii="Arial" w:cs="Arial" w:eastAsia="Arial" w:hAnsi="Arial"/>
                <w:sz w:val="22"/>
                <w:szCs w:val="22"/>
                <w:color w:val="auto"/>
              </w:rPr>
              <w:t>Shares classified as treasury stock</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w w:val="94"/>
              </w:rPr>
              <w:t>(243,640,500)</w:t>
            </w:r>
          </w:p>
        </w:tc>
        <w:tc>
          <w:tcPr>
            <w:tcW w:w="130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w w:val="89"/>
              </w:rPr>
              <w:t>(47,289,843)</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line="243" w:lineRule="exact"/>
              <w:rPr>
                <w:sz w:val="20"/>
                <w:szCs w:val="20"/>
                <w:color w:val="auto"/>
              </w:rPr>
            </w:pPr>
            <w:r>
              <w:rPr>
                <w:rFonts w:ascii="Arial" w:cs="Arial" w:eastAsia="Arial" w:hAnsi="Arial"/>
                <w:sz w:val="22"/>
                <w:szCs w:val="22"/>
                <w:color w:val="auto"/>
              </w:rPr>
              <w:t>Stock compensation plans</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line="243" w:lineRule="exact"/>
              <w:rPr>
                <w:sz w:val="20"/>
                <w:szCs w:val="20"/>
                <w:color w:val="auto"/>
              </w:rPr>
            </w:pPr>
            <w:r>
              <w:rPr>
                <w:rFonts w:ascii="Arial" w:cs="Arial" w:eastAsia="Arial" w:hAnsi="Arial"/>
                <w:sz w:val="22"/>
                <w:szCs w:val="22"/>
                <w:color w:val="auto"/>
              </w:rPr>
              <w:t>66,843</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1,861,961</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920" w:type="dxa"/>
            <w:vAlign w:val="bottom"/>
          </w:tcPr>
          <w:p>
            <w:pPr>
              <w:ind w:left="20"/>
              <w:spacing w:after="0"/>
              <w:rPr>
                <w:sz w:val="20"/>
                <w:szCs w:val="20"/>
                <w:color w:val="auto"/>
              </w:rPr>
            </w:pPr>
            <w:r>
              <w:rPr>
                <w:rFonts w:ascii="Arial" w:cs="Arial" w:eastAsia="Arial" w:hAnsi="Arial"/>
                <w:sz w:val="22"/>
                <w:szCs w:val="22"/>
                <w:color w:val="auto"/>
              </w:rPr>
              <w:t>Employee Stock Purchase Plan</w:t>
            </w: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22"/>
                <w:szCs w:val="22"/>
                <w:color w:val="auto"/>
              </w:rPr>
              <w:t>463,635</w:t>
            </w: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9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4920" w:type="dxa"/>
            <w:vAlign w:val="bottom"/>
          </w:tcPr>
          <w:p>
            <w:pPr>
              <w:ind w:left="20"/>
              <w:spacing w:after="0"/>
              <w:rPr>
                <w:sz w:val="20"/>
                <w:szCs w:val="20"/>
                <w:color w:val="auto"/>
              </w:rPr>
            </w:pPr>
            <w:r>
              <w:rPr>
                <w:rFonts w:ascii="Arial" w:cs="Arial" w:eastAsia="Arial" w:hAnsi="Arial"/>
                <w:sz w:val="22"/>
                <w:szCs w:val="22"/>
                <w:color w:val="auto"/>
              </w:rPr>
              <w:t>Balance, December 31, 2002</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w w:val="86"/>
              </w:rPr>
              <w:t>1,355,373,648</w:t>
            </w:r>
          </w:p>
        </w:tc>
        <w:tc>
          <w:tcPr>
            <w:tcW w:w="2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22"/>
                <w:szCs w:val="22"/>
                <w:color w:val="auto"/>
                <w:w w:val="86"/>
              </w:rPr>
              <w:t>883,343,590</w:t>
            </w:r>
          </w:p>
        </w:tc>
        <w:tc>
          <w:tcPr>
            <w:tcW w:w="1000" w:type="dxa"/>
            <w:vAlign w:val="bottom"/>
            <w:gridSpan w:val="2"/>
          </w:tcPr>
          <w:p>
            <w:pPr>
              <w:jc w:val="center"/>
              <w:ind w:left="32"/>
              <w:spacing w:after="0"/>
              <w:rPr>
                <w:sz w:val="20"/>
                <w:szCs w:val="20"/>
                <w:color w:val="auto"/>
              </w:rPr>
            </w:pPr>
            <w:r>
              <w:rPr>
                <w:rFonts w:ascii="Arial" w:cs="Arial" w:eastAsia="Arial" w:hAnsi="Arial"/>
                <w:sz w:val="22"/>
                <w:szCs w:val="22"/>
                <w:color w:val="auto"/>
                <w:w w:val="87"/>
              </w:rPr>
              <w:t>9,444,375</w:t>
            </w:r>
          </w:p>
        </w:tc>
        <w:tc>
          <w:tcPr>
            <w:tcW w:w="0" w:type="dxa"/>
            <w:vAlign w:val="bottom"/>
          </w:tcPr>
          <w:p>
            <w:pPr>
              <w:spacing w:after="0"/>
              <w:rPr>
                <w:sz w:val="1"/>
                <w:szCs w:val="1"/>
                <w:color w:val="auto"/>
              </w:rPr>
            </w:pPr>
          </w:p>
        </w:tc>
      </w:tr>
      <w:tr>
        <w:trPr>
          <w:trHeight w:val="455"/>
        </w:trPr>
        <w:tc>
          <w:tcPr>
            <w:tcW w:w="4920" w:type="dxa"/>
            <w:vAlign w:val="bottom"/>
          </w:tcPr>
          <w:p>
            <w:pPr>
              <w:ind w:left="20"/>
              <w:spacing w:after="0"/>
              <w:rPr>
                <w:sz w:val="20"/>
                <w:szCs w:val="20"/>
                <w:color w:val="auto"/>
              </w:rPr>
            </w:pPr>
            <w:r>
              <w:rPr>
                <w:rFonts w:ascii="Arial" w:cs="Arial" w:eastAsia="Arial" w:hAnsi="Arial"/>
                <w:sz w:val="22"/>
                <w:szCs w:val="22"/>
                <w:color w:val="auto"/>
              </w:rPr>
              <w:t>Stock compensation plans</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1,451,469</w:t>
            </w:r>
          </w:p>
        </w:tc>
        <w:tc>
          <w:tcPr>
            <w:tcW w:w="2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22"/>
                <w:szCs w:val="22"/>
                <w:color w:val="auto"/>
              </w:rPr>
              <w:t>1,807,358</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line="243" w:lineRule="exact"/>
              <w:rPr>
                <w:sz w:val="20"/>
                <w:szCs w:val="20"/>
                <w:color w:val="auto"/>
              </w:rPr>
            </w:pPr>
            <w:r>
              <w:rPr>
                <w:rFonts w:ascii="Arial" w:cs="Arial" w:eastAsia="Arial" w:hAnsi="Arial"/>
                <w:sz w:val="22"/>
                <w:szCs w:val="22"/>
                <w:color w:val="auto"/>
              </w:rPr>
              <w:t>Employee Stock Purchase Plan</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line="243" w:lineRule="exact"/>
              <w:rPr>
                <w:sz w:val="20"/>
                <w:szCs w:val="20"/>
                <w:color w:val="auto"/>
              </w:rPr>
            </w:pPr>
            <w:r>
              <w:rPr>
                <w:rFonts w:ascii="Arial" w:cs="Arial" w:eastAsia="Arial" w:hAnsi="Arial"/>
                <w:sz w:val="22"/>
                <w:szCs w:val="22"/>
                <w:color w:val="auto"/>
              </w:rPr>
              <w:t>695,440</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137,085</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920" w:type="dxa"/>
            <w:vAlign w:val="bottom"/>
          </w:tcPr>
          <w:p>
            <w:pPr>
              <w:ind w:left="20"/>
              <w:spacing w:after="0"/>
              <w:rPr>
                <w:sz w:val="20"/>
                <w:szCs w:val="20"/>
                <w:color w:val="auto"/>
              </w:rPr>
            </w:pPr>
            <w:r>
              <w:rPr>
                <w:rFonts w:ascii="Arial" w:cs="Arial" w:eastAsia="Arial" w:hAnsi="Arial"/>
                <w:sz w:val="22"/>
                <w:szCs w:val="22"/>
                <w:color w:val="auto"/>
              </w:rPr>
              <w:t>Repurchases of common stock</w:t>
            </w: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22"/>
                <w:szCs w:val="22"/>
                <w:color w:val="auto"/>
              </w:rPr>
              <w:t>(845,000)</w:t>
            </w: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9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4920" w:type="dxa"/>
            <w:vAlign w:val="bottom"/>
          </w:tcPr>
          <w:p>
            <w:pPr>
              <w:ind w:left="20"/>
              <w:spacing w:after="0"/>
              <w:rPr>
                <w:sz w:val="20"/>
                <w:szCs w:val="20"/>
                <w:color w:val="auto"/>
              </w:rPr>
            </w:pPr>
            <w:r>
              <w:rPr>
                <w:rFonts w:ascii="Arial" w:cs="Arial" w:eastAsia="Arial" w:hAnsi="Arial"/>
                <w:sz w:val="22"/>
                <w:szCs w:val="22"/>
                <w:color w:val="auto"/>
              </w:rPr>
              <w:t>Balance, December 31, 2003</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w w:val="86"/>
              </w:rPr>
              <w:t>1,357,520,557</w:t>
            </w:r>
          </w:p>
        </w:tc>
        <w:tc>
          <w:tcPr>
            <w:tcW w:w="2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22"/>
                <w:szCs w:val="22"/>
                <w:color w:val="auto"/>
                <w:w w:val="86"/>
              </w:rPr>
              <w:t>884,443,033</w:t>
            </w:r>
          </w:p>
        </w:tc>
        <w:tc>
          <w:tcPr>
            <w:tcW w:w="1000" w:type="dxa"/>
            <w:vAlign w:val="bottom"/>
            <w:gridSpan w:val="2"/>
          </w:tcPr>
          <w:p>
            <w:pPr>
              <w:jc w:val="center"/>
              <w:ind w:left="32"/>
              <w:spacing w:after="0"/>
              <w:rPr>
                <w:sz w:val="20"/>
                <w:szCs w:val="20"/>
                <w:color w:val="auto"/>
              </w:rPr>
            </w:pPr>
            <w:r>
              <w:rPr>
                <w:rFonts w:ascii="Arial" w:cs="Arial" w:eastAsia="Arial" w:hAnsi="Arial"/>
                <w:sz w:val="22"/>
                <w:szCs w:val="22"/>
                <w:color w:val="auto"/>
                <w:w w:val="87"/>
              </w:rPr>
              <w:t>9,444,375</w:t>
            </w: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Stock-Based Compensation Plans</w:t>
      </w:r>
    </w:p>
    <w:p>
      <w:pPr>
        <w:spacing w:after="0" w:line="8" w:lineRule="exact"/>
        <w:rPr>
          <w:sz w:val="20"/>
          <w:szCs w:val="20"/>
          <w:color w:val="auto"/>
        </w:rPr>
      </w:pPr>
    </w:p>
    <w:p>
      <w:pPr>
        <w:jc w:val="both"/>
        <w:ind w:left="460" w:right="520"/>
        <w:spacing w:after="0" w:line="234" w:lineRule="auto"/>
        <w:rPr>
          <w:sz w:val="20"/>
          <w:szCs w:val="20"/>
          <w:color w:val="auto"/>
        </w:rPr>
      </w:pPr>
      <w:r>
        <w:rPr>
          <w:rFonts w:ascii="Arial" w:cs="Arial" w:eastAsia="Arial" w:hAnsi="Arial"/>
          <w:sz w:val="22"/>
          <w:szCs w:val="22"/>
          <w:color w:val="auto"/>
        </w:rPr>
        <w:t>As of December 31, 2003, we and our subsidiaries have several stock-based compensation plans for certain employees, officers, directors and other persons designated by the applicable compensation committees of our and our subsidiaries’ boards of directors. These plans are described below.</w:t>
      </w: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jc w:val="both"/>
        <w:ind w:left="460"/>
        <w:spacing w:after="0" w:line="235" w:lineRule="auto"/>
        <w:rPr>
          <w:sz w:val="20"/>
          <w:szCs w:val="20"/>
          <w:color w:val="auto"/>
        </w:rPr>
      </w:pPr>
      <w:r>
        <w:rPr>
          <w:rFonts w:ascii="Arial" w:cs="Arial" w:eastAsia="Arial" w:hAnsi="Arial"/>
          <w:sz w:val="22"/>
          <w:szCs w:val="22"/>
          <w:i w:val="1"/>
          <w:iCs w:val="1"/>
          <w:color w:val="auto"/>
        </w:rPr>
        <w:t xml:space="preserve">Comcast Option Plans. </w:t>
      </w:r>
      <w:r>
        <w:rPr>
          <w:rFonts w:ascii="Arial" w:cs="Arial" w:eastAsia="Arial" w:hAnsi="Arial"/>
          <w:sz w:val="22"/>
          <w:szCs w:val="22"/>
          <w:color w:val="auto"/>
        </w:rPr>
        <w:t>We maintain stock option plans for certain employees, directors and other persons under which fixed</w:t>
      </w:r>
      <w:r>
        <w:rPr>
          <w:rFonts w:ascii="Arial" w:cs="Arial" w:eastAsia="Arial" w:hAnsi="Arial"/>
          <w:sz w:val="22"/>
          <w:szCs w:val="22"/>
          <w:i w:val="1"/>
          <w:iCs w:val="1"/>
          <w:color w:val="auto"/>
        </w:rPr>
        <w:t xml:space="preserve"> </w:t>
      </w:r>
      <w:r>
        <w:rPr>
          <w:rFonts w:ascii="Arial" w:cs="Arial" w:eastAsia="Arial" w:hAnsi="Arial"/>
          <w:sz w:val="22"/>
          <w:szCs w:val="22"/>
          <w:color w:val="auto"/>
        </w:rPr>
        <w:t>stock options are granted and the option price is generally not less than the fair value of a share of the underlying stock at the date of grant (collectively, the “Comcast Option Plans”). Under the Comcast Option Plans, 204 million shares of our Class A and Class A Special common stock were reserved for issuance upon the exercise of options, including those outstanding as of December 31, 2003. Option terms are generally ten years, with options generally becoming exercisable between two and 9½ years from the date of grant.</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The following table summarizes the activity of the Comcast Option Plans (options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gridSpan w:val="2"/>
          </w:tcPr>
          <w:p>
            <w:pPr>
              <w:jc w:val="right"/>
              <w:ind w:right="672"/>
              <w:spacing w:after="0"/>
              <w:rPr>
                <w:sz w:val="20"/>
                <w:szCs w:val="20"/>
                <w:color w:val="auto"/>
              </w:rPr>
            </w:pPr>
            <w:r>
              <w:rPr>
                <w:rFonts w:ascii="Arial" w:cs="Arial" w:eastAsia="Arial" w:hAnsi="Arial"/>
                <w:sz w:val="22"/>
                <w:szCs w:val="22"/>
                <w:color w:val="auto"/>
                <w:w w:val="89"/>
              </w:rPr>
              <w:t>2003</w:t>
            </w: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80" w:type="dxa"/>
            <w:vAlign w:val="bottom"/>
            <w:gridSpan w:val="2"/>
          </w:tcPr>
          <w:p>
            <w:pPr>
              <w:jc w:val="right"/>
              <w:ind w:right="672"/>
              <w:spacing w:after="0"/>
              <w:rPr>
                <w:sz w:val="20"/>
                <w:szCs w:val="20"/>
                <w:color w:val="auto"/>
              </w:rPr>
            </w:pPr>
            <w:r>
              <w:rPr>
                <w:rFonts w:ascii="Arial" w:cs="Arial" w:eastAsia="Arial" w:hAnsi="Arial"/>
                <w:sz w:val="22"/>
                <w:szCs w:val="22"/>
                <w:color w:val="auto"/>
                <w:w w:val="98"/>
              </w:rPr>
              <w:t>2002</w:t>
            </w: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80" w:type="dxa"/>
            <w:vAlign w:val="bottom"/>
            <w:gridSpan w:val="2"/>
          </w:tcPr>
          <w:p>
            <w:pPr>
              <w:jc w:val="right"/>
              <w:ind w:right="672"/>
              <w:spacing w:after="0"/>
              <w:rPr>
                <w:sz w:val="20"/>
                <w:szCs w:val="20"/>
                <w:color w:val="auto"/>
              </w:rPr>
            </w:pPr>
            <w:r>
              <w:rPr>
                <w:rFonts w:ascii="Arial" w:cs="Arial" w:eastAsia="Arial" w:hAnsi="Arial"/>
                <w:sz w:val="22"/>
                <w:szCs w:val="22"/>
                <w:color w:val="auto"/>
                <w:w w:val="98"/>
              </w:rPr>
              <w:t>2001</w:t>
            </w:r>
          </w:p>
        </w:tc>
        <w:tc>
          <w:tcPr>
            <w:tcW w:w="0" w:type="dxa"/>
            <w:vAlign w:val="bottom"/>
          </w:tcPr>
          <w:p>
            <w:pPr>
              <w:spacing w:after="0"/>
              <w:rPr>
                <w:sz w:val="1"/>
                <w:szCs w:val="1"/>
                <w:color w:val="auto"/>
              </w:rPr>
            </w:pPr>
          </w:p>
        </w:tc>
      </w:tr>
      <w:tr>
        <w:trPr>
          <w:trHeight w:val="98"/>
        </w:trPr>
        <w:tc>
          <w:tcPr>
            <w:tcW w:w="2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2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22"/>
                <w:szCs w:val="22"/>
                <w:color w:val="auto"/>
                <w:w w:val="89"/>
              </w:rPr>
              <w:t>Weighted-</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2"/>
                <w:szCs w:val="22"/>
                <w:color w:val="auto"/>
                <w:w w:val="89"/>
              </w:rPr>
              <w:t>Weighted-</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2"/>
                <w:szCs w:val="22"/>
                <w:color w:val="auto"/>
                <w:w w:val="89"/>
              </w:rPr>
              <w:t>Weighted-</w:t>
            </w:r>
          </w:p>
        </w:tc>
        <w:tc>
          <w:tcPr>
            <w:tcW w:w="0" w:type="dxa"/>
            <w:vAlign w:val="bottom"/>
          </w:tcPr>
          <w:p>
            <w:pPr>
              <w:spacing w:after="0"/>
              <w:rPr>
                <w:sz w:val="1"/>
                <w:szCs w:val="1"/>
                <w:color w:val="auto"/>
              </w:rPr>
            </w:pPr>
          </w:p>
        </w:tc>
      </w:tr>
      <w:tr>
        <w:trPr>
          <w:trHeight w:val="243"/>
        </w:trPr>
        <w:tc>
          <w:tcPr>
            <w:tcW w:w="2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center"/>
              <w:ind w:right="280"/>
              <w:spacing w:after="0" w:line="243" w:lineRule="exact"/>
              <w:rPr>
                <w:sz w:val="20"/>
                <w:szCs w:val="20"/>
                <w:color w:val="auto"/>
              </w:rPr>
            </w:pPr>
            <w:r>
              <w:rPr>
                <w:rFonts w:ascii="Arial" w:cs="Arial" w:eastAsia="Arial" w:hAnsi="Arial"/>
                <w:sz w:val="22"/>
                <w:szCs w:val="22"/>
                <w:color w:val="auto"/>
                <w:w w:val="87"/>
              </w:rPr>
              <w:t>Average</w:t>
            </w: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center"/>
              <w:spacing w:after="0" w:line="243" w:lineRule="exact"/>
              <w:rPr>
                <w:sz w:val="20"/>
                <w:szCs w:val="20"/>
                <w:color w:val="auto"/>
              </w:rPr>
            </w:pPr>
            <w:r>
              <w:rPr>
                <w:rFonts w:ascii="Arial" w:cs="Arial" w:eastAsia="Arial" w:hAnsi="Arial"/>
                <w:sz w:val="22"/>
                <w:szCs w:val="22"/>
                <w:color w:val="auto"/>
                <w:w w:val="87"/>
              </w:rPr>
              <w:t>Average</w:t>
            </w: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center"/>
              <w:spacing w:after="0" w:line="243" w:lineRule="exact"/>
              <w:rPr>
                <w:sz w:val="20"/>
                <w:szCs w:val="20"/>
                <w:color w:val="auto"/>
              </w:rPr>
            </w:pPr>
            <w:r>
              <w:rPr>
                <w:rFonts w:ascii="Arial" w:cs="Arial" w:eastAsia="Arial" w:hAnsi="Arial"/>
                <w:sz w:val="22"/>
                <w:szCs w:val="22"/>
                <w:color w:val="auto"/>
                <w:w w:val="87"/>
              </w:rPr>
              <w:t>Average</w:t>
            </w:r>
          </w:p>
        </w:tc>
        <w:tc>
          <w:tcPr>
            <w:tcW w:w="0" w:type="dxa"/>
            <w:vAlign w:val="bottom"/>
          </w:tcPr>
          <w:p>
            <w:pPr>
              <w:spacing w:after="0"/>
              <w:rPr>
                <w:sz w:val="1"/>
                <w:szCs w:val="1"/>
                <w:color w:val="auto"/>
              </w:rPr>
            </w:pPr>
          </w:p>
        </w:tc>
      </w:tr>
      <w:tr>
        <w:trPr>
          <w:trHeight w:val="243"/>
        </w:trPr>
        <w:tc>
          <w:tcPr>
            <w:tcW w:w="2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center"/>
              <w:ind w:right="260"/>
              <w:spacing w:after="0" w:line="243" w:lineRule="exact"/>
              <w:rPr>
                <w:sz w:val="20"/>
                <w:szCs w:val="20"/>
                <w:color w:val="auto"/>
              </w:rPr>
            </w:pPr>
            <w:r>
              <w:rPr>
                <w:rFonts w:ascii="Arial" w:cs="Arial" w:eastAsia="Arial" w:hAnsi="Arial"/>
                <w:sz w:val="22"/>
                <w:szCs w:val="22"/>
                <w:color w:val="auto"/>
                <w:w w:val="87"/>
              </w:rPr>
              <w:t>Exercise</w:t>
            </w: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center"/>
              <w:spacing w:after="0" w:line="243" w:lineRule="exact"/>
              <w:rPr>
                <w:sz w:val="20"/>
                <w:szCs w:val="20"/>
                <w:color w:val="auto"/>
              </w:rPr>
            </w:pPr>
            <w:r>
              <w:rPr>
                <w:rFonts w:ascii="Arial" w:cs="Arial" w:eastAsia="Arial" w:hAnsi="Arial"/>
                <w:sz w:val="22"/>
                <w:szCs w:val="22"/>
                <w:color w:val="auto"/>
                <w:w w:val="87"/>
              </w:rPr>
              <w:t>Exercise</w:t>
            </w: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center"/>
              <w:spacing w:after="0" w:line="243" w:lineRule="exact"/>
              <w:rPr>
                <w:sz w:val="20"/>
                <w:szCs w:val="20"/>
                <w:color w:val="auto"/>
              </w:rPr>
            </w:pPr>
            <w:r>
              <w:rPr>
                <w:rFonts w:ascii="Arial" w:cs="Arial" w:eastAsia="Arial" w:hAnsi="Arial"/>
                <w:sz w:val="22"/>
                <w:szCs w:val="22"/>
                <w:color w:val="auto"/>
                <w:w w:val="87"/>
              </w:rPr>
              <w:t>Exercise</w:t>
            </w:r>
          </w:p>
        </w:tc>
        <w:tc>
          <w:tcPr>
            <w:tcW w:w="0" w:type="dxa"/>
            <w:vAlign w:val="bottom"/>
          </w:tcPr>
          <w:p>
            <w:pPr>
              <w:spacing w:after="0"/>
              <w:rPr>
                <w:sz w:val="1"/>
                <w:szCs w:val="1"/>
                <w:color w:val="auto"/>
              </w:rPr>
            </w:pPr>
          </w:p>
        </w:tc>
      </w:tr>
      <w:tr>
        <w:trPr>
          <w:trHeight w:val="275"/>
        </w:trPr>
        <w:tc>
          <w:tcPr>
            <w:tcW w:w="2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760" w:type="dxa"/>
            <w:vAlign w:val="bottom"/>
            <w:gridSpan w:val="2"/>
          </w:tcPr>
          <w:p>
            <w:pPr>
              <w:ind w:left="20"/>
              <w:spacing w:after="0"/>
              <w:rPr>
                <w:sz w:val="20"/>
                <w:szCs w:val="20"/>
                <w:color w:val="auto"/>
              </w:rPr>
            </w:pPr>
            <w:r>
              <w:rPr>
                <w:rFonts w:ascii="Arial" w:cs="Arial" w:eastAsia="Arial" w:hAnsi="Arial"/>
                <w:sz w:val="22"/>
                <w:szCs w:val="22"/>
                <w:color w:val="auto"/>
                <w:w w:val="94"/>
              </w:rPr>
              <w:t>Options</w:t>
            </w:r>
          </w:p>
        </w:tc>
        <w:tc>
          <w:tcPr>
            <w:tcW w:w="34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22"/>
                <w:szCs w:val="22"/>
                <w:color w:val="auto"/>
                <w:w w:val="87"/>
              </w:rPr>
              <w:t>Price</w:t>
            </w:r>
          </w:p>
        </w:tc>
        <w:tc>
          <w:tcPr>
            <w:tcW w:w="720" w:type="dxa"/>
            <w:vAlign w:val="bottom"/>
          </w:tcPr>
          <w:p>
            <w:pPr>
              <w:ind w:left="20"/>
              <w:spacing w:after="0"/>
              <w:rPr>
                <w:sz w:val="20"/>
                <w:szCs w:val="20"/>
                <w:color w:val="auto"/>
              </w:rPr>
            </w:pPr>
            <w:r>
              <w:rPr>
                <w:rFonts w:ascii="Arial" w:cs="Arial" w:eastAsia="Arial" w:hAnsi="Arial"/>
                <w:sz w:val="22"/>
                <w:szCs w:val="22"/>
                <w:color w:val="auto"/>
                <w:w w:val="89"/>
              </w:rPr>
              <w:t>Options</w:t>
            </w:r>
          </w:p>
        </w:tc>
        <w:tc>
          <w:tcPr>
            <w:tcW w:w="3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22"/>
                <w:szCs w:val="22"/>
                <w:color w:val="auto"/>
                <w:w w:val="87"/>
              </w:rPr>
              <w:t>Price</w:t>
            </w:r>
          </w:p>
        </w:tc>
        <w:tc>
          <w:tcPr>
            <w:tcW w:w="28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22"/>
                <w:szCs w:val="22"/>
                <w:color w:val="auto"/>
                <w:w w:val="89"/>
              </w:rPr>
              <w:t>Options</w:t>
            </w:r>
          </w:p>
        </w:tc>
        <w:tc>
          <w:tcPr>
            <w:tcW w:w="3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22"/>
                <w:szCs w:val="22"/>
                <w:color w:val="auto"/>
                <w:w w:val="87"/>
              </w:rPr>
              <w:t>Price</w:t>
            </w:r>
          </w:p>
        </w:tc>
        <w:tc>
          <w:tcPr>
            <w:tcW w:w="0" w:type="dxa"/>
            <w:vAlign w:val="bottom"/>
          </w:tcPr>
          <w:p>
            <w:pPr>
              <w:spacing w:after="0"/>
              <w:rPr>
                <w:sz w:val="1"/>
                <w:szCs w:val="1"/>
                <w:color w:val="auto"/>
              </w:rPr>
            </w:pPr>
          </w:p>
        </w:tc>
      </w:tr>
      <w:tr>
        <w:trPr>
          <w:trHeight w:val="98"/>
        </w:trPr>
        <w:tc>
          <w:tcPr>
            <w:tcW w:w="2100" w:type="dxa"/>
            <w:vAlign w:val="bottom"/>
            <w:vMerge w:val="restart"/>
          </w:tcPr>
          <w:p>
            <w:pPr>
              <w:spacing w:after="0"/>
              <w:rPr>
                <w:sz w:val="20"/>
                <w:szCs w:val="20"/>
                <w:color w:val="auto"/>
              </w:rPr>
            </w:pPr>
            <w:r>
              <w:rPr>
                <w:rFonts w:ascii="Arial" w:cs="Arial" w:eastAsia="Arial" w:hAnsi="Arial"/>
                <w:sz w:val="22"/>
                <w:szCs w:val="22"/>
                <w:color w:val="auto"/>
                <w:w w:val="89"/>
              </w:rPr>
              <w:t>Class A Common Stock</w:t>
            </w:r>
          </w:p>
        </w:tc>
        <w:tc>
          <w:tcPr>
            <w:tcW w:w="1540" w:type="dxa"/>
            <w:vAlign w:val="bottom"/>
            <w:vMerge w:val="restart"/>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100" w:type="dxa"/>
            <w:vAlign w:val="bottom"/>
            <w:tcBorders>
              <w:bottom w:val="single" w:sz="8" w:color="auto"/>
            </w:tcBorders>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22"/>
                <w:szCs w:val="22"/>
                <w:color w:val="auto"/>
              </w:rPr>
              <w:t>63,575</w:t>
            </w:r>
          </w:p>
        </w:tc>
        <w:tc>
          <w:tcPr>
            <w:tcW w:w="1500" w:type="dxa"/>
            <w:vAlign w:val="bottom"/>
            <w:gridSpan w:val="3"/>
            <w:vMerge w:val="restart"/>
          </w:tcPr>
          <w:p>
            <w:pPr>
              <w:jc w:val="right"/>
              <w:ind w:right="260"/>
              <w:spacing w:after="0"/>
              <w:rPr>
                <w:sz w:val="20"/>
                <w:szCs w:val="20"/>
                <w:color w:val="auto"/>
              </w:rPr>
            </w:pPr>
            <w:r>
              <w:rPr>
                <w:rFonts w:ascii="Arial" w:cs="Arial" w:eastAsia="Arial" w:hAnsi="Arial"/>
                <w:sz w:val="22"/>
                <w:szCs w:val="22"/>
                <w:color w:val="auto"/>
              </w:rPr>
              <w:t>$43.31</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640" w:type="dxa"/>
            <w:vAlign w:val="bottom"/>
            <w:gridSpan w:val="2"/>
          </w:tcPr>
          <w:p>
            <w:pPr>
              <w:spacing w:after="0"/>
              <w:rPr>
                <w:sz w:val="20"/>
                <w:szCs w:val="20"/>
                <w:color w:val="auto"/>
              </w:rPr>
            </w:pPr>
            <w:r>
              <w:rPr>
                <w:rFonts w:ascii="Arial" w:cs="Arial" w:eastAsia="Arial" w:hAnsi="Arial"/>
                <w:sz w:val="22"/>
                <w:szCs w:val="22"/>
                <w:color w:val="auto"/>
              </w:rPr>
              <w:t>Outstanding at beginning of year</w:t>
            </w:r>
          </w:p>
        </w:tc>
        <w:tc>
          <w:tcPr>
            <w:tcW w:w="760" w:type="dxa"/>
            <w:vAlign w:val="bottom"/>
            <w:gridSpan w:val="2"/>
            <w:vMerge w:val="continue"/>
          </w:tcPr>
          <w:p>
            <w:pPr>
              <w:spacing w:after="0"/>
              <w:rPr>
                <w:sz w:val="23"/>
                <w:szCs w:val="23"/>
                <w:color w:val="auto"/>
              </w:rPr>
            </w:pPr>
          </w:p>
        </w:tc>
        <w:tc>
          <w:tcPr>
            <w:tcW w:w="1500" w:type="dxa"/>
            <w:vAlign w:val="bottom"/>
            <w:gridSpan w:val="3"/>
            <w:vMerge w:val="continue"/>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907" w:orient="portrait"/>
          <w:cols w:equalWidth="0" w:num="1">
            <w:col w:w="11320"/>
          </w:cols>
          <w:pgMar w:left="240" w:top="361" w:right="339" w:bottom="0" w:gutter="0" w:footer="0" w:header="0"/>
        </w:sectPr>
      </w:pPr>
    </w:p>
    <w:bookmarkStart w:id="88" w:name="page89"/>
    <w:bookmarkEnd w:id="88"/>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40" w:type="dxa"/>
            <w:vAlign w:val="bottom"/>
            <w:gridSpan w:val="2"/>
          </w:tcPr>
          <w:p>
            <w:pPr>
              <w:spacing w:after="0"/>
              <w:rPr>
                <w:sz w:val="20"/>
                <w:szCs w:val="20"/>
                <w:color w:val="auto"/>
              </w:rPr>
            </w:pPr>
            <w:r>
              <w:rPr>
                <w:rFonts w:ascii="Arial" w:cs="Arial" w:eastAsia="Arial" w:hAnsi="Arial"/>
                <w:sz w:val="22"/>
                <w:szCs w:val="22"/>
                <w:color w:val="auto"/>
              </w:rPr>
              <w:t>Options exchanged for</w:t>
            </w: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outstanding Broadband</w:t>
            </w: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options in connection with</w:t>
            </w: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acquisition</w:t>
            </w: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61,094</w:t>
            </w:r>
          </w:p>
        </w:tc>
        <w:tc>
          <w:tcPr>
            <w:tcW w:w="380" w:type="dxa"/>
            <w:vAlign w:val="bottom"/>
          </w:tcPr>
          <w:p>
            <w:pPr>
              <w:spacing w:after="0"/>
              <w:rPr>
                <w:sz w:val="21"/>
                <w:szCs w:val="21"/>
                <w:color w:val="auto"/>
              </w:rPr>
            </w:pPr>
          </w:p>
        </w:tc>
        <w:tc>
          <w:tcPr>
            <w:tcW w:w="118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$44.17</w:t>
            </w: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Granted</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25,206</w:t>
            </w:r>
          </w:p>
        </w:tc>
        <w:tc>
          <w:tcPr>
            <w:tcW w:w="380" w:type="dxa"/>
            <w:vAlign w:val="bottom"/>
          </w:tcPr>
          <w:p>
            <w:pPr>
              <w:spacing w:after="0"/>
              <w:rPr>
                <w:sz w:val="21"/>
                <w:szCs w:val="21"/>
                <w:color w:val="auto"/>
              </w:rPr>
            </w:pPr>
          </w:p>
        </w:tc>
        <w:tc>
          <w:tcPr>
            <w:tcW w:w="1160" w:type="dxa"/>
            <w:vAlign w:val="bottom"/>
          </w:tcPr>
          <w:p>
            <w:pPr>
              <w:jc w:val="right"/>
              <w:ind w:right="152"/>
              <w:spacing w:after="0" w:line="243" w:lineRule="exact"/>
              <w:rPr>
                <w:sz w:val="20"/>
                <w:szCs w:val="20"/>
                <w:color w:val="auto"/>
              </w:rPr>
            </w:pPr>
            <w:r>
              <w:rPr>
                <w:rFonts w:ascii="Arial" w:cs="Arial" w:eastAsia="Arial" w:hAnsi="Arial"/>
                <w:sz w:val="22"/>
                <w:szCs w:val="22"/>
                <w:color w:val="auto"/>
              </w:rPr>
              <w:t>28.84</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2,762</w:t>
            </w:r>
          </w:p>
        </w:tc>
        <w:tc>
          <w:tcPr>
            <w:tcW w:w="380" w:type="dxa"/>
            <w:vAlign w:val="bottom"/>
          </w:tcPr>
          <w:p>
            <w:pPr>
              <w:spacing w:after="0"/>
              <w:rPr>
                <w:sz w:val="21"/>
                <w:szCs w:val="21"/>
                <w:color w:val="auto"/>
              </w:rPr>
            </w:pPr>
          </w:p>
        </w:tc>
        <w:tc>
          <w:tcPr>
            <w:tcW w:w="118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24.85</w:t>
            </w: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Exercised</w:t>
            </w:r>
          </w:p>
        </w:tc>
        <w:tc>
          <w:tcPr>
            <w:tcW w:w="1100" w:type="dxa"/>
            <w:vAlign w:val="bottom"/>
            <w:gridSpan w:val="2"/>
          </w:tcPr>
          <w:p>
            <w:pPr>
              <w:jc w:val="right"/>
              <w:ind w:right="320"/>
              <w:spacing w:after="0" w:line="243" w:lineRule="exact"/>
              <w:rPr>
                <w:sz w:val="20"/>
                <w:szCs w:val="20"/>
                <w:color w:val="auto"/>
              </w:rPr>
            </w:pPr>
            <w:r>
              <w:rPr>
                <w:rFonts w:ascii="Arial" w:cs="Arial" w:eastAsia="Arial" w:hAnsi="Arial"/>
                <w:sz w:val="22"/>
                <w:szCs w:val="22"/>
                <w:color w:val="auto"/>
              </w:rPr>
              <w:t>(1,264)</w:t>
            </w:r>
          </w:p>
        </w:tc>
        <w:tc>
          <w:tcPr>
            <w:tcW w:w="1160" w:type="dxa"/>
            <w:vAlign w:val="bottom"/>
          </w:tcPr>
          <w:p>
            <w:pPr>
              <w:jc w:val="right"/>
              <w:ind w:right="152"/>
              <w:spacing w:after="0" w:line="243" w:lineRule="exact"/>
              <w:rPr>
                <w:sz w:val="20"/>
                <w:szCs w:val="20"/>
                <w:color w:val="auto"/>
              </w:rPr>
            </w:pPr>
            <w:r>
              <w:rPr>
                <w:rFonts w:ascii="Arial" w:cs="Arial" w:eastAsia="Arial" w:hAnsi="Arial"/>
                <w:sz w:val="22"/>
                <w:szCs w:val="22"/>
                <w:color w:val="auto"/>
              </w:rPr>
              <w:t>20.44</w:t>
            </w:r>
          </w:p>
        </w:tc>
        <w:tc>
          <w:tcPr>
            <w:tcW w:w="11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(43)</w:t>
            </w:r>
          </w:p>
        </w:tc>
        <w:tc>
          <w:tcPr>
            <w:tcW w:w="118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17.79</w:t>
            </w: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640" w:type="dxa"/>
            <w:vAlign w:val="bottom"/>
            <w:gridSpan w:val="2"/>
          </w:tcPr>
          <w:p>
            <w:pPr>
              <w:spacing w:after="0"/>
              <w:rPr>
                <w:sz w:val="20"/>
                <w:szCs w:val="20"/>
                <w:color w:val="auto"/>
              </w:rPr>
            </w:pPr>
            <w:r>
              <w:rPr>
                <w:rFonts w:ascii="Arial" w:cs="Arial" w:eastAsia="Arial" w:hAnsi="Arial"/>
                <w:sz w:val="22"/>
                <w:szCs w:val="22"/>
                <w:color w:val="auto"/>
              </w:rPr>
              <w:t>Canceled</w:t>
            </w:r>
          </w:p>
        </w:tc>
        <w:tc>
          <w:tcPr>
            <w:tcW w:w="1100" w:type="dxa"/>
            <w:vAlign w:val="bottom"/>
            <w:gridSpan w:val="2"/>
          </w:tcPr>
          <w:p>
            <w:pPr>
              <w:jc w:val="right"/>
              <w:ind w:right="320"/>
              <w:spacing w:after="0"/>
              <w:rPr>
                <w:sz w:val="20"/>
                <w:szCs w:val="20"/>
                <w:color w:val="auto"/>
              </w:rPr>
            </w:pPr>
            <w:r>
              <w:rPr>
                <w:rFonts w:ascii="Arial" w:cs="Arial" w:eastAsia="Arial" w:hAnsi="Arial"/>
                <w:sz w:val="22"/>
                <w:szCs w:val="22"/>
                <w:color w:val="auto"/>
              </w:rPr>
              <w:t>(2,366)</w:t>
            </w:r>
          </w:p>
        </w:tc>
        <w:tc>
          <w:tcPr>
            <w:tcW w:w="1160" w:type="dxa"/>
            <w:vAlign w:val="bottom"/>
          </w:tcPr>
          <w:p>
            <w:pPr>
              <w:jc w:val="right"/>
              <w:ind w:right="152"/>
              <w:spacing w:after="0"/>
              <w:rPr>
                <w:sz w:val="20"/>
                <w:szCs w:val="20"/>
                <w:color w:val="auto"/>
              </w:rPr>
            </w:pPr>
            <w:r>
              <w:rPr>
                <w:rFonts w:ascii="Arial" w:cs="Arial" w:eastAsia="Arial" w:hAnsi="Arial"/>
                <w:sz w:val="22"/>
                <w:szCs w:val="22"/>
                <w:color w:val="auto"/>
              </w:rPr>
              <w:t>47.14</w:t>
            </w:r>
          </w:p>
        </w:tc>
        <w:tc>
          <w:tcPr>
            <w:tcW w:w="1100" w:type="dxa"/>
            <w:vAlign w:val="bottom"/>
            <w:gridSpan w:val="2"/>
          </w:tcPr>
          <w:p>
            <w:pPr>
              <w:jc w:val="right"/>
              <w:ind w:right="300"/>
              <w:spacing w:after="0"/>
              <w:rPr>
                <w:sz w:val="20"/>
                <w:szCs w:val="20"/>
                <w:color w:val="auto"/>
              </w:rPr>
            </w:pPr>
            <w:r>
              <w:rPr>
                <w:rFonts w:ascii="Arial" w:cs="Arial" w:eastAsia="Arial" w:hAnsi="Arial"/>
                <w:sz w:val="22"/>
                <w:szCs w:val="22"/>
                <w:color w:val="auto"/>
              </w:rPr>
              <w:t>(238)</w:t>
            </w:r>
          </w:p>
        </w:tc>
        <w:tc>
          <w:tcPr>
            <w:tcW w:w="1180" w:type="dxa"/>
            <w:vAlign w:val="bottom"/>
          </w:tcPr>
          <w:p>
            <w:pPr>
              <w:jc w:val="right"/>
              <w:ind w:right="172"/>
              <w:spacing w:after="0"/>
              <w:rPr>
                <w:sz w:val="20"/>
                <w:szCs w:val="20"/>
                <w:color w:val="auto"/>
              </w:rPr>
            </w:pPr>
            <w:r>
              <w:rPr>
                <w:rFonts w:ascii="Arial" w:cs="Arial" w:eastAsia="Arial" w:hAnsi="Arial"/>
                <w:sz w:val="22"/>
                <w:szCs w:val="22"/>
                <w:color w:val="auto"/>
              </w:rPr>
              <w:t>55.19</w:t>
            </w: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640" w:type="dxa"/>
            <w:vAlign w:val="bottom"/>
            <w:gridSpan w:val="2"/>
          </w:tcPr>
          <w:p>
            <w:pPr>
              <w:spacing w:after="0"/>
              <w:rPr>
                <w:sz w:val="20"/>
                <w:szCs w:val="20"/>
                <w:color w:val="auto"/>
              </w:rPr>
            </w:pPr>
            <w:r>
              <w:rPr>
                <w:rFonts w:ascii="Arial" w:cs="Arial" w:eastAsia="Arial" w:hAnsi="Arial"/>
                <w:sz w:val="22"/>
                <w:szCs w:val="22"/>
                <w:color w:val="auto"/>
              </w:rPr>
              <w:t>Outstanding at end of year</w:t>
            </w:r>
          </w:p>
        </w:tc>
        <w:tc>
          <w:tcPr>
            <w:tcW w:w="720" w:type="dxa"/>
            <w:vAlign w:val="bottom"/>
          </w:tcPr>
          <w:p>
            <w:pPr>
              <w:jc w:val="right"/>
              <w:spacing w:after="0"/>
              <w:rPr>
                <w:sz w:val="20"/>
                <w:szCs w:val="20"/>
                <w:color w:val="auto"/>
              </w:rPr>
            </w:pPr>
            <w:r>
              <w:rPr>
                <w:rFonts w:ascii="Arial" w:cs="Arial" w:eastAsia="Arial" w:hAnsi="Arial"/>
                <w:sz w:val="22"/>
                <w:szCs w:val="22"/>
                <w:color w:val="auto"/>
              </w:rPr>
              <w:t>85,151</w:t>
            </w:r>
          </w:p>
        </w:tc>
        <w:tc>
          <w:tcPr>
            <w:tcW w:w="380" w:type="dxa"/>
            <w:vAlign w:val="bottom"/>
          </w:tcPr>
          <w:p>
            <w:pPr>
              <w:spacing w:after="0"/>
              <w:rPr>
                <w:sz w:val="24"/>
                <w:szCs w:val="24"/>
                <w:color w:val="auto"/>
              </w:rPr>
            </w:pPr>
          </w:p>
        </w:tc>
        <w:tc>
          <w:tcPr>
            <w:tcW w:w="1160" w:type="dxa"/>
            <w:vAlign w:val="bottom"/>
          </w:tcPr>
          <w:p>
            <w:pPr>
              <w:jc w:val="right"/>
              <w:ind w:right="152"/>
              <w:spacing w:after="0"/>
              <w:rPr>
                <w:sz w:val="20"/>
                <w:szCs w:val="20"/>
                <w:color w:val="auto"/>
              </w:rPr>
            </w:pPr>
            <w:r>
              <w:rPr>
                <w:rFonts w:ascii="Arial" w:cs="Arial" w:eastAsia="Arial" w:hAnsi="Arial"/>
                <w:sz w:val="22"/>
                <w:szCs w:val="22"/>
                <w:color w:val="auto"/>
              </w:rPr>
              <w:t>39.28</w:t>
            </w:r>
          </w:p>
        </w:tc>
        <w:tc>
          <w:tcPr>
            <w:tcW w:w="720" w:type="dxa"/>
            <w:vAlign w:val="bottom"/>
          </w:tcPr>
          <w:p>
            <w:pPr>
              <w:jc w:val="right"/>
              <w:spacing w:after="0"/>
              <w:rPr>
                <w:sz w:val="20"/>
                <w:szCs w:val="20"/>
                <w:color w:val="auto"/>
              </w:rPr>
            </w:pPr>
            <w:r>
              <w:rPr>
                <w:rFonts w:ascii="Arial" w:cs="Arial" w:eastAsia="Arial" w:hAnsi="Arial"/>
                <w:sz w:val="22"/>
                <w:szCs w:val="22"/>
                <w:color w:val="auto"/>
              </w:rPr>
              <w:t>63,575</w:t>
            </w:r>
          </w:p>
        </w:tc>
        <w:tc>
          <w:tcPr>
            <w:tcW w:w="380" w:type="dxa"/>
            <w:vAlign w:val="bottom"/>
          </w:tcPr>
          <w:p>
            <w:pPr>
              <w:spacing w:after="0"/>
              <w:rPr>
                <w:sz w:val="24"/>
                <w:szCs w:val="24"/>
                <w:color w:val="auto"/>
              </w:rPr>
            </w:pPr>
          </w:p>
        </w:tc>
        <w:tc>
          <w:tcPr>
            <w:tcW w:w="1180" w:type="dxa"/>
            <w:vAlign w:val="bottom"/>
          </w:tcPr>
          <w:p>
            <w:pPr>
              <w:jc w:val="right"/>
              <w:ind w:right="172"/>
              <w:spacing w:after="0"/>
              <w:rPr>
                <w:sz w:val="20"/>
                <w:szCs w:val="20"/>
                <w:color w:val="auto"/>
              </w:rPr>
            </w:pPr>
            <w:r>
              <w:rPr>
                <w:rFonts w:ascii="Arial" w:cs="Arial" w:eastAsia="Arial" w:hAnsi="Arial"/>
                <w:sz w:val="22"/>
                <w:szCs w:val="22"/>
                <w:color w:val="auto"/>
              </w:rPr>
              <w:t>43.31</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3640" w:type="dxa"/>
            <w:vAlign w:val="bottom"/>
            <w:gridSpan w:val="2"/>
          </w:tcPr>
          <w:p>
            <w:pPr>
              <w:spacing w:after="0"/>
              <w:rPr>
                <w:sz w:val="20"/>
                <w:szCs w:val="20"/>
                <w:color w:val="auto"/>
              </w:rPr>
            </w:pPr>
            <w:r>
              <w:rPr>
                <w:rFonts w:ascii="Arial" w:cs="Arial" w:eastAsia="Arial" w:hAnsi="Arial"/>
                <w:sz w:val="22"/>
                <w:szCs w:val="22"/>
                <w:color w:val="auto"/>
              </w:rPr>
              <w:t>Exercisable at end of year</w:t>
            </w:r>
          </w:p>
        </w:tc>
        <w:tc>
          <w:tcPr>
            <w:tcW w:w="720" w:type="dxa"/>
            <w:vAlign w:val="bottom"/>
          </w:tcPr>
          <w:p>
            <w:pPr>
              <w:jc w:val="right"/>
              <w:spacing w:after="0"/>
              <w:rPr>
                <w:sz w:val="20"/>
                <w:szCs w:val="20"/>
                <w:color w:val="auto"/>
              </w:rPr>
            </w:pPr>
            <w:r>
              <w:rPr>
                <w:rFonts w:ascii="Arial" w:cs="Arial" w:eastAsia="Arial" w:hAnsi="Arial"/>
                <w:sz w:val="22"/>
                <w:szCs w:val="22"/>
                <w:color w:val="auto"/>
              </w:rPr>
              <w:t>56,110</w:t>
            </w:r>
          </w:p>
        </w:tc>
        <w:tc>
          <w:tcPr>
            <w:tcW w:w="380" w:type="dxa"/>
            <w:vAlign w:val="bottom"/>
          </w:tcPr>
          <w:p>
            <w:pPr>
              <w:spacing w:after="0"/>
              <w:rPr>
                <w:sz w:val="24"/>
                <w:szCs w:val="24"/>
                <w:color w:val="auto"/>
              </w:rPr>
            </w:pPr>
          </w:p>
        </w:tc>
        <w:tc>
          <w:tcPr>
            <w:tcW w:w="1160" w:type="dxa"/>
            <w:vAlign w:val="bottom"/>
          </w:tcPr>
          <w:p>
            <w:pPr>
              <w:jc w:val="right"/>
              <w:ind w:right="152"/>
              <w:spacing w:after="0"/>
              <w:rPr>
                <w:sz w:val="20"/>
                <w:szCs w:val="20"/>
                <w:color w:val="auto"/>
              </w:rPr>
            </w:pPr>
            <w:r>
              <w:rPr>
                <w:rFonts w:ascii="Arial" w:cs="Arial" w:eastAsia="Arial" w:hAnsi="Arial"/>
                <w:sz w:val="22"/>
                <w:szCs w:val="22"/>
                <w:color w:val="auto"/>
              </w:rPr>
              <w:t>44.90</w:t>
            </w:r>
          </w:p>
        </w:tc>
        <w:tc>
          <w:tcPr>
            <w:tcW w:w="720" w:type="dxa"/>
            <w:vAlign w:val="bottom"/>
          </w:tcPr>
          <w:p>
            <w:pPr>
              <w:jc w:val="right"/>
              <w:spacing w:after="0"/>
              <w:rPr>
                <w:sz w:val="20"/>
                <w:szCs w:val="20"/>
                <w:color w:val="auto"/>
              </w:rPr>
            </w:pPr>
            <w:r>
              <w:rPr>
                <w:rFonts w:ascii="Arial" w:cs="Arial" w:eastAsia="Arial" w:hAnsi="Arial"/>
                <w:sz w:val="22"/>
                <w:szCs w:val="22"/>
                <w:color w:val="auto"/>
              </w:rPr>
              <w:t>58,135</w:t>
            </w:r>
          </w:p>
        </w:tc>
        <w:tc>
          <w:tcPr>
            <w:tcW w:w="380" w:type="dxa"/>
            <w:vAlign w:val="bottom"/>
          </w:tcPr>
          <w:p>
            <w:pPr>
              <w:spacing w:after="0"/>
              <w:rPr>
                <w:sz w:val="24"/>
                <w:szCs w:val="24"/>
                <w:color w:val="auto"/>
              </w:rPr>
            </w:pPr>
          </w:p>
        </w:tc>
        <w:tc>
          <w:tcPr>
            <w:tcW w:w="1180" w:type="dxa"/>
            <w:vAlign w:val="bottom"/>
          </w:tcPr>
          <w:p>
            <w:pPr>
              <w:jc w:val="right"/>
              <w:ind w:right="172"/>
              <w:spacing w:after="0"/>
              <w:rPr>
                <w:sz w:val="20"/>
                <w:szCs w:val="20"/>
                <w:color w:val="auto"/>
              </w:rPr>
            </w:pPr>
            <w:r>
              <w:rPr>
                <w:rFonts w:ascii="Arial" w:cs="Arial" w:eastAsia="Arial" w:hAnsi="Arial"/>
                <w:sz w:val="22"/>
                <w:szCs w:val="22"/>
                <w:color w:val="auto"/>
              </w:rPr>
              <w:t>44.91</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640" w:type="dxa"/>
            <w:vAlign w:val="bottom"/>
            <w:gridSpan w:val="2"/>
            <w:vMerge w:val="restart"/>
          </w:tcPr>
          <w:p>
            <w:pPr>
              <w:spacing w:after="0"/>
              <w:rPr>
                <w:sz w:val="20"/>
                <w:szCs w:val="20"/>
                <w:color w:val="auto"/>
              </w:rPr>
            </w:pPr>
            <w:r>
              <w:rPr>
                <w:rFonts w:ascii="Arial" w:cs="Arial" w:eastAsia="Arial" w:hAnsi="Arial"/>
                <w:sz w:val="22"/>
                <w:szCs w:val="22"/>
                <w:color w:val="auto"/>
              </w:rPr>
              <w:t>Class A Special Common Stock</w:t>
            </w:r>
          </w:p>
        </w:tc>
        <w:tc>
          <w:tcPr>
            <w:tcW w:w="7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0"/>
        </w:trPr>
        <w:tc>
          <w:tcPr>
            <w:tcW w:w="3640" w:type="dxa"/>
            <w:vAlign w:val="bottom"/>
            <w:gridSpan w:val="2"/>
            <w:vMerge w:val="continue"/>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Arial" w:cs="Arial" w:eastAsia="Arial" w:hAnsi="Arial"/>
                <w:sz w:val="22"/>
                <w:szCs w:val="22"/>
                <w:color w:val="auto"/>
              </w:rPr>
              <w:t>64,890</w:t>
            </w:r>
          </w:p>
        </w:tc>
        <w:tc>
          <w:tcPr>
            <w:tcW w:w="380" w:type="dxa"/>
            <w:vAlign w:val="bottom"/>
          </w:tcPr>
          <w:p>
            <w:pPr>
              <w:spacing w:after="0"/>
              <w:rPr>
                <w:sz w:val="24"/>
                <w:szCs w:val="24"/>
                <w:color w:val="auto"/>
              </w:rPr>
            </w:pPr>
          </w:p>
        </w:tc>
        <w:tc>
          <w:tcPr>
            <w:tcW w:w="1160" w:type="dxa"/>
            <w:vAlign w:val="bottom"/>
            <w:vMerge w:val="restart"/>
          </w:tcPr>
          <w:p>
            <w:pPr>
              <w:jc w:val="right"/>
              <w:ind w:right="152"/>
              <w:spacing w:after="0"/>
              <w:rPr>
                <w:sz w:val="20"/>
                <w:szCs w:val="20"/>
                <w:color w:val="auto"/>
              </w:rPr>
            </w:pPr>
            <w:r>
              <w:rPr>
                <w:rFonts w:ascii="Arial" w:cs="Arial" w:eastAsia="Arial" w:hAnsi="Arial"/>
                <w:sz w:val="22"/>
                <w:szCs w:val="22"/>
                <w:color w:val="auto"/>
              </w:rPr>
              <w:t>$28.57</w:t>
            </w:r>
          </w:p>
        </w:tc>
        <w:tc>
          <w:tcPr>
            <w:tcW w:w="720" w:type="dxa"/>
            <w:vAlign w:val="bottom"/>
            <w:vMerge w:val="restart"/>
          </w:tcPr>
          <w:p>
            <w:pPr>
              <w:jc w:val="right"/>
              <w:spacing w:after="0"/>
              <w:rPr>
                <w:sz w:val="20"/>
                <w:szCs w:val="20"/>
                <w:color w:val="auto"/>
              </w:rPr>
            </w:pPr>
            <w:r>
              <w:rPr>
                <w:rFonts w:ascii="Arial" w:cs="Arial" w:eastAsia="Arial" w:hAnsi="Arial"/>
                <w:sz w:val="22"/>
                <w:szCs w:val="22"/>
                <w:color w:val="auto"/>
              </w:rPr>
              <w:t>55,521</w:t>
            </w:r>
          </w:p>
        </w:tc>
        <w:tc>
          <w:tcPr>
            <w:tcW w:w="380" w:type="dxa"/>
            <w:vAlign w:val="bottom"/>
          </w:tcPr>
          <w:p>
            <w:pPr>
              <w:spacing w:after="0"/>
              <w:rPr>
                <w:sz w:val="24"/>
                <w:szCs w:val="24"/>
                <w:color w:val="auto"/>
              </w:rPr>
            </w:pPr>
          </w:p>
        </w:tc>
        <w:tc>
          <w:tcPr>
            <w:tcW w:w="1180" w:type="dxa"/>
            <w:vAlign w:val="bottom"/>
            <w:vMerge w:val="restart"/>
          </w:tcPr>
          <w:p>
            <w:pPr>
              <w:jc w:val="right"/>
              <w:ind w:right="172"/>
              <w:spacing w:after="0"/>
              <w:rPr>
                <w:sz w:val="20"/>
                <w:szCs w:val="20"/>
                <w:color w:val="auto"/>
              </w:rPr>
            </w:pPr>
            <w:r>
              <w:rPr>
                <w:rFonts w:ascii="Arial" w:cs="Arial" w:eastAsia="Arial" w:hAnsi="Arial"/>
                <w:sz w:val="22"/>
                <w:szCs w:val="22"/>
                <w:color w:val="auto"/>
              </w:rPr>
              <w:t>$26.89</w:t>
            </w:r>
          </w:p>
        </w:tc>
        <w:tc>
          <w:tcPr>
            <w:tcW w:w="720" w:type="dxa"/>
            <w:vAlign w:val="bottom"/>
            <w:vMerge w:val="restart"/>
          </w:tcPr>
          <w:p>
            <w:pPr>
              <w:jc w:val="right"/>
              <w:spacing w:after="0"/>
              <w:rPr>
                <w:sz w:val="20"/>
                <w:szCs w:val="20"/>
                <w:color w:val="auto"/>
              </w:rPr>
            </w:pPr>
            <w:r>
              <w:rPr>
                <w:rFonts w:ascii="Arial" w:cs="Arial" w:eastAsia="Arial" w:hAnsi="Arial"/>
                <w:sz w:val="22"/>
                <w:szCs w:val="22"/>
                <w:color w:val="auto"/>
              </w:rPr>
              <w:t>49,618</w:t>
            </w:r>
          </w:p>
        </w:tc>
        <w:tc>
          <w:tcPr>
            <w:tcW w:w="38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22"/>
                <w:szCs w:val="22"/>
                <w:color w:val="auto"/>
              </w:rPr>
              <w:t>$23.69</w:t>
            </w:r>
          </w:p>
        </w:tc>
        <w:tc>
          <w:tcPr>
            <w:tcW w:w="0" w:type="dxa"/>
            <w:vAlign w:val="bottom"/>
          </w:tcPr>
          <w:p>
            <w:pPr>
              <w:spacing w:after="0"/>
              <w:rPr>
                <w:sz w:val="1"/>
                <w:szCs w:val="1"/>
                <w:color w:val="auto"/>
              </w:rPr>
            </w:pPr>
          </w:p>
        </w:tc>
      </w:tr>
      <w:tr>
        <w:trPr>
          <w:trHeight w:val="20"/>
        </w:trPr>
        <w:tc>
          <w:tcPr>
            <w:tcW w:w="2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640" w:type="dxa"/>
            <w:vAlign w:val="bottom"/>
            <w:gridSpan w:val="2"/>
          </w:tcPr>
          <w:p>
            <w:pPr>
              <w:spacing w:after="0" w:line="242" w:lineRule="exact"/>
              <w:rPr>
                <w:sz w:val="20"/>
                <w:szCs w:val="20"/>
                <w:color w:val="auto"/>
              </w:rPr>
            </w:pPr>
            <w:r>
              <w:rPr>
                <w:rFonts w:ascii="Arial" w:cs="Arial" w:eastAsia="Arial" w:hAnsi="Arial"/>
                <w:sz w:val="22"/>
                <w:szCs w:val="22"/>
                <w:color w:val="auto"/>
              </w:rPr>
              <w:t>Outstanding at beginning of year</w:t>
            </w:r>
          </w:p>
        </w:tc>
        <w:tc>
          <w:tcPr>
            <w:tcW w:w="72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Granted</w:t>
            </w: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13,857</w:t>
            </w:r>
          </w:p>
        </w:tc>
        <w:tc>
          <w:tcPr>
            <w:tcW w:w="380" w:type="dxa"/>
            <w:vAlign w:val="bottom"/>
          </w:tcPr>
          <w:p>
            <w:pPr>
              <w:spacing w:after="0"/>
              <w:rPr>
                <w:sz w:val="21"/>
                <w:szCs w:val="21"/>
                <w:color w:val="auto"/>
              </w:rPr>
            </w:pPr>
          </w:p>
        </w:tc>
        <w:tc>
          <w:tcPr>
            <w:tcW w:w="118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32.29</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10,084</w:t>
            </w:r>
          </w:p>
        </w:tc>
        <w:tc>
          <w:tcPr>
            <w:tcW w:w="38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37.52</w:t>
            </w:r>
          </w:p>
        </w:tc>
        <w:tc>
          <w:tcPr>
            <w:tcW w:w="0" w:type="dxa"/>
            <w:vAlign w:val="bottom"/>
          </w:tcPr>
          <w:p>
            <w:pPr>
              <w:spacing w:after="0"/>
              <w:rPr>
                <w:sz w:val="1"/>
                <w:szCs w:val="1"/>
                <w:color w:val="auto"/>
              </w:rPr>
            </w:pPr>
          </w:p>
        </w:tc>
      </w:tr>
      <w:tr>
        <w:trPr>
          <w:trHeight w:val="243"/>
        </w:trPr>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Exercised</w:t>
            </w:r>
          </w:p>
        </w:tc>
        <w:tc>
          <w:tcPr>
            <w:tcW w:w="1100" w:type="dxa"/>
            <w:vAlign w:val="bottom"/>
            <w:gridSpan w:val="2"/>
          </w:tcPr>
          <w:p>
            <w:pPr>
              <w:jc w:val="right"/>
              <w:ind w:right="320"/>
              <w:spacing w:after="0" w:line="243" w:lineRule="exact"/>
              <w:rPr>
                <w:sz w:val="20"/>
                <w:szCs w:val="20"/>
                <w:color w:val="auto"/>
              </w:rPr>
            </w:pPr>
            <w:r>
              <w:rPr>
                <w:rFonts w:ascii="Arial" w:cs="Arial" w:eastAsia="Arial" w:hAnsi="Arial"/>
                <w:sz w:val="22"/>
                <w:szCs w:val="22"/>
                <w:color w:val="auto"/>
              </w:rPr>
              <w:t>(3,176)</w:t>
            </w:r>
          </w:p>
        </w:tc>
        <w:tc>
          <w:tcPr>
            <w:tcW w:w="1160" w:type="dxa"/>
            <w:vAlign w:val="bottom"/>
          </w:tcPr>
          <w:p>
            <w:pPr>
              <w:jc w:val="right"/>
              <w:ind w:right="152"/>
              <w:spacing w:after="0" w:line="243" w:lineRule="exact"/>
              <w:rPr>
                <w:sz w:val="20"/>
                <w:szCs w:val="20"/>
                <w:color w:val="auto"/>
              </w:rPr>
            </w:pPr>
            <w:r>
              <w:rPr>
                <w:rFonts w:ascii="Arial" w:cs="Arial" w:eastAsia="Arial" w:hAnsi="Arial"/>
                <w:sz w:val="22"/>
                <w:szCs w:val="22"/>
                <w:color w:val="auto"/>
              </w:rPr>
              <w:t>8.92</w:t>
            </w:r>
          </w:p>
        </w:tc>
        <w:tc>
          <w:tcPr>
            <w:tcW w:w="11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(2,347)</w:t>
            </w:r>
          </w:p>
        </w:tc>
        <w:tc>
          <w:tcPr>
            <w:tcW w:w="118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8.83</w:t>
            </w:r>
          </w:p>
        </w:tc>
        <w:tc>
          <w:tcPr>
            <w:tcW w:w="1100" w:type="dxa"/>
            <w:vAlign w:val="bottom"/>
            <w:gridSpan w:val="2"/>
          </w:tcPr>
          <w:p>
            <w:pPr>
              <w:jc w:val="right"/>
              <w:ind w:right="320"/>
              <w:spacing w:after="0" w:line="243" w:lineRule="exact"/>
              <w:rPr>
                <w:sz w:val="20"/>
                <w:szCs w:val="20"/>
                <w:color w:val="auto"/>
              </w:rPr>
            </w:pPr>
            <w:r>
              <w:rPr>
                <w:rFonts w:ascii="Arial" w:cs="Arial" w:eastAsia="Arial" w:hAnsi="Arial"/>
                <w:sz w:val="22"/>
                <w:szCs w:val="22"/>
                <w:color w:val="auto"/>
              </w:rPr>
              <w:t>(3,360)</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10.62</w:t>
            </w:r>
          </w:p>
        </w:tc>
        <w:tc>
          <w:tcPr>
            <w:tcW w:w="0" w:type="dxa"/>
            <w:vAlign w:val="bottom"/>
          </w:tcPr>
          <w:p>
            <w:pPr>
              <w:spacing w:after="0"/>
              <w:rPr>
                <w:sz w:val="1"/>
                <w:szCs w:val="1"/>
                <w:color w:val="auto"/>
              </w:rPr>
            </w:pPr>
          </w:p>
        </w:tc>
      </w:tr>
      <w:tr>
        <w:trPr>
          <w:trHeight w:val="275"/>
        </w:trPr>
        <w:tc>
          <w:tcPr>
            <w:tcW w:w="3640" w:type="dxa"/>
            <w:vAlign w:val="bottom"/>
            <w:gridSpan w:val="2"/>
          </w:tcPr>
          <w:p>
            <w:pPr>
              <w:spacing w:after="0"/>
              <w:rPr>
                <w:sz w:val="20"/>
                <w:szCs w:val="20"/>
                <w:color w:val="auto"/>
              </w:rPr>
            </w:pPr>
            <w:r>
              <w:rPr>
                <w:rFonts w:ascii="Arial" w:cs="Arial" w:eastAsia="Arial" w:hAnsi="Arial"/>
                <w:sz w:val="22"/>
                <w:szCs w:val="22"/>
                <w:color w:val="auto"/>
              </w:rPr>
              <w:t>Canceled</w:t>
            </w:r>
          </w:p>
        </w:tc>
        <w:tc>
          <w:tcPr>
            <w:tcW w:w="1100" w:type="dxa"/>
            <w:vAlign w:val="bottom"/>
            <w:gridSpan w:val="2"/>
          </w:tcPr>
          <w:p>
            <w:pPr>
              <w:jc w:val="right"/>
              <w:ind w:right="320"/>
              <w:spacing w:after="0"/>
              <w:rPr>
                <w:sz w:val="20"/>
                <w:szCs w:val="20"/>
                <w:color w:val="auto"/>
              </w:rPr>
            </w:pPr>
            <w:r>
              <w:rPr>
                <w:rFonts w:ascii="Arial" w:cs="Arial" w:eastAsia="Arial" w:hAnsi="Arial"/>
                <w:sz w:val="22"/>
                <w:szCs w:val="22"/>
                <w:color w:val="auto"/>
              </w:rPr>
              <w:t>(1,250)</w:t>
            </w:r>
          </w:p>
        </w:tc>
        <w:tc>
          <w:tcPr>
            <w:tcW w:w="1160" w:type="dxa"/>
            <w:vAlign w:val="bottom"/>
          </w:tcPr>
          <w:p>
            <w:pPr>
              <w:jc w:val="right"/>
              <w:ind w:right="152"/>
              <w:spacing w:after="0"/>
              <w:rPr>
                <w:sz w:val="20"/>
                <w:szCs w:val="20"/>
                <w:color w:val="auto"/>
              </w:rPr>
            </w:pPr>
            <w:r>
              <w:rPr>
                <w:rFonts w:ascii="Arial" w:cs="Arial" w:eastAsia="Arial" w:hAnsi="Arial"/>
                <w:sz w:val="22"/>
                <w:szCs w:val="22"/>
                <w:color w:val="auto"/>
              </w:rPr>
              <w:t>36.19</w:t>
            </w:r>
          </w:p>
        </w:tc>
        <w:tc>
          <w:tcPr>
            <w:tcW w:w="1100" w:type="dxa"/>
            <w:vAlign w:val="bottom"/>
            <w:gridSpan w:val="2"/>
          </w:tcPr>
          <w:p>
            <w:pPr>
              <w:jc w:val="right"/>
              <w:ind w:right="300"/>
              <w:spacing w:after="0"/>
              <w:rPr>
                <w:sz w:val="20"/>
                <w:szCs w:val="20"/>
                <w:color w:val="auto"/>
              </w:rPr>
            </w:pPr>
            <w:r>
              <w:rPr>
                <w:rFonts w:ascii="Arial" w:cs="Arial" w:eastAsia="Arial" w:hAnsi="Arial"/>
                <w:sz w:val="22"/>
                <w:szCs w:val="22"/>
                <w:color w:val="auto"/>
              </w:rPr>
              <w:t>(2,141)</w:t>
            </w:r>
          </w:p>
        </w:tc>
        <w:tc>
          <w:tcPr>
            <w:tcW w:w="1180" w:type="dxa"/>
            <w:vAlign w:val="bottom"/>
          </w:tcPr>
          <w:p>
            <w:pPr>
              <w:jc w:val="right"/>
              <w:ind w:right="172"/>
              <w:spacing w:after="0"/>
              <w:rPr>
                <w:sz w:val="20"/>
                <w:szCs w:val="20"/>
                <w:color w:val="auto"/>
              </w:rPr>
            </w:pPr>
            <w:r>
              <w:rPr>
                <w:rFonts w:ascii="Arial" w:cs="Arial" w:eastAsia="Arial" w:hAnsi="Arial"/>
                <w:sz w:val="22"/>
                <w:szCs w:val="22"/>
                <w:color w:val="auto"/>
              </w:rPr>
              <w:t>30.38</w:t>
            </w:r>
          </w:p>
        </w:tc>
        <w:tc>
          <w:tcPr>
            <w:tcW w:w="1100" w:type="dxa"/>
            <w:vAlign w:val="bottom"/>
            <w:gridSpan w:val="2"/>
          </w:tcPr>
          <w:p>
            <w:pPr>
              <w:jc w:val="right"/>
              <w:ind w:right="320"/>
              <w:spacing w:after="0"/>
              <w:rPr>
                <w:sz w:val="20"/>
                <w:szCs w:val="20"/>
                <w:color w:val="auto"/>
              </w:rPr>
            </w:pPr>
            <w:r>
              <w:rPr>
                <w:rFonts w:ascii="Arial" w:cs="Arial" w:eastAsia="Arial" w:hAnsi="Arial"/>
                <w:sz w:val="22"/>
                <w:szCs w:val="22"/>
                <w:color w:val="auto"/>
              </w:rPr>
              <w:t>(821)</w:t>
            </w:r>
          </w:p>
        </w:tc>
        <w:tc>
          <w:tcPr>
            <w:tcW w:w="900" w:type="dxa"/>
            <w:vAlign w:val="bottom"/>
          </w:tcPr>
          <w:p>
            <w:pPr>
              <w:jc w:val="right"/>
              <w:spacing w:after="0"/>
              <w:rPr>
                <w:sz w:val="20"/>
                <w:szCs w:val="20"/>
                <w:color w:val="auto"/>
              </w:rPr>
            </w:pPr>
            <w:r>
              <w:rPr>
                <w:rFonts w:ascii="Arial" w:cs="Arial" w:eastAsia="Arial" w:hAnsi="Arial"/>
                <w:sz w:val="22"/>
                <w:szCs w:val="22"/>
                <w:color w:val="auto"/>
              </w:rPr>
              <w:t>30.69</w:t>
            </w:r>
          </w:p>
        </w:tc>
        <w:tc>
          <w:tcPr>
            <w:tcW w:w="0" w:type="dxa"/>
            <w:vAlign w:val="bottom"/>
          </w:tcPr>
          <w:p>
            <w:pPr>
              <w:spacing w:after="0"/>
              <w:rPr>
                <w:sz w:val="1"/>
                <w:szCs w:val="1"/>
                <w:color w:val="auto"/>
              </w:rPr>
            </w:pPr>
          </w:p>
        </w:tc>
      </w:tr>
      <w:tr>
        <w:trPr>
          <w:trHeight w:val="98"/>
        </w:trPr>
        <w:tc>
          <w:tcPr>
            <w:tcW w:w="2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640" w:type="dxa"/>
            <w:vAlign w:val="bottom"/>
            <w:gridSpan w:val="2"/>
          </w:tcPr>
          <w:p>
            <w:pPr>
              <w:spacing w:after="0"/>
              <w:rPr>
                <w:sz w:val="20"/>
                <w:szCs w:val="20"/>
                <w:color w:val="auto"/>
              </w:rPr>
            </w:pPr>
            <w:r>
              <w:rPr>
                <w:rFonts w:ascii="Arial" w:cs="Arial" w:eastAsia="Arial" w:hAnsi="Arial"/>
                <w:sz w:val="22"/>
                <w:szCs w:val="22"/>
                <w:color w:val="auto"/>
              </w:rPr>
              <w:t>Outstanding at end of year</w:t>
            </w:r>
          </w:p>
        </w:tc>
        <w:tc>
          <w:tcPr>
            <w:tcW w:w="720" w:type="dxa"/>
            <w:vAlign w:val="bottom"/>
          </w:tcPr>
          <w:p>
            <w:pPr>
              <w:jc w:val="right"/>
              <w:spacing w:after="0"/>
              <w:rPr>
                <w:sz w:val="20"/>
                <w:szCs w:val="20"/>
                <w:color w:val="auto"/>
              </w:rPr>
            </w:pPr>
            <w:r>
              <w:rPr>
                <w:rFonts w:ascii="Arial" w:cs="Arial" w:eastAsia="Arial" w:hAnsi="Arial"/>
                <w:sz w:val="22"/>
                <w:szCs w:val="22"/>
                <w:color w:val="auto"/>
              </w:rPr>
              <w:t>60,464</w:t>
            </w:r>
          </w:p>
        </w:tc>
        <w:tc>
          <w:tcPr>
            <w:tcW w:w="380" w:type="dxa"/>
            <w:vAlign w:val="bottom"/>
          </w:tcPr>
          <w:p>
            <w:pPr>
              <w:spacing w:after="0"/>
              <w:rPr>
                <w:sz w:val="24"/>
                <w:szCs w:val="24"/>
                <w:color w:val="auto"/>
              </w:rPr>
            </w:pPr>
          </w:p>
        </w:tc>
        <w:tc>
          <w:tcPr>
            <w:tcW w:w="1160" w:type="dxa"/>
            <w:vAlign w:val="bottom"/>
          </w:tcPr>
          <w:p>
            <w:pPr>
              <w:jc w:val="right"/>
              <w:ind w:right="152"/>
              <w:spacing w:after="0"/>
              <w:rPr>
                <w:sz w:val="20"/>
                <w:szCs w:val="20"/>
                <w:color w:val="auto"/>
              </w:rPr>
            </w:pPr>
            <w:r>
              <w:rPr>
                <w:rFonts w:ascii="Arial" w:cs="Arial" w:eastAsia="Arial" w:hAnsi="Arial"/>
                <w:sz w:val="22"/>
                <w:szCs w:val="22"/>
                <w:color w:val="auto"/>
              </w:rPr>
              <w:t>29.43</w:t>
            </w:r>
          </w:p>
        </w:tc>
        <w:tc>
          <w:tcPr>
            <w:tcW w:w="720" w:type="dxa"/>
            <w:vAlign w:val="bottom"/>
          </w:tcPr>
          <w:p>
            <w:pPr>
              <w:jc w:val="right"/>
              <w:spacing w:after="0"/>
              <w:rPr>
                <w:sz w:val="20"/>
                <w:szCs w:val="20"/>
                <w:color w:val="auto"/>
              </w:rPr>
            </w:pPr>
            <w:r>
              <w:rPr>
                <w:rFonts w:ascii="Arial" w:cs="Arial" w:eastAsia="Arial" w:hAnsi="Arial"/>
                <w:sz w:val="22"/>
                <w:szCs w:val="22"/>
                <w:color w:val="auto"/>
              </w:rPr>
              <w:t>64,890</w:t>
            </w:r>
          </w:p>
        </w:tc>
        <w:tc>
          <w:tcPr>
            <w:tcW w:w="380" w:type="dxa"/>
            <w:vAlign w:val="bottom"/>
          </w:tcPr>
          <w:p>
            <w:pPr>
              <w:spacing w:after="0"/>
              <w:rPr>
                <w:sz w:val="24"/>
                <w:szCs w:val="24"/>
                <w:color w:val="auto"/>
              </w:rPr>
            </w:pPr>
          </w:p>
        </w:tc>
        <w:tc>
          <w:tcPr>
            <w:tcW w:w="1180" w:type="dxa"/>
            <w:vAlign w:val="bottom"/>
          </w:tcPr>
          <w:p>
            <w:pPr>
              <w:jc w:val="right"/>
              <w:ind w:right="172"/>
              <w:spacing w:after="0"/>
              <w:rPr>
                <w:sz w:val="20"/>
                <w:szCs w:val="20"/>
                <w:color w:val="auto"/>
              </w:rPr>
            </w:pPr>
            <w:r>
              <w:rPr>
                <w:rFonts w:ascii="Arial" w:cs="Arial" w:eastAsia="Arial" w:hAnsi="Arial"/>
                <w:sz w:val="22"/>
                <w:szCs w:val="22"/>
                <w:color w:val="auto"/>
              </w:rPr>
              <w:t>28.57</w:t>
            </w:r>
          </w:p>
        </w:tc>
        <w:tc>
          <w:tcPr>
            <w:tcW w:w="720" w:type="dxa"/>
            <w:vAlign w:val="bottom"/>
          </w:tcPr>
          <w:p>
            <w:pPr>
              <w:jc w:val="right"/>
              <w:spacing w:after="0"/>
              <w:rPr>
                <w:sz w:val="20"/>
                <w:szCs w:val="20"/>
                <w:color w:val="auto"/>
              </w:rPr>
            </w:pPr>
            <w:r>
              <w:rPr>
                <w:rFonts w:ascii="Arial" w:cs="Arial" w:eastAsia="Arial" w:hAnsi="Arial"/>
                <w:sz w:val="22"/>
                <w:szCs w:val="22"/>
                <w:color w:val="auto"/>
              </w:rPr>
              <w:t>55,521</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26.89</w:t>
            </w: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3640" w:type="dxa"/>
            <w:vAlign w:val="bottom"/>
            <w:gridSpan w:val="2"/>
          </w:tcPr>
          <w:p>
            <w:pPr>
              <w:spacing w:after="0"/>
              <w:rPr>
                <w:sz w:val="20"/>
                <w:szCs w:val="20"/>
                <w:color w:val="auto"/>
              </w:rPr>
            </w:pPr>
            <w:r>
              <w:rPr>
                <w:rFonts w:ascii="Arial" w:cs="Arial" w:eastAsia="Arial" w:hAnsi="Arial"/>
                <w:sz w:val="22"/>
                <w:szCs w:val="22"/>
                <w:color w:val="auto"/>
              </w:rPr>
              <w:t>Exercisable at end of year</w:t>
            </w:r>
          </w:p>
        </w:tc>
        <w:tc>
          <w:tcPr>
            <w:tcW w:w="720" w:type="dxa"/>
            <w:vAlign w:val="bottom"/>
          </w:tcPr>
          <w:p>
            <w:pPr>
              <w:jc w:val="right"/>
              <w:spacing w:after="0"/>
              <w:rPr>
                <w:sz w:val="20"/>
                <w:szCs w:val="20"/>
                <w:color w:val="auto"/>
              </w:rPr>
            </w:pPr>
            <w:r>
              <w:rPr>
                <w:rFonts w:ascii="Arial" w:cs="Arial" w:eastAsia="Arial" w:hAnsi="Arial"/>
                <w:sz w:val="22"/>
                <w:szCs w:val="22"/>
                <w:color w:val="auto"/>
              </w:rPr>
              <w:t>29,212</w:t>
            </w:r>
          </w:p>
        </w:tc>
        <w:tc>
          <w:tcPr>
            <w:tcW w:w="380" w:type="dxa"/>
            <w:vAlign w:val="bottom"/>
          </w:tcPr>
          <w:p>
            <w:pPr>
              <w:spacing w:after="0"/>
              <w:rPr>
                <w:sz w:val="24"/>
                <w:szCs w:val="24"/>
                <w:color w:val="auto"/>
              </w:rPr>
            </w:pPr>
          </w:p>
        </w:tc>
        <w:tc>
          <w:tcPr>
            <w:tcW w:w="1160" w:type="dxa"/>
            <w:vAlign w:val="bottom"/>
          </w:tcPr>
          <w:p>
            <w:pPr>
              <w:jc w:val="right"/>
              <w:ind w:right="152"/>
              <w:spacing w:after="0"/>
              <w:rPr>
                <w:sz w:val="20"/>
                <w:szCs w:val="20"/>
                <w:color w:val="auto"/>
              </w:rPr>
            </w:pPr>
            <w:r>
              <w:rPr>
                <w:rFonts w:ascii="Arial" w:cs="Arial" w:eastAsia="Arial" w:hAnsi="Arial"/>
                <w:sz w:val="22"/>
                <w:szCs w:val="22"/>
                <w:color w:val="auto"/>
              </w:rPr>
              <w:t>25.26</w:t>
            </w:r>
          </w:p>
        </w:tc>
        <w:tc>
          <w:tcPr>
            <w:tcW w:w="720" w:type="dxa"/>
            <w:vAlign w:val="bottom"/>
          </w:tcPr>
          <w:p>
            <w:pPr>
              <w:jc w:val="right"/>
              <w:spacing w:after="0"/>
              <w:rPr>
                <w:sz w:val="20"/>
                <w:szCs w:val="20"/>
                <w:color w:val="auto"/>
              </w:rPr>
            </w:pPr>
            <w:r>
              <w:rPr>
                <w:rFonts w:ascii="Arial" w:cs="Arial" w:eastAsia="Arial" w:hAnsi="Arial"/>
                <w:sz w:val="22"/>
                <w:szCs w:val="22"/>
                <w:color w:val="auto"/>
              </w:rPr>
              <w:t>22,798</w:t>
            </w:r>
          </w:p>
        </w:tc>
        <w:tc>
          <w:tcPr>
            <w:tcW w:w="380" w:type="dxa"/>
            <w:vAlign w:val="bottom"/>
          </w:tcPr>
          <w:p>
            <w:pPr>
              <w:spacing w:after="0"/>
              <w:rPr>
                <w:sz w:val="24"/>
                <w:szCs w:val="24"/>
                <w:color w:val="auto"/>
              </w:rPr>
            </w:pPr>
          </w:p>
        </w:tc>
        <w:tc>
          <w:tcPr>
            <w:tcW w:w="1180" w:type="dxa"/>
            <w:vAlign w:val="bottom"/>
          </w:tcPr>
          <w:p>
            <w:pPr>
              <w:jc w:val="right"/>
              <w:ind w:right="172"/>
              <w:spacing w:after="0"/>
              <w:rPr>
                <w:sz w:val="20"/>
                <w:szCs w:val="20"/>
                <w:color w:val="auto"/>
              </w:rPr>
            </w:pPr>
            <w:r>
              <w:rPr>
                <w:rFonts w:ascii="Arial" w:cs="Arial" w:eastAsia="Arial" w:hAnsi="Arial"/>
                <w:sz w:val="22"/>
                <w:szCs w:val="22"/>
                <w:color w:val="auto"/>
              </w:rPr>
              <w:t>21.08</w:t>
            </w:r>
          </w:p>
        </w:tc>
        <w:tc>
          <w:tcPr>
            <w:tcW w:w="720" w:type="dxa"/>
            <w:vAlign w:val="bottom"/>
          </w:tcPr>
          <w:p>
            <w:pPr>
              <w:jc w:val="right"/>
              <w:spacing w:after="0"/>
              <w:rPr>
                <w:sz w:val="20"/>
                <w:szCs w:val="20"/>
                <w:color w:val="auto"/>
              </w:rPr>
            </w:pPr>
            <w:r>
              <w:rPr>
                <w:rFonts w:ascii="Arial" w:cs="Arial" w:eastAsia="Arial" w:hAnsi="Arial"/>
                <w:sz w:val="22"/>
                <w:szCs w:val="22"/>
                <w:color w:val="auto"/>
              </w:rPr>
              <w:t>16,892</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15.57</w:t>
            </w: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-2012315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-2012315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-2012315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-2012315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-1703705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-1703705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-1703705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-1703705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-323215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-323215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-323215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-323215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-323215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-323215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-14605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2310130</wp:posOffset>
            </wp:positionH>
            <wp:positionV relativeFrom="paragraph">
              <wp:posOffset>-14605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spacing w:after="0" w:line="251" w:lineRule="auto"/>
        <w:rPr>
          <w:sz w:val="20"/>
          <w:szCs w:val="20"/>
          <w:color w:val="auto"/>
        </w:rPr>
      </w:pPr>
      <w:r>
        <w:rPr>
          <w:rFonts w:ascii="Arial" w:cs="Arial" w:eastAsia="Arial" w:hAnsi="Arial"/>
          <w:sz w:val="22"/>
          <w:szCs w:val="22"/>
          <w:color w:val="auto"/>
        </w:rPr>
        <w:t>The following table summarizes information about the options outstanding under the Comcast Option Plans as of December 31, 2003 (options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960" w:type="dxa"/>
            <w:vAlign w:val="bottom"/>
            <w:gridSpan w:val="6"/>
          </w:tcPr>
          <w:p>
            <w:pPr>
              <w:jc w:val="center"/>
              <w:ind w:right="280"/>
              <w:spacing w:after="0"/>
              <w:rPr>
                <w:sz w:val="20"/>
                <w:szCs w:val="20"/>
                <w:color w:val="auto"/>
              </w:rPr>
            </w:pPr>
            <w:r>
              <w:rPr>
                <w:rFonts w:ascii="Arial" w:cs="Arial" w:eastAsia="Arial" w:hAnsi="Arial"/>
                <w:sz w:val="22"/>
                <w:szCs w:val="22"/>
                <w:color w:val="auto"/>
                <w:w w:val="89"/>
              </w:rPr>
              <w:t>Options Outstanding</w:t>
            </w:r>
          </w:p>
        </w:tc>
        <w:tc>
          <w:tcPr>
            <w:tcW w:w="2380" w:type="dxa"/>
            <w:vAlign w:val="bottom"/>
            <w:gridSpan w:val="3"/>
          </w:tcPr>
          <w:p>
            <w:pPr>
              <w:jc w:val="right"/>
              <w:ind w:right="212"/>
              <w:spacing w:after="0"/>
              <w:rPr>
                <w:sz w:val="20"/>
                <w:szCs w:val="20"/>
                <w:color w:val="auto"/>
              </w:rPr>
            </w:pPr>
            <w:r>
              <w:rPr>
                <w:rFonts w:ascii="Arial" w:cs="Arial" w:eastAsia="Arial" w:hAnsi="Arial"/>
                <w:sz w:val="22"/>
                <w:szCs w:val="22"/>
                <w:color w:val="auto"/>
              </w:rPr>
              <w:t>Options Exercisable</w:t>
            </w:r>
          </w:p>
        </w:tc>
        <w:tc>
          <w:tcPr>
            <w:tcW w:w="0" w:type="dxa"/>
            <w:vAlign w:val="bottom"/>
          </w:tcPr>
          <w:p>
            <w:pPr>
              <w:spacing w:after="0"/>
              <w:rPr>
                <w:sz w:val="1"/>
                <w:szCs w:val="1"/>
                <w:color w:val="auto"/>
              </w:rPr>
            </w:pPr>
          </w:p>
        </w:tc>
      </w:tr>
      <w:tr>
        <w:trPr>
          <w:trHeight w:val="98"/>
        </w:trPr>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22"/>
                <w:szCs w:val="22"/>
                <w:color w:val="auto"/>
                <w:w w:val="89"/>
              </w:rPr>
              <w:t>Weighted-</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center"/>
              <w:ind w:right="240"/>
              <w:spacing w:after="0" w:line="243" w:lineRule="exact"/>
              <w:rPr>
                <w:sz w:val="20"/>
                <w:szCs w:val="20"/>
                <w:color w:val="auto"/>
              </w:rPr>
            </w:pPr>
            <w:r>
              <w:rPr>
                <w:rFonts w:ascii="Arial" w:cs="Arial" w:eastAsia="Arial" w:hAnsi="Arial"/>
                <w:sz w:val="22"/>
                <w:szCs w:val="22"/>
                <w:color w:val="auto"/>
                <w:w w:val="87"/>
              </w:rPr>
              <w:t>Average</w:t>
            </w:r>
          </w:p>
        </w:tc>
        <w:tc>
          <w:tcPr>
            <w:tcW w:w="1360" w:type="dxa"/>
            <w:vAlign w:val="bottom"/>
            <w:gridSpan w:val="2"/>
          </w:tcPr>
          <w:p>
            <w:pPr>
              <w:jc w:val="center"/>
              <w:ind w:right="260"/>
              <w:spacing w:after="0" w:line="243" w:lineRule="exact"/>
              <w:rPr>
                <w:sz w:val="20"/>
                <w:szCs w:val="20"/>
                <w:color w:val="auto"/>
              </w:rPr>
            </w:pPr>
            <w:r>
              <w:rPr>
                <w:rFonts w:ascii="Arial" w:cs="Arial" w:eastAsia="Arial" w:hAnsi="Arial"/>
                <w:sz w:val="22"/>
                <w:szCs w:val="22"/>
                <w:color w:val="auto"/>
                <w:w w:val="89"/>
              </w:rPr>
              <w:t>Weighted-</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center"/>
              <w:spacing w:after="0" w:line="243" w:lineRule="exact"/>
              <w:rPr>
                <w:sz w:val="20"/>
                <w:szCs w:val="20"/>
                <w:color w:val="auto"/>
              </w:rPr>
            </w:pPr>
            <w:r>
              <w:rPr>
                <w:rFonts w:ascii="Arial" w:cs="Arial" w:eastAsia="Arial" w:hAnsi="Arial"/>
                <w:sz w:val="22"/>
                <w:szCs w:val="22"/>
                <w:color w:val="auto"/>
                <w:w w:val="89"/>
              </w:rPr>
              <w:t>Weighted-</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20" w:type="dxa"/>
            <w:vAlign w:val="bottom"/>
            <w:gridSpan w:val="2"/>
          </w:tcPr>
          <w:p>
            <w:pPr>
              <w:jc w:val="center"/>
              <w:ind w:right="260"/>
              <w:spacing w:after="0" w:line="243" w:lineRule="exact"/>
              <w:rPr>
                <w:sz w:val="20"/>
                <w:szCs w:val="20"/>
                <w:color w:val="auto"/>
              </w:rPr>
            </w:pPr>
            <w:r>
              <w:rPr>
                <w:rFonts w:ascii="Arial" w:cs="Arial" w:eastAsia="Arial" w:hAnsi="Arial"/>
                <w:sz w:val="22"/>
                <w:szCs w:val="22"/>
                <w:color w:val="auto"/>
                <w:w w:val="89"/>
              </w:rPr>
              <w:t>Number</w:t>
            </w:r>
          </w:p>
        </w:tc>
        <w:tc>
          <w:tcPr>
            <w:tcW w:w="1280" w:type="dxa"/>
            <w:vAlign w:val="bottom"/>
            <w:gridSpan w:val="2"/>
          </w:tcPr>
          <w:p>
            <w:pPr>
              <w:jc w:val="center"/>
              <w:ind w:right="260"/>
              <w:spacing w:after="0" w:line="243" w:lineRule="exact"/>
              <w:rPr>
                <w:sz w:val="20"/>
                <w:szCs w:val="20"/>
                <w:color w:val="auto"/>
              </w:rPr>
            </w:pPr>
            <w:r>
              <w:rPr>
                <w:rFonts w:ascii="Arial" w:cs="Arial" w:eastAsia="Arial" w:hAnsi="Arial"/>
                <w:sz w:val="22"/>
                <w:szCs w:val="22"/>
                <w:color w:val="auto"/>
                <w:w w:val="89"/>
              </w:rPr>
              <w:t>Remaining</w:t>
            </w:r>
          </w:p>
        </w:tc>
        <w:tc>
          <w:tcPr>
            <w:tcW w:w="1360" w:type="dxa"/>
            <w:vAlign w:val="bottom"/>
            <w:gridSpan w:val="2"/>
          </w:tcPr>
          <w:p>
            <w:pPr>
              <w:jc w:val="center"/>
              <w:ind w:right="260"/>
              <w:spacing w:after="0" w:line="243" w:lineRule="exact"/>
              <w:rPr>
                <w:sz w:val="20"/>
                <w:szCs w:val="20"/>
                <w:color w:val="auto"/>
              </w:rPr>
            </w:pPr>
            <w:r>
              <w:rPr>
                <w:rFonts w:ascii="Arial" w:cs="Arial" w:eastAsia="Arial" w:hAnsi="Arial"/>
                <w:sz w:val="22"/>
                <w:szCs w:val="22"/>
                <w:color w:val="auto"/>
                <w:w w:val="85"/>
              </w:rPr>
              <w:t>Average</w:t>
            </w:r>
          </w:p>
        </w:tc>
        <w:tc>
          <w:tcPr>
            <w:tcW w:w="1280" w:type="dxa"/>
            <w:vAlign w:val="bottom"/>
            <w:gridSpan w:val="2"/>
          </w:tcPr>
          <w:p>
            <w:pPr>
              <w:jc w:val="center"/>
              <w:ind w:right="260"/>
              <w:spacing w:after="0" w:line="243" w:lineRule="exact"/>
              <w:rPr>
                <w:sz w:val="20"/>
                <w:szCs w:val="20"/>
                <w:color w:val="auto"/>
              </w:rPr>
            </w:pPr>
            <w:r>
              <w:rPr>
                <w:rFonts w:ascii="Arial" w:cs="Arial" w:eastAsia="Arial" w:hAnsi="Arial"/>
                <w:sz w:val="22"/>
                <w:szCs w:val="22"/>
                <w:color w:val="auto"/>
                <w:w w:val="89"/>
              </w:rPr>
              <w:t>Number</w:t>
            </w:r>
          </w:p>
        </w:tc>
        <w:tc>
          <w:tcPr>
            <w:tcW w:w="1100" w:type="dxa"/>
            <w:vAlign w:val="bottom"/>
          </w:tcPr>
          <w:p>
            <w:pPr>
              <w:jc w:val="center"/>
              <w:spacing w:after="0" w:line="243" w:lineRule="exact"/>
              <w:rPr>
                <w:sz w:val="20"/>
                <w:szCs w:val="20"/>
                <w:color w:val="auto"/>
              </w:rPr>
            </w:pPr>
            <w:r>
              <w:rPr>
                <w:rFonts w:ascii="Arial" w:cs="Arial" w:eastAsia="Arial" w:hAnsi="Arial"/>
                <w:sz w:val="22"/>
                <w:szCs w:val="22"/>
                <w:color w:val="auto"/>
                <w:w w:val="87"/>
              </w:rPr>
              <w:t>Average</w:t>
            </w:r>
          </w:p>
        </w:tc>
        <w:tc>
          <w:tcPr>
            <w:tcW w:w="0" w:type="dxa"/>
            <w:vAlign w:val="bottom"/>
          </w:tcPr>
          <w:p>
            <w:pPr>
              <w:spacing w:after="0"/>
              <w:rPr>
                <w:sz w:val="1"/>
                <w:szCs w:val="1"/>
                <w:color w:val="auto"/>
              </w:rPr>
            </w:pPr>
          </w:p>
        </w:tc>
      </w:tr>
      <w:tr>
        <w:trPr>
          <w:trHeight w:val="243"/>
        </w:trPr>
        <w:tc>
          <w:tcPr>
            <w:tcW w:w="3740" w:type="dxa"/>
            <w:vAlign w:val="bottom"/>
            <w:gridSpan w:val="6"/>
          </w:tcPr>
          <w:p>
            <w:pPr>
              <w:spacing w:after="0" w:line="243" w:lineRule="exact"/>
              <w:rPr>
                <w:sz w:val="20"/>
                <w:szCs w:val="20"/>
                <w:color w:val="auto"/>
              </w:rPr>
            </w:pPr>
            <w:r>
              <w:rPr>
                <w:rFonts w:ascii="Arial" w:cs="Arial" w:eastAsia="Arial" w:hAnsi="Arial"/>
                <w:sz w:val="22"/>
                <w:szCs w:val="22"/>
                <w:color w:val="auto"/>
              </w:rPr>
              <w:t>Range of</w:t>
            </w:r>
          </w:p>
        </w:tc>
        <w:tc>
          <w:tcPr>
            <w:tcW w:w="1320" w:type="dxa"/>
            <w:vAlign w:val="bottom"/>
            <w:gridSpan w:val="2"/>
          </w:tcPr>
          <w:p>
            <w:pPr>
              <w:jc w:val="center"/>
              <w:ind w:right="260"/>
              <w:spacing w:after="0" w:line="243" w:lineRule="exact"/>
              <w:rPr>
                <w:sz w:val="20"/>
                <w:szCs w:val="20"/>
                <w:color w:val="auto"/>
              </w:rPr>
            </w:pPr>
            <w:r>
              <w:rPr>
                <w:rFonts w:ascii="Arial" w:cs="Arial" w:eastAsia="Arial" w:hAnsi="Arial"/>
                <w:sz w:val="22"/>
                <w:szCs w:val="22"/>
                <w:color w:val="auto"/>
                <w:w w:val="89"/>
              </w:rPr>
              <w:t>Outstanding</w:t>
            </w:r>
          </w:p>
        </w:tc>
        <w:tc>
          <w:tcPr>
            <w:tcW w:w="1280" w:type="dxa"/>
            <w:vAlign w:val="bottom"/>
            <w:gridSpan w:val="2"/>
          </w:tcPr>
          <w:p>
            <w:pPr>
              <w:jc w:val="center"/>
              <w:ind w:right="260"/>
              <w:spacing w:after="0" w:line="243" w:lineRule="exact"/>
              <w:rPr>
                <w:sz w:val="20"/>
                <w:szCs w:val="20"/>
                <w:color w:val="auto"/>
              </w:rPr>
            </w:pPr>
            <w:r>
              <w:rPr>
                <w:rFonts w:ascii="Arial" w:cs="Arial" w:eastAsia="Arial" w:hAnsi="Arial"/>
                <w:sz w:val="22"/>
                <w:szCs w:val="22"/>
                <w:color w:val="auto"/>
                <w:w w:val="90"/>
              </w:rPr>
              <w:t>Contractual</w:t>
            </w:r>
          </w:p>
        </w:tc>
        <w:tc>
          <w:tcPr>
            <w:tcW w:w="1360" w:type="dxa"/>
            <w:vAlign w:val="bottom"/>
            <w:gridSpan w:val="2"/>
          </w:tcPr>
          <w:p>
            <w:pPr>
              <w:jc w:val="center"/>
              <w:ind w:right="260"/>
              <w:spacing w:after="0" w:line="243" w:lineRule="exact"/>
              <w:rPr>
                <w:sz w:val="20"/>
                <w:szCs w:val="20"/>
                <w:color w:val="auto"/>
              </w:rPr>
            </w:pPr>
            <w:r>
              <w:rPr>
                <w:rFonts w:ascii="Arial" w:cs="Arial" w:eastAsia="Arial" w:hAnsi="Arial"/>
                <w:sz w:val="22"/>
                <w:szCs w:val="22"/>
                <w:color w:val="auto"/>
                <w:w w:val="87"/>
              </w:rPr>
              <w:t>Exercise</w:t>
            </w:r>
          </w:p>
        </w:tc>
        <w:tc>
          <w:tcPr>
            <w:tcW w:w="1280" w:type="dxa"/>
            <w:vAlign w:val="bottom"/>
            <w:gridSpan w:val="2"/>
          </w:tcPr>
          <w:p>
            <w:pPr>
              <w:jc w:val="center"/>
              <w:ind w:right="260"/>
              <w:spacing w:after="0" w:line="243" w:lineRule="exact"/>
              <w:rPr>
                <w:sz w:val="20"/>
                <w:szCs w:val="20"/>
                <w:color w:val="auto"/>
              </w:rPr>
            </w:pPr>
            <w:r>
              <w:rPr>
                <w:rFonts w:ascii="Arial" w:cs="Arial" w:eastAsia="Arial" w:hAnsi="Arial"/>
                <w:sz w:val="22"/>
                <w:szCs w:val="22"/>
                <w:color w:val="auto"/>
                <w:w w:val="89"/>
              </w:rPr>
              <w:t>Exercisable</w:t>
            </w:r>
          </w:p>
        </w:tc>
        <w:tc>
          <w:tcPr>
            <w:tcW w:w="1100" w:type="dxa"/>
            <w:vAlign w:val="bottom"/>
          </w:tcPr>
          <w:p>
            <w:pPr>
              <w:jc w:val="center"/>
              <w:spacing w:after="0" w:line="243" w:lineRule="exact"/>
              <w:rPr>
                <w:sz w:val="20"/>
                <w:szCs w:val="20"/>
                <w:color w:val="auto"/>
              </w:rPr>
            </w:pPr>
            <w:r>
              <w:rPr>
                <w:rFonts w:ascii="Arial" w:cs="Arial" w:eastAsia="Arial" w:hAnsi="Arial"/>
                <w:sz w:val="22"/>
                <w:szCs w:val="22"/>
                <w:color w:val="auto"/>
                <w:w w:val="87"/>
              </w:rPr>
              <w:t>Exercise</w:t>
            </w:r>
          </w:p>
        </w:tc>
        <w:tc>
          <w:tcPr>
            <w:tcW w:w="0" w:type="dxa"/>
            <w:vAlign w:val="bottom"/>
          </w:tcPr>
          <w:p>
            <w:pPr>
              <w:spacing w:after="0"/>
              <w:rPr>
                <w:sz w:val="1"/>
                <w:szCs w:val="1"/>
                <w:color w:val="auto"/>
              </w:rPr>
            </w:pPr>
          </w:p>
        </w:tc>
      </w:tr>
      <w:tr>
        <w:trPr>
          <w:trHeight w:val="275"/>
        </w:trPr>
        <w:tc>
          <w:tcPr>
            <w:tcW w:w="3740" w:type="dxa"/>
            <w:vAlign w:val="bottom"/>
            <w:gridSpan w:val="6"/>
          </w:tcPr>
          <w:p>
            <w:pPr>
              <w:spacing w:after="0"/>
              <w:rPr>
                <w:sz w:val="20"/>
                <w:szCs w:val="20"/>
                <w:color w:val="auto"/>
              </w:rPr>
            </w:pPr>
            <w:r>
              <w:rPr>
                <w:rFonts w:ascii="Arial" w:cs="Arial" w:eastAsia="Arial" w:hAnsi="Arial"/>
                <w:sz w:val="22"/>
                <w:szCs w:val="22"/>
                <w:color w:val="auto"/>
              </w:rPr>
              <w:t>Exercise Prices</w:t>
            </w:r>
          </w:p>
        </w:tc>
        <w:tc>
          <w:tcPr>
            <w:tcW w:w="1320" w:type="dxa"/>
            <w:vAlign w:val="bottom"/>
            <w:gridSpan w:val="2"/>
          </w:tcPr>
          <w:p>
            <w:pPr>
              <w:jc w:val="center"/>
              <w:ind w:right="260"/>
              <w:spacing w:after="0"/>
              <w:rPr>
                <w:sz w:val="20"/>
                <w:szCs w:val="20"/>
                <w:color w:val="auto"/>
              </w:rPr>
            </w:pPr>
            <w:r>
              <w:rPr>
                <w:rFonts w:ascii="Arial" w:cs="Arial" w:eastAsia="Arial" w:hAnsi="Arial"/>
                <w:sz w:val="22"/>
                <w:szCs w:val="22"/>
                <w:color w:val="auto"/>
                <w:w w:val="88"/>
              </w:rPr>
              <w:t>at 12/31/03</w:t>
            </w:r>
          </w:p>
        </w:tc>
        <w:tc>
          <w:tcPr>
            <w:tcW w:w="1280" w:type="dxa"/>
            <w:vAlign w:val="bottom"/>
            <w:gridSpan w:val="2"/>
          </w:tcPr>
          <w:p>
            <w:pPr>
              <w:jc w:val="center"/>
              <w:ind w:right="240"/>
              <w:spacing w:after="0"/>
              <w:rPr>
                <w:sz w:val="20"/>
                <w:szCs w:val="20"/>
                <w:color w:val="auto"/>
              </w:rPr>
            </w:pPr>
            <w:r>
              <w:rPr>
                <w:rFonts w:ascii="Arial" w:cs="Arial" w:eastAsia="Arial" w:hAnsi="Arial"/>
                <w:sz w:val="22"/>
                <w:szCs w:val="22"/>
                <w:color w:val="auto"/>
              </w:rPr>
              <w:t>Life</w:t>
            </w:r>
          </w:p>
        </w:tc>
        <w:tc>
          <w:tcPr>
            <w:tcW w:w="1360" w:type="dxa"/>
            <w:vAlign w:val="bottom"/>
            <w:gridSpan w:val="2"/>
          </w:tcPr>
          <w:p>
            <w:pPr>
              <w:jc w:val="center"/>
              <w:ind w:right="260"/>
              <w:spacing w:after="0"/>
              <w:rPr>
                <w:sz w:val="20"/>
                <w:szCs w:val="20"/>
                <w:color w:val="auto"/>
              </w:rPr>
            </w:pPr>
            <w:r>
              <w:rPr>
                <w:rFonts w:ascii="Arial" w:cs="Arial" w:eastAsia="Arial" w:hAnsi="Arial"/>
                <w:sz w:val="22"/>
                <w:szCs w:val="22"/>
                <w:color w:val="auto"/>
                <w:w w:val="91"/>
              </w:rPr>
              <w:t>Price</w:t>
            </w:r>
          </w:p>
        </w:tc>
        <w:tc>
          <w:tcPr>
            <w:tcW w:w="1280" w:type="dxa"/>
            <w:vAlign w:val="bottom"/>
            <w:gridSpan w:val="2"/>
          </w:tcPr>
          <w:p>
            <w:pPr>
              <w:jc w:val="center"/>
              <w:ind w:right="260"/>
              <w:spacing w:after="0"/>
              <w:rPr>
                <w:sz w:val="20"/>
                <w:szCs w:val="20"/>
                <w:color w:val="auto"/>
              </w:rPr>
            </w:pPr>
            <w:r>
              <w:rPr>
                <w:rFonts w:ascii="Arial" w:cs="Arial" w:eastAsia="Arial" w:hAnsi="Arial"/>
                <w:sz w:val="22"/>
                <w:szCs w:val="22"/>
                <w:color w:val="auto"/>
                <w:w w:val="88"/>
              </w:rPr>
              <w:t>at 12/31/03</w:t>
            </w:r>
          </w:p>
        </w:tc>
        <w:tc>
          <w:tcPr>
            <w:tcW w:w="1100" w:type="dxa"/>
            <w:vAlign w:val="bottom"/>
          </w:tcPr>
          <w:p>
            <w:pPr>
              <w:jc w:val="center"/>
              <w:spacing w:after="0"/>
              <w:rPr>
                <w:sz w:val="20"/>
                <w:szCs w:val="20"/>
                <w:color w:val="auto"/>
              </w:rPr>
            </w:pPr>
            <w:r>
              <w:rPr>
                <w:rFonts w:ascii="Arial" w:cs="Arial" w:eastAsia="Arial" w:hAnsi="Arial"/>
                <w:sz w:val="22"/>
                <w:szCs w:val="22"/>
                <w:color w:val="auto"/>
                <w:w w:val="87"/>
              </w:rPr>
              <w:t>Price</w:t>
            </w:r>
          </w:p>
        </w:tc>
        <w:tc>
          <w:tcPr>
            <w:tcW w:w="0" w:type="dxa"/>
            <w:vAlign w:val="bottom"/>
          </w:tcPr>
          <w:p>
            <w:pPr>
              <w:spacing w:after="0"/>
              <w:rPr>
                <w:sz w:val="1"/>
                <w:szCs w:val="1"/>
                <w:color w:val="auto"/>
              </w:rPr>
            </w:pPr>
          </w:p>
        </w:tc>
      </w:tr>
      <w:tr>
        <w:trPr>
          <w:trHeight w:val="98"/>
        </w:trPr>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47"/>
        </w:trPr>
        <w:tc>
          <w:tcPr>
            <w:tcW w:w="280" w:type="dxa"/>
            <w:vAlign w:val="bottom"/>
          </w:tcPr>
          <w:p>
            <w:pPr>
              <w:spacing w:after="0"/>
              <w:rPr>
                <w:sz w:val="24"/>
                <w:szCs w:val="24"/>
                <w:color w:val="auto"/>
              </w:rPr>
            </w:pPr>
          </w:p>
        </w:tc>
        <w:tc>
          <w:tcPr>
            <w:tcW w:w="3460" w:type="dxa"/>
            <w:vAlign w:val="bottom"/>
            <w:gridSpan w:val="5"/>
          </w:tcPr>
          <w:p>
            <w:pPr>
              <w:spacing w:after="0"/>
              <w:rPr>
                <w:sz w:val="20"/>
                <w:szCs w:val="20"/>
                <w:color w:val="auto"/>
              </w:rPr>
            </w:pPr>
            <w:r>
              <w:rPr>
                <w:rFonts w:ascii="Arial" w:cs="Arial" w:eastAsia="Arial" w:hAnsi="Arial"/>
                <w:sz w:val="22"/>
                <w:szCs w:val="22"/>
                <w:color w:val="auto"/>
              </w:rPr>
              <w:t>Class A Common Stock</w:t>
            </w:r>
          </w:p>
        </w:tc>
        <w:tc>
          <w:tcPr>
            <w:tcW w:w="1060" w:type="dxa"/>
            <w:vAlign w:val="bottom"/>
            <w:vMerge w:val="restart"/>
          </w:tcPr>
          <w:p>
            <w:pPr>
              <w:jc w:val="right"/>
              <w:spacing w:after="0"/>
              <w:rPr>
                <w:sz w:val="20"/>
                <w:szCs w:val="20"/>
                <w:color w:val="auto"/>
              </w:rPr>
            </w:pPr>
            <w:r>
              <w:rPr>
                <w:rFonts w:ascii="Arial" w:cs="Arial" w:eastAsia="Arial" w:hAnsi="Arial"/>
                <w:sz w:val="22"/>
                <w:szCs w:val="22"/>
                <w:color w:val="auto"/>
              </w:rPr>
              <w:t>1,794</w:t>
            </w:r>
          </w:p>
        </w:tc>
        <w:tc>
          <w:tcPr>
            <w:tcW w:w="260" w:type="dxa"/>
            <w:vAlign w:val="bottom"/>
          </w:tcPr>
          <w:p>
            <w:pPr>
              <w:spacing w:after="0"/>
              <w:rPr>
                <w:sz w:val="24"/>
                <w:szCs w:val="24"/>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22"/>
                <w:szCs w:val="22"/>
                <w:color w:val="auto"/>
              </w:rPr>
              <w:t>2.6 years</w:t>
            </w:r>
          </w:p>
        </w:tc>
        <w:tc>
          <w:tcPr>
            <w:tcW w:w="1360" w:type="dxa"/>
            <w:vAlign w:val="bottom"/>
            <w:gridSpan w:val="2"/>
            <w:vMerge w:val="restart"/>
          </w:tcPr>
          <w:p>
            <w:pPr>
              <w:jc w:val="right"/>
              <w:ind w:right="260"/>
              <w:spacing w:after="0"/>
              <w:rPr>
                <w:sz w:val="20"/>
                <w:szCs w:val="20"/>
                <w:color w:val="auto"/>
              </w:rPr>
            </w:pPr>
            <w:r>
              <w:rPr>
                <w:rFonts w:ascii="Arial" w:cs="Arial" w:eastAsia="Arial" w:hAnsi="Arial"/>
                <w:sz w:val="22"/>
                <w:szCs w:val="22"/>
                <w:color w:val="auto"/>
              </w:rPr>
              <w:t>$9.62</w:t>
            </w: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22"/>
                <w:szCs w:val="22"/>
                <w:color w:val="auto"/>
              </w:rPr>
              <w:t>1,794</w:t>
            </w:r>
          </w:p>
        </w:tc>
        <w:tc>
          <w:tcPr>
            <w:tcW w:w="1100" w:type="dxa"/>
            <w:vAlign w:val="bottom"/>
            <w:vMerge w:val="restart"/>
          </w:tcPr>
          <w:p>
            <w:pPr>
              <w:jc w:val="right"/>
              <w:spacing w:after="0"/>
              <w:rPr>
                <w:sz w:val="20"/>
                <w:szCs w:val="20"/>
                <w:color w:val="auto"/>
              </w:rPr>
            </w:pPr>
            <w:r>
              <w:rPr>
                <w:rFonts w:ascii="Arial" w:cs="Arial" w:eastAsia="Arial" w:hAnsi="Arial"/>
                <w:sz w:val="22"/>
                <w:szCs w:val="22"/>
                <w:color w:val="auto"/>
              </w:rPr>
              <w:t>$9.62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360" w:type="dxa"/>
            <w:vAlign w:val="bottom"/>
            <w:gridSpan w:val="3"/>
          </w:tcPr>
          <w:p>
            <w:pPr>
              <w:ind w:left="280"/>
              <w:spacing w:after="0" w:line="242" w:lineRule="exact"/>
              <w:rPr>
                <w:sz w:val="20"/>
                <w:szCs w:val="20"/>
                <w:color w:val="auto"/>
              </w:rPr>
            </w:pPr>
            <w:r>
              <w:rPr>
                <w:rFonts w:ascii="Arial" w:cs="Arial" w:eastAsia="Arial" w:hAnsi="Arial"/>
                <w:sz w:val="22"/>
                <w:szCs w:val="22"/>
                <w:color w:val="auto"/>
              </w:rPr>
              <w:t>$3.89 - $15.21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$16.11 - $27.74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24,977</w:t>
            </w:r>
          </w:p>
        </w:tc>
        <w:tc>
          <w:tcPr>
            <w:tcW w:w="260" w:type="dxa"/>
            <w:vAlign w:val="bottom"/>
          </w:tcPr>
          <w:p>
            <w:pPr>
              <w:spacing w:after="0"/>
              <w:rPr>
                <w:sz w:val="21"/>
                <w:szCs w:val="21"/>
                <w:color w:val="auto"/>
              </w:rPr>
            </w:pPr>
          </w:p>
        </w:tc>
        <w:tc>
          <w:tcPr>
            <w:tcW w:w="1280" w:type="dxa"/>
            <w:vAlign w:val="bottom"/>
            <w:gridSpan w:val="2"/>
          </w:tcPr>
          <w:p>
            <w:pPr>
              <w:ind w:left="240"/>
              <w:spacing w:after="0" w:line="243" w:lineRule="exact"/>
              <w:rPr>
                <w:sz w:val="20"/>
                <w:szCs w:val="20"/>
                <w:color w:val="auto"/>
              </w:rPr>
            </w:pPr>
            <w:r>
              <w:rPr>
                <w:rFonts w:ascii="Arial" w:cs="Arial" w:eastAsia="Arial" w:hAnsi="Arial"/>
                <w:sz w:val="22"/>
                <w:szCs w:val="22"/>
                <w:color w:val="auto"/>
              </w:rPr>
              <w:t>8.3 years</w:t>
            </w:r>
          </w:p>
        </w:tc>
        <w:tc>
          <w:tcPr>
            <w:tcW w:w="136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26.25</w:t>
            </w:r>
          </w:p>
        </w:tc>
        <w:tc>
          <w:tcPr>
            <w:tcW w:w="128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5,574</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24.28</w:t>
            </w:r>
          </w:p>
        </w:tc>
        <w:tc>
          <w:tcPr>
            <w:tcW w:w="0" w:type="dxa"/>
            <w:vAlign w:val="bottom"/>
          </w:tcPr>
          <w:p>
            <w:pPr>
              <w:spacing w:after="0"/>
              <w:rPr>
                <w:sz w:val="1"/>
                <w:szCs w:val="1"/>
                <w:color w:val="auto"/>
              </w:rPr>
            </w:pPr>
          </w:p>
        </w:tc>
      </w:tr>
      <w:tr>
        <w:trPr>
          <w:trHeight w:val="243"/>
        </w:trPr>
        <w:tc>
          <w:tcPr>
            <w:tcW w:w="236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$27.76 - $33.73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22,564</w:t>
            </w:r>
          </w:p>
        </w:tc>
        <w:tc>
          <w:tcPr>
            <w:tcW w:w="260" w:type="dxa"/>
            <w:vAlign w:val="bottom"/>
          </w:tcPr>
          <w:p>
            <w:pPr>
              <w:spacing w:after="0"/>
              <w:rPr>
                <w:sz w:val="21"/>
                <w:szCs w:val="21"/>
                <w:color w:val="auto"/>
              </w:rPr>
            </w:pPr>
          </w:p>
        </w:tc>
        <w:tc>
          <w:tcPr>
            <w:tcW w:w="1280" w:type="dxa"/>
            <w:vAlign w:val="bottom"/>
            <w:gridSpan w:val="2"/>
          </w:tcPr>
          <w:p>
            <w:pPr>
              <w:ind w:left="240"/>
              <w:spacing w:after="0" w:line="243" w:lineRule="exact"/>
              <w:rPr>
                <w:sz w:val="20"/>
                <w:szCs w:val="20"/>
                <w:color w:val="auto"/>
              </w:rPr>
            </w:pPr>
            <w:r>
              <w:rPr>
                <w:rFonts w:ascii="Arial" w:cs="Arial" w:eastAsia="Arial" w:hAnsi="Arial"/>
                <w:sz w:val="22"/>
                <w:szCs w:val="22"/>
                <w:color w:val="auto"/>
              </w:rPr>
              <w:t>5.5 years</w:t>
            </w:r>
          </w:p>
        </w:tc>
        <w:tc>
          <w:tcPr>
            <w:tcW w:w="136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32.07</w:t>
            </w:r>
          </w:p>
        </w:tc>
        <w:tc>
          <w:tcPr>
            <w:tcW w:w="128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13,215</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32.41</w:t>
            </w:r>
          </w:p>
        </w:tc>
        <w:tc>
          <w:tcPr>
            <w:tcW w:w="0" w:type="dxa"/>
            <w:vAlign w:val="bottom"/>
          </w:tcPr>
          <w:p>
            <w:pPr>
              <w:spacing w:after="0"/>
              <w:rPr>
                <w:sz w:val="1"/>
                <w:szCs w:val="1"/>
                <w:color w:val="auto"/>
              </w:rPr>
            </w:pPr>
          </w:p>
        </w:tc>
      </w:tr>
      <w:tr>
        <w:trPr>
          <w:trHeight w:val="243"/>
        </w:trPr>
        <w:tc>
          <w:tcPr>
            <w:tcW w:w="236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$33.74 - $45.07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13,241</w:t>
            </w:r>
          </w:p>
        </w:tc>
        <w:tc>
          <w:tcPr>
            <w:tcW w:w="260" w:type="dxa"/>
            <w:vAlign w:val="bottom"/>
          </w:tcPr>
          <w:p>
            <w:pPr>
              <w:spacing w:after="0"/>
              <w:rPr>
                <w:sz w:val="21"/>
                <w:szCs w:val="21"/>
                <w:color w:val="auto"/>
              </w:rPr>
            </w:pPr>
          </w:p>
        </w:tc>
        <w:tc>
          <w:tcPr>
            <w:tcW w:w="1280" w:type="dxa"/>
            <w:vAlign w:val="bottom"/>
            <w:gridSpan w:val="2"/>
          </w:tcPr>
          <w:p>
            <w:pPr>
              <w:ind w:left="240"/>
              <w:spacing w:after="0" w:line="243" w:lineRule="exact"/>
              <w:rPr>
                <w:sz w:val="20"/>
                <w:szCs w:val="20"/>
                <w:color w:val="auto"/>
              </w:rPr>
            </w:pPr>
            <w:r>
              <w:rPr>
                <w:rFonts w:ascii="Arial" w:cs="Arial" w:eastAsia="Arial" w:hAnsi="Arial"/>
                <w:sz w:val="22"/>
                <w:szCs w:val="22"/>
                <w:color w:val="auto"/>
              </w:rPr>
              <w:t>3.3 years</w:t>
            </w:r>
          </w:p>
        </w:tc>
        <w:tc>
          <w:tcPr>
            <w:tcW w:w="136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38.49</w:t>
            </w:r>
          </w:p>
        </w:tc>
        <w:tc>
          <w:tcPr>
            <w:tcW w:w="128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12,952</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38.59</w:t>
            </w:r>
          </w:p>
        </w:tc>
        <w:tc>
          <w:tcPr>
            <w:tcW w:w="0" w:type="dxa"/>
            <w:vAlign w:val="bottom"/>
          </w:tcPr>
          <w:p>
            <w:pPr>
              <w:spacing w:after="0"/>
              <w:rPr>
                <w:sz w:val="1"/>
                <w:szCs w:val="1"/>
                <w:color w:val="auto"/>
              </w:rPr>
            </w:pPr>
          </w:p>
        </w:tc>
      </w:tr>
      <w:tr>
        <w:trPr>
          <w:trHeight w:val="243"/>
        </w:trPr>
        <w:tc>
          <w:tcPr>
            <w:tcW w:w="236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$45.08 - $60.89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13,658</w:t>
            </w:r>
          </w:p>
        </w:tc>
        <w:tc>
          <w:tcPr>
            <w:tcW w:w="260" w:type="dxa"/>
            <w:vAlign w:val="bottom"/>
          </w:tcPr>
          <w:p>
            <w:pPr>
              <w:spacing w:after="0"/>
              <w:rPr>
                <w:sz w:val="21"/>
                <w:szCs w:val="21"/>
                <w:color w:val="auto"/>
              </w:rPr>
            </w:pPr>
          </w:p>
        </w:tc>
        <w:tc>
          <w:tcPr>
            <w:tcW w:w="1280" w:type="dxa"/>
            <w:vAlign w:val="bottom"/>
            <w:gridSpan w:val="2"/>
          </w:tcPr>
          <w:p>
            <w:pPr>
              <w:ind w:left="240"/>
              <w:spacing w:after="0" w:line="243" w:lineRule="exact"/>
              <w:rPr>
                <w:sz w:val="20"/>
                <w:szCs w:val="20"/>
                <w:color w:val="auto"/>
              </w:rPr>
            </w:pPr>
            <w:r>
              <w:rPr>
                <w:rFonts w:ascii="Arial" w:cs="Arial" w:eastAsia="Arial" w:hAnsi="Arial"/>
                <w:sz w:val="22"/>
                <w:szCs w:val="22"/>
                <w:color w:val="auto"/>
              </w:rPr>
              <w:t>4.7 years</w:t>
            </w:r>
          </w:p>
        </w:tc>
        <w:tc>
          <w:tcPr>
            <w:tcW w:w="136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54.65</w:t>
            </w:r>
          </w:p>
        </w:tc>
        <w:tc>
          <w:tcPr>
            <w:tcW w:w="128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13,658</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54.65</w:t>
            </w:r>
          </w:p>
        </w:tc>
        <w:tc>
          <w:tcPr>
            <w:tcW w:w="0" w:type="dxa"/>
            <w:vAlign w:val="bottom"/>
          </w:tcPr>
          <w:p>
            <w:pPr>
              <w:spacing w:after="0"/>
              <w:rPr>
                <w:sz w:val="1"/>
                <w:szCs w:val="1"/>
                <w:color w:val="auto"/>
              </w:rPr>
            </w:pPr>
          </w:p>
        </w:tc>
      </w:tr>
      <w:tr>
        <w:trPr>
          <w:trHeight w:val="275"/>
        </w:trPr>
        <w:tc>
          <w:tcPr>
            <w:tcW w:w="2360" w:type="dxa"/>
            <w:vAlign w:val="bottom"/>
            <w:gridSpan w:val="3"/>
          </w:tcPr>
          <w:p>
            <w:pPr>
              <w:ind w:left="280"/>
              <w:spacing w:after="0"/>
              <w:rPr>
                <w:sz w:val="20"/>
                <w:szCs w:val="20"/>
                <w:color w:val="auto"/>
              </w:rPr>
            </w:pPr>
            <w:r>
              <w:rPr>
                <w:rFonts w:ascii="Arial" w:cs="Arial" w:eastAsia="Arial" w:hAnsi="Arial"/>
                <w:sz w:val="22"/>
                <w:szCs w:val="22"/>
                <w:color w:val="auto"/>
              </w:rPr>
              <w:t>$60.90 - $89.85</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8,917</w:t>
            </w:r>
          </w:p>
        </w:tc>
        <w:tc>
          <w:tcPr>
            <w:tcW w:w="260" w:type="dxa"/>
            <w:vAlign w:val="bottom"/>
          </w:tcPr>
          <w:p>
            <w:pPr>
              <w:spacing w:after="0"/>
              <w:rPr>
                <w:sz w:val="23"/>
                <w:szCs w:val="23"/>
                <w:color w:val="auto"/>
              </w:rPr>
            </w:pPr>
          </w:p>
        </w:tc>
        <w:tc>
          <w:tcPr>
            <w:tcW w:w="1280" w:type="dxa"/>
            <w:vAlign w:val="bottom"/>
            <w:gridSpan w:val="2"/>
          </w:tcPr>
          <w:p>
            <w:pPr>
              <w:ind w:left="240"/>
              <w:spacing w:after="0"/>
              <w:rPr>
                <w:sz w:val="20"/>
                <w:szCs w:val="20"/>
                <w:color w:val="auto"/>
              </w:rPr>
            </w:pPr>
            <w:r>
              <w:rPr>
                <w:rFonts w:ascii="Arial" w:cs="Arial" w:eastAsia="Arial" w:hAnsi="Arial"/>
                <w:sz w:val="22"/>
                <w:szCs w:val="22"/>
                <w:color w:val="auto"/>
              </w:rPr>
              <w:t>4.9 years</w:t>
            </w:r>
          </w:p>
        </w:tc>
        <w:tc>
          <w:tcPr>
            <w:tcW w:w="1360" w:type="dxa"/>
            <w:vAlign w:val="bottom"/>
            <w:gridSpan w:val="2"/>
          </w:tcPr>
          <w:p>
            <w:pPr>
              <w:jc w:val="right"/>
              <w:ind w:right="260"/>
              <w:spacing w:after="0"/>
              <w:rPr>
                <w:sz w:val="20"/>
                <w:szCs w:val="20"/>
                <w:color w:val="auto"/>
              </w:rPr>
            </w:pPr>
            <w:r>
              <w:rPr>
                <w:rFonts w:ascii="Arial" w:cs="Arial" w:eastAsia="Arial" w:hAnsi="Arial"/>
                <w:sz w:val="22"/>
                <w:szCs w:val="22"/>
                <w:color w:val="auto"/>
              </w:rPr>
              <w:t>77.65</w:t>
            </w:r>
          </w:p>
        </w:tc>
        <w:tc>
          <w:tcPr>
            <w:tcW w:w="1280" w:type="dxa"/>
            <w:vAlign w:val="bottom"/>
            <w:gridSpan w:val="2"/>
          </w:tcPr>
          <w:p>
            <w:pPr>
              <w:jc w:val="right"/>
              <w:ind w:right="260"/>
              <w:spacing w:after="0"/>
              <w:rPr>
                <w:sz w:val="20"/>
                <w:szCs w:val="20"/>
                <w:color w:val="auto"/>
              </w:rPr>
            </w:pPr>
            <w:r>
              <w:rPr>
                <w:rFonts w:ascii="Arial" w:cs="Arial" w:eastAsia="Arial" w:hAnsi="Arial"/>
                <w:sz w:val="22"/>
                <w:szCs w:val="22"/>
                <w:color w:val="auto"/>
              </w:rPr>
              <w:t>8,917</w:t>
            </w:r>
          </w:p>
        </w:tc>
        <w:tc>
          <w:tcPr>
            <w:tcW w:w="1100" w:type="dxa"/>
            <w:vAlign w:val="bottom"/>
          </w:tcPr>
          <w:p>
            <w:pPr>
              <w:jc w:val="right"/>
              <w:spacing w:after="0"/>
              <w:rPr>
                <w:sz w:val="20"/>
                <w:szCs w:val="20"/>
                <w:color w:val="auto"/>
              </w:rPr>
            </w:pPr>
            <w:r>
              <w:rPr>
                <w:rFonts w:ascii="Arial" w:cs="Arial" w:eastAsia="Arial" w:hAnsi="Arial"/>
                <w:sz w:val="22"/>
                <w:szCs w:val="22"/>
                <w:color w:val="auto"/>
              </w:rPr>
              <w:t>77.65</w:t>
            </w:r>
          </w:p>
        </w:tc>
        <w:tc>
          <w:tcPr>
            <w:tcW w:w="0" w:type="dxa"/>
            <w:vAlign w:val="bottom"/>
          </w:tcPr>
          <w:p>
            <w:pPr>
              <w:spacing w:after="0"/>
              <w:rPr>
                <w:sz w:val="1"/>
                <w:szCs w:val="1"/>
                <w:color w:val="auto"/>
              </w:rPr>
            </w:pPr>
          </w:p>
        </w:tc>
      </w:tr>
      <w:tr>
        <w:trPr>
          <w:trHeight w:val="98"/>
        </w:trPr>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85,151</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22"/>
                <w:szCs w:val="22"/>
                <w:color w:val="auto"/>
              </w:rPr>
              <w:t>56,110</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2780" w:type="dxa"/>
            <w:vAlign w:val="bottom"/>
            <w:gridSpan w:val="4"/>
            <w:vMerge w:val="restart"/>
          </w:tcPr>
          <w:p>
            <w:pPr>
              <w:spacing w:after="0"/>
              <w:rPr>
                <w:sz w:val="20"/>
                <w:szCs w:val="20"/>
                <w:color w:val="auto"/>
              </w:rPr>
            </w:pPr>
            <w:r>
              <w:rPr>
                <w:rFonts w:ascii="Arial" w:cs="Arial" w:eastAsia="Arial" w:hAnsi="Arial"/>
                <w:sz w:val="22"/>
                <w:szCs w:val="22"/>
                <w:color w:val="auto"/>
                <w:w w:val="88"/>
              </w:rPr>
              <w:t>Class A Special Common Stock</w:t>
            </w:r>
          </w:p>
        </w:tc>
        <w:tc>
          <w:tcPr>
            <w:tcW w:w="680" w:type="dxa"/>
            <w:vAlign w:val="bottom"/>
            <w:vMerge w:val="restart"/>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5"/>
        </w:trPr>
        <w:tc>
          <w:tcPr>
            <w:tcW w:w="280" w:type="dxa"/>
            <w:vAlign w:val="bottom"/>
          </w:tcPr>
          <w:p>
            <w:pPr>
              <w:spacing w:after="0"/>
              <w:rPr>
                <w:sz w:val="24"/>
                <w:szCs w:val="24"/>
                <w:color w:val="auto"/>
              </w:rPr>
            </w:pPr>
          </w:p>
        </w:tc>
        <w:tc>
          <w:tcPr>
            <w:tcW w:w="2780" w:type="dxa"/>
            <w:vAlign w:val="bottom"/>
            <w:tcBorders>
              <w:bottom w:val="single" w:sz="8" w:color="auto"/>
            </w:tcBorders>
            <w:gridSpan w:val="4"/>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22"/>
                <w:szCs w:val="22"/>
                <w:color w:val="auto"/>
              </w:rPr>
              <w:t>7,894</w:t>
            </w:r>
          </w:p>
        </w:tc>
        <w:tc>
          <w:tcPr>
            <w:tcW w:w="260" w:type="dxa"/>
            <w:vAlign w:val="bottom"/>
          </w:tcPr>
          <w:p>
            <w:pPr>
              <w:spacing w:after="0"/>
              <w:rPr>
                <w:sz w:val="24"/>
                <w:szCs w:val="24"/>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22"/>
                <w:szCs w:val="22"/>
                <w:color w:val="auto"/>
              </w:rPr>
              <w:t>2.4 years</w:t>
            </w:r>
          </w:p>
        </w:tc>
        <w:tc>
          <w:tcPr>
            <w:tcW w:w="1360" w:type="dxa"/>
            <w:vAlign w:val="bottom"/>
            <w:gridSpan w:val="2"/>
            <w:vMerge w:val="restart"/>
          </w:tcPr>
          <w:p>
            <w:pPr>
              <w:jc w:val="right"/>
              <w:ind w:right="260"/>
              <w:spacing w:after="0"/>
              <w:rPr>
                <w:sz w:val="20"/>
                <w:szCs w:val="20"/>
                <w:color w:val="auto"/>
              </w:rPr>
            </w:pPr>
            <w:r>
              <w:rPr>
                <w:rFonts w:ascii="Arial" w:cs="Arial" w:eastAsia="Arial" w:hAnsi="Arial"/>
                <w:sz w:val="22"/>
                <w:szCs w:val="22"/>
                <w:color w:val="auto"/>
              </w:rPr>
              <w:t>$10.49</w:t>
            </w: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22"/>
                <w:szCs w:val="22"/>
                <w:color w:val="auto"/>
              </w:rPr>
              <w:t>7,122</w:t>
            </w:r>
          </w:p>
        </w:tc>
        <w:tc>
          <w:tcPr>
            <w:tcW w:w="1100" w:type="dxa"/>
            <w:vAlign w:val="bottom"/>
            <w:vMerge w:val="restart"/>
          </w:tcPr>
          <w:p>
            <w:pPr>
              <w:jc w:val="right"/>
              <w:spacing w:after="0"/>
              <w:rPr>
                <w:sz w:val="20"/>
                <w:szCs w:val="20"/>
                <w:color w:val="auto"/>
              </w:rPr>
            </w:pPr>
            <w:r>
              <w:rPr>
                <w:rFonts w:ascii="Arial" w:cs="Arial" w:eastAsia="Arial" w:hAnsi="Arial"/>
                <w:sz w:val="22"/>
                <w:szCs w:val="22"/>
                <w:color w:val="auto"/>
              </w:rPr>
              <w:t>$10.79</w:t>
            </w:r>
          </w:p>
        </w:tc>
        <w:tc>
          <w:tcPr>
            <w:tcW w:w="0" w:type="dxa"/>
            <w:vAlign w:val="bottom"/>
          </w:tcPr>
          <w:p>
            <w:pPr>
              <w:spacing w:after="0"/>
              <w:rPr>
                <w:sz w:val="1"/>
                <w:szCs w:val="1"/>
                <w:color w:val="auto"/>
              </w:rPr>
            </w:pPr>
          </w:p>
        </w:tc>
      </w:tr>
      <w:tr>
        <w:trPr>
          <w:trHeight w:val="242"/>
        </w:trPr>
        <w:tc>
          <w:tcPr>
            <w:tcW w:w="2360" w:type="dxa"/>
            <w:vAlign w:val="bottom"/>
            <w:gridSpan w:val="3"/>
          </w:tcPr>
          <w:p>
            <w:pPr>
              <w:ind w:left="280"/>
              <w:spacing w:after="0" w:line="242" w:lineRule="exact"/>
              <w:rPr>
                <w:sz w:val="20"/>
                <w:szCs w:val="20"/>
                <w:color w:val="auto"/>
              </w:rPr>
            </w:pPr>
            <w:r>
              <w:rPr>
                <w:rFonts w:ascii="Arial" w:cs="Arial" w:eastAsia="Arial" w:hAnsi="Arial"/>
                <w:sz w:val="22"/>
                <w:szCs w:val="22"/>
                <w:color w:val="auto"/>
              </w:rPr>
              <w:t>$7.31 - $14.94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$16.94 - $25.58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13,317</w:t>
            </w:r>
          </w:p>
        </w:tc>
        <w:tc>
          <w:tcPr>
            <w:tcW w:w="260" w:type="dxa"/>
            <w:vAlign w:val="bottom"/>
          </w:tcPr>
          <w:p>
            <w:pPr>
              <w:spacing w:after="0"/>
              <w:rPr>
                <w:sz w:val="21"/>
                <w:szCs w:val="21"/>
                <w:color w:val="auto"/>
              </w:rPr>
            </w:pPr>
          </w:p>
        </w:tc>
        <w:tc>
          <w:tcPr>
            <w:tcW w:w="1280" w:type="dxa"/>
            <w:vAlign w:val="bottom"/>
            <w:gridSpan w:val="2"/>
          </w:tcPr>
          <w:p>
            <w:pPr>
              <w:ind w:left="240"/>
              <w:spacing w:after="0" w:line="243" w:lineRule="exact"/>
              <w:rPr>
                <w:sz w:val="20"/>
                <w:szCs w:val="20"/>
                <w:color w:val="auto"/>
              </w:rPr>
            </w:pPr>
            <w:r>
              <w:rPr>
                <w:rFonts w:ascii="Arial" w:cs="Arial" w:eastAsia="Arial" w:hAnsi="Arial"/>
                <w:sz w:val="22"/>
                <w:szCs w:val="22"/>
                <w:color w:val="auto"/>
              </w:rPr>
              <w:t>5.5 years</w:t>
            </w:r>
          </w:p>
        </w:tc>
        <w:tc>
          <w:tcPr>
            <w:tcW w:w="136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18.40</w:t>
            </w:r>
          </w:p>
        </w:tc>
        <w:tc>
          <w:tcPr>
            <w:tcW w:w="128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8,008</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17.03</w:t>
            </w:r>
          </w:p>
        </w:tc>
        <w:tc>
          <w:tcPr>
            <w:tcW w:w="0" w:type="dxa"/>
            <w:vAlign w:val="bottom"/>
          </w:tcPr>
          <w:p>
            <w:pPr>
              <w:spacing w:after="0"/>
              <w:rPr>
                <w:sz w:val="1"/>
                <w:szCs w:val="1"/>
                <w:color w:val="auto"/>
              </w:rPr>
            </w:pPr>
          </w:p>
        </w:tc>
      </w:tr>
      <w:tr>
        <w:trPr>
          <w:trHeight w:val="243"/>
        </w:trPr>
        <w:tc>
          <w:tcPr>
            <w:tcW w:w="236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$27.04 - $35.49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16,358</w:t>
            </w:r>
          </w:p>
        </w:tc>
        <w:tc>
          <w:tcPr>
            <w:tcW w:w="260" w:type="dxa"/>
            <w:vAlign w:val="bottom"/>
          </w:tcPr>
          <w:p>
            <w:pPr>
              <w:spacing w:after="0"/>
              <w:rPr>
                <w:sz w:val="21"/>
                <w:szCs w:val="21"/>
                <w:color w:val="auto"/>
              </w:rPr>
            </w:pPr>
          </w:p>
        </w:tc>
        <w:tc>
          <w:tcPr>
            <w:tcW w:w="1280" w:type="dxa"/>
            <w:vAlign w:val="bottom"/>
            <w:gridSpan w:val="2"/>
          </w:tcPr>
          <w:p>
            <w:pPr>
              <w:ind w:left="240"/>
              <w:spacing w:after="0" w:line="243" w:lineRule="exact"/>
              <w:rPr>
                <w:sz w:val="20"/>
                <w:szCs w:val="20"/>
                <w:color w:val="auto"/>
              </w:rPr>
            </w:pPr>
            <w:r>
              <w:rPr>
                <w:rFonts w:ascii="Arial" w:cs="Arial" w:eastAsia="Arial" w:hAnsi="Arial"/>
                <w:sz w:val="22"/>
                <w:szCs w:val="22"/>
                <w:color w:val="auto"/>
              </w:rPr>
              <w:t>7.0 years</w:t>
            </w:r>
          </w:p>
        </w:tc>
        <w:tc>
          <w:tcPr>
            <w:tcW w:w="136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34.11</w:t>
            </w:r>
          </w:p>
        </w:tc>
        <w:tc>
          <w:tcPr>
            <w:tcW w:w="128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4,503</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32.29</w:t>
            </w:r>
          </w:p>
        </w:tc>
        <w:tc>
          <w:tcPr>
            <w:tcW w:w="0" w:type="dxa"/>
            <w:vAlign w:val="bottom"/>
          </w:tcPr>
          <w:p>
            <w:pPr>
              <w:spacing w:after="0"/>
              <w:rPr>
                <w:sz w:val="1"/>
                <w:szCs w:val="1"/>
                <w:color w:val="auto"/>
              </w:rPr>
            </w:pPr>
          </w:p>
        </w:tc>
      </w:tr>
      <w:tr>
        <w:trPr>
          <w:trHeight w:val="243"/>
        </w:trPr>
        <w:tc>
          <w:tcPr>
            <w:tcW w:w="236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$35.53 - $45.17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21,445</w:t>
            </w:r>
          </w:p>
        </w:tc>
        <w:tc>
          <w:tcPr>
            <w:tcW w:w="260" w:type="dxa"/>
            <w:vAlign w:val="bottom"/>
          </w:tcPr>
          <w:p>
            <w:pPr>
              <w:spacing w:after="0"/>
              <w:rPr>
                <w:sz w:val="21"/>
                <w:szCs w:val="21"/>
                <w:color w:val="auto"/>
              </w:rPr>
            </w:pPr>
          </w:p>
        </w:tc>
        <w:tc>
          <w:tcPr>
            <w:tcW w:w="1280" w:type="dxa"/>
            <w:vAlign w:val="bottom"/>
            <w:gridSpan w:val="2"/>
          </w:tcPr>
          <w:p>
            <w:pPr>
              <w:ind w:left="240"/>
              <w:spacing w:after="0" w:line="243" w:lineRule="exact"/>
              <w:rPr>
                <w:sz w:val="20"/>
                <w:szCs w:val="20"/>
                <w:color w:val="auto"/>
              </w:rPr>
            </w:pPr>
            <w:r>
              <w:rPr>
                <w:rFonts w:ascii="Arial" w:cs="Arial" w:eastAsia="Arial" w:hAnsi="Arial"/>
                <w:sz w:val="22"/>
                <w:szCs w:val="22"/>
                <w:color w:val="auto"/>
              </w:rPr>
              <w:t>6.8 years</w:t>
            </w:r>
          </w:p>
        </w:tc>
        <w:tc>
          <w:tcPr>
            <w:tcW w:w="136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38.26</w:t>
            </w:r>
          </w:p>
        </w:tc>
        <w:tc>
          <w:tcPr>
            <w:tcW w:w="128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8,679</w:t>
            </w:r>
          </w:p>
        </w:tc>
        <w:tc>
          <w:tcPr>
            <w:tcW w:w="1100" w:type="dxa"/>
            <w:vAlign w:val="bottom"/>
          </w:tcPr>
          <w:p>
            <w:pPr>
              <w:jc w:val="right"/>
              <w:spacing w:after="0" w:line="243" w:lineRule="exact"/>
              <w:rPr>
                <w:sz w:val="20"/>
                <w:szCs w:val="20"/>
                <w:color w:val="auto"/>
              </w:rPr>
            </w:pPr>
            <w:r>
              <w:rPr>
                <w:rFonts w:ascii="Arial" w:cs="Arial" w:eastAsia="Arial" w:hAnsi="Arial"/>
                <w:sz w:val="22"/>
                <w:szCs w:val="22"/>
                <w:color w:val="auto"/>
              </w:rPr>
              <w:t>38.48</w:t>
            </w:r>
          </w:p>
        </w:tc>
        <w:tc>
          <w:tcPr>
            <w:tcW w:w="0" w:type="dxa"/>
            <w:vAlign w:val="bottom"/>
          </w:tcPr>
          <w:p>
            <w:pPr>
              <w:spacing w:after="0"/>
              <w:rPr>
                <w:sz w:val="1"/>
                <w:szCs w:val="1"/>
                <w:color w:val="auto"/>
              </w:rPr>
            </w:pPr>
          </w:p>
        </w:tc>
      </w:tr>
      <w:tr>
        <w:trPr>
          <w:trHeight w:val="275"/>
        </w:trPr>
        <w:tc>
          <w:tcPr>
            <w:tcW w:w="2360" w:type="dxa"/>
            <w:vAlign w:val="bottom"/>
            <w:gridSpan w:val="3"/>
          </w:tcPr>
          <w:p>
            <w:pPr>
              <w:ind w:left="280"/>
              <w:spacing w:after="0"/>
              <w:rPr>
                <w:sz w:val="20"/>
                <w:szCs w:val="20"/>
                <w:color w:val="auto"/>
              </w:rPr>
            </w:pPr>
            <w:r>
              <w:rPr>
                <w:rFonts w:ascii="Arial" w:cs="Arial" w:eastAsia="Arial" w:hAnsi="Arial"/>
                <w:sz w:val="22"/>
                <w:szCs w:val="22"/>
                <w:color w:val="auto"/>
              </w:rPr>
              <w:t>$45.94 - $53.13</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1,450</w:t>
            </w:r>
          </w:p>
        </w:tc>
        <w:tc>
          <w:tcPr>
            <w:tcW w:w="260" w:type="dxa"/>
            <w:vAlign w:val="bottom"/>
          </w:tcPr>
          <w:p>
            <w:pPr>
              <w:spacing w:after="0"/>
              <w:rPr>
                <w:sz w:val="23"/>
                <w:szCs w:val="23"/>
                <w:color w:val="auto"/>
              </w:rPr>
            </w:pPr>
          </w:p>
        </w:tc>
        <w:tc>
          <w:tcPr>
            <w:tcW w:w="1280" w:type="dxa"/>
            <w:vAlign w:val="bottom"/>
            <w:gridSpan w:val="2"/>
          </w:tcPr>
          <w:p>
            <w:pPr>
              <w:ind w:left="240"/>
              <w:spacing w:after="0"/>
              <w:rPr>
                <w:sz w:val="20"/>
                <w:szCs w:val="20"/>
                <w:color w:val="auto"/>
              </w:rPr>
            </w:pPr>
            <w:r>
              <w:rPr>
                <w:rFonts w:ascii="Arial" w:cs="Arial" w:eastAsia="Arial" w:hAnsi="Arial"/>
                <w:sz w:val="22"/>
                <w:szCs w:val="22"/>
                <w:color w:val="auto"/>
              </w:rPr>
              <w:t>5.9 years</w:t>
            </w:r>
          </w:p>
        </w:tc>
        <w:tc>
          <w:tcPr>
            <w:tcW w:w="1360" w:type="dxa"/>
            <w:vAlign w:val="bottom"/>
            <w:gridSpan w:val="2"/>
          </w:tcPr>
          <w:p>
            <w:pPr>
              <w:jc w:val="right"/>
              <w:ind w:right="260"/>
              <w:spacing w:after="0"/>
              <w:rPr>
                <w:sz w:val="20"/>
                <w:szCs w:val="20"/>
                <w:color w:val="auto"/>
              </w:rPr>
            </w:pPr>
            <w:r>
              <w:rPr>
                <w:rFonts w:ascii="Arial" w:cs="Arial" w:eastAsia="Arial" w:hAnsi="Arial"/>
                <w:sz w:val="22"/>
                <w:szCs w:val="22"/>
                <w:color w:val="auto"/>
              </w:rPr>
              <w:t>50.47</w:t>
            </w:r>
          </w:p>
        </w:tc>
        <w:tc>
          <w:tcPr>
            <w:tcW w:w="1280" w:type="dxa"/>
            <w:vAlign w:val="bottom"/>
            <w:gridSpan w:val="2"/>
          </w:tcPr>
          <w:p>
            <w:pPr>
              <w:jc w:val="right"/>
              <w:ind w:right="260"/>
              <w:spacing w:after="0"/>
              <w:rPr>
                <w:sz w:val="20"/>
                <w:szCs w:val="20"/>
                <w:color w:val="auto"/>
              </w:rPr>
            </w:pPr>
            <w:r>
              <w:rPr>
                <w:rFonts w:ascii="Arial" w:cs="Arial" w:eastAsia="Arial" w:hAnsi="Arial"/>
                <w:sz w:val="22"/>
                <w:szCs w:val="22"/>
                <w:color w:val="auto"/>
              </w:rPr>
              <w:t>900</w:t>
            </w:r>
          </w:p>
        </w:tc>
        <w:tc>
          <w:tcPr>
            <w:tcW w:w="1100" w:type="dxa"/>
            <w:vAlign w:val="bottom"/>
          </w:tcPr>
          <w:p>
            <w:pPr>
              <w:jc w:val="right"/>
              <w:spacing w:after="0"/>
              <w:rPr>
                <w:sz w:val="20"/>
                <w:szCs w:val="20"/>
                <w:color w:val="auto"/>
              </w:rPr>
            </w:pPr>
            <w:r>
              <w:rPr>
                <w:rFonts w:ascii="Arial" w:cs="Arial" w:eastAsia="Arial" w:hAnsi="Arial"/>
                <w:sz w:val="22"/>
                <w:szCs w:val="22"/>
                <w:color w:val="auto"/>
              </w:rPr>
              <w:t>50.41</w:t>
            </w:r>
          </w:p>
        </w:tc>
        <w:tc>
          <w:tcPr>
            <w:tcW w:w="0" w:type="dxa"/>
            <w:vAlign w:val="bottom"/>
          </w:tcPr>
          <w:p>
            <w:pPr>
              <w:spacing w:after="0"/>
              <w:rPr>
                <w:sz w:val="1"/>
                <w:szCs w:val="1"/>
                <w:color w:val="auto"/>
              </w:rPr>
            </w:pPr>
          </w:p>
        </w:tc>
      </w:tr>
      <w:tr>
        <w:trPr>
          <w:trHeight w:val="98"/>
        </w:trPr>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60,464</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22"/>
                <w:szCs w:val="22"/>
                <w:color w:val="auto"/>
              </w:rPr>
              <w:t>29,212</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-1549400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-1549400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-1549400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-1549400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460" w:right="80"/>
        <w:spacing w:after="0" w:line="297" w:lineRule="auto"/>
        <w:rPr>
          <w:sz w:val="20"/>
          <w:szCs w:val="20"/>
          <w:color w:val="auto"/>
        </w:rPr>
      </w:pPr>
      <w:r>
        <w:rPr>
          <w:rFonts w:ascii="Arial" w:cs="Arial" w:eastAsia="Arial" w:hAnsi="Arial"/>
          <w:sz w:val="19"/>
          <w:szCs w:val="19"/>
          <w:i w:val="1"/>
          <w:iCs w:val="1"/>
          <w:color w:val="auto"/>
        </w:rPr>
        <w:t>Subsidiary Option Plans</w:t>
      </w:r>
      <w:r>
        <w:rPr>
          <w:rFonts w:ascii="Arial" w:cs="Arial" w:eastAsia="Arial" w:hAnsi="Arial"/>
          <w:sz w:val="19"/>
          <w:szCs w:val="19"/>
          <w:color w:val="auto"/>
        </w:rPr>
        <w:t>. Certain of our subsidiaries maintain combination stock option/stock appreciation rights (“SAR”)</w:t>
      </w:r>
      <w:r>
        <w:rPr>
          <w:rFonts w:ascii="Arial" w:cs="Arial" w:eastAsia="Arial" w:hAnsi="Arial"/>
          <w:sz w:val="19"/>
          <w:szCs w:val="19"/>
          <w:i w:val="1"/>
          <w:iCs w:val="1"/>
          <w:color w:val="auto"/>
        </w:rPr>
        <w:t xml:space="preserve"> </w:t>
      </w:r>
      <w:r>
        <w:rPr>
          <w:rFonts w:ascii="Arial" w:cs="Arial" w:eastAsia="Arial" w:hAnsi="Arial"/>
          <w:sz w:val="19"/>
          <w:szCs w:val="19"/>
          <w:color w:val="auto"/>
        </w:rPr>
        <w:t>plans (collectively, the “Tandem Plans”) for employees, officers, directors and other designated persons. Under the Tandem Plans, the option price is generally not less than the fair value, as determined by an independent appraisal, of a share of the</w:t>
      </w:r>
    </w:p>
    <w:p>
      <w:pPr>
        <w:sectPr>
          <w:pgSz w:w="11900" w:h="16971" w:orient="portrait"/>
          <w:cols w:equalWidth="0" w:num="1">
            <w:col w:w="11200"/>
          </w:cols>
          <w:pgMar w:left="240" w:top="108" w:right="459" w:bottom="0" w:gutter="0" w:footer="0" w:header="0"/>
        </w:sectPr>
      </w:pPr>
    </w:p>
    <w:bookmarkStart w:id="89" w:name="page90"/>
    <w:bookmarkEnd w:id="89"/>
    <w:p>
      <w:pPr>
        <w:ind w:left="460"/>
        <w:spacing w:after="0" w:line="247" w:lineRule="auto"/>
        <w:rPr>
          <w:sz w:val="20"/>
          <w:szCs w:val="20"/>
          <w:color w:val="auto"/>
        </w:rPr>
      </w:pPr>
      <w:r>
        <w:rPr>
          <w:rFonts w:ascii="Arial" w:cs="Arial" w:eastAsia="Arial" w:hAnsi="Arial"/>
          <w:sz w:val="21"/>
          <w:szCs w:val="21"/>
          <w:color w:val="auto"/>
        </w:rPr>
        <w:t>underlying common stock at the date of grant. If the eligible participant elects the SAR feature of the Tandem Plans, the participant receives 75% of the excess of the fair value of a share of the underlying common stock over the exercise price of the option to which it is attached at the exercise date. The holders of a majority of the outstanding options have stated an intention not to exercise the SAR feature of the Tandem Plans. Because the exercise of the option component is more likely than the exercise of the SAR feature, compensation expense is measured based on the stock option component. Under the Tandem Plans, option/SAR terms are ten years from the date of grant, with options/SARs generally becoming exercisable over four to five years from the date of grant.</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Other Stock-Based Compensation Plans</w:t>
      </w:r>
    </w:p>
    <w:p>
      <w:pPr>
        <w:spacing w:after="0" w:line="8" w:lineRule="exact"/>
        <w:rPr>
          <w:sz w:val="20"/>
          <w:szCs w:val="20"/>
          <w:color w:val="auto"/>
        </w:rPr>
      </w:pPr>
    </w:p>
    <w:p>
      <w:pPr>
        <w:ind w:left="460"/>
        <w:spacing w:after="0" w:line="232" w:lineRule="auto"/>
        <w:rPr>
          <w:sz w:val="20"/>
          <w:szCs w:val="20"/>
          <w:color w:val="auto"/>
        </w:rPr>
      </w:pPr>
      <w:r>
        <w:rPr>
          <w:rFonts w:ascii="Arial" w:cs="Arial" w:eastAsia="Arial" w:hAnsi="Arial"/>
          <w:sz w:val="22"/>
          <w:szCs w:val="22"/>
          <w:color w:val="auto"/>
        </w:rPr>
        <w:t>We maintain a restricted stock plan under which management employees may be granted restricted share awards in our Class A or Class A Special common stock (the “Restricted Stock Plan”). The share awards vest annually, generally over a period not to exceed five years from the date of the award, and do not have voting rights. At December 31, 2003, there were 312,000 shares of our Class A common stock and 573,000 shares of our Class A Special common stock issuable in connection with restricted share awards under the Restricted Stock Plan, of which 35,000 shares and 172,000 shares were issued in January 2004, respectively.</w:t>
      </w:r>
    </w:p>
    <w:p>
      <w:pPr>
        <w:spacing w:after="0" w:line="216" w:lineRule="exact"/>
        <w:rPr>
          <w:sz w:val="20"/>
          <w:szCs w:val="20"/>
          <w:color w:val="auto"/>
        </w:rPr>
      </w:pPr>
    </w:p>
    <w:p>
      <w:pPr>
        <w:ind w:left="460" w:right="320"/>
        <w:spacing w:after="0" w:line="297" w:lineRule="auto"/>
        <w:rPr>
          <w:sz w:val="20"/>
          <w:szCs w:val="20"/>
          <w:color w:val="auto"/>
        </w:rPr>
      </w:pPr>
      <w:r>
        <w:rPr>
          <w:rFonts w:ascii="Arial" w:cs="Arial" w:eastAsia="Arial" w:hAnsi="Arial"/>
          <w:sz w:val="19"/>
          <w:szCs w:val="19"/>
          <w:color w:val="auto"/>
        </w:rPr>
        <w:t>We also maintain a deferred stock option plan for certain employees, officers and directors that provides the optionees with the opportunity to defer the receipt of shares of our Class A or Class A Special common stock which would otherwise be deliverable upon exercise by the optionees of their stock options. As of December 31, 2003, 6.1</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right="940"/>
        <w:spacing w:after="0" w:line="251" w:lineRule="auto"/>
        <w:rPr>
          <w:sz w:val="20"/>
          <w:szCs w:val="20"/>
          <w:color w:val="auto"/>
        </w:rPr>
      </w:pPr>
      <w:r>
        <w:rPr>
          <w:rFonts w:ascii="Arial" w:cs="Arial" w:eastAsia="Arial" w:hAnsi="Arial"/>
          <w:sz w:val="22"/>
          <w:szCs w:val="22"/>
          <w:color w:val="auto"/>
        </w:rPr>
        <w:t>million shares of Class A Special common stock were issuable under options exercised but the receipt of which was irrevocably deferred by the optionees pursuant to our deferred stock option plan.</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22"/>
          <w:szCs w:val="22"/>
          <w:color w:val="auto"/>
        </w:rPr>
        <w:t>The following table summarizes information related to our Restricted Stock Plan:</w:t>
      </w:r>
    </w:p>
    <w:p>
      <w:pPr>
        <w:spacing w:after="0" w:line="223" w:lineRule="exact"/>
        <w:rPr>
          <w:sz w:val="20"/>
          <w:szCs w:val="20"/>
          <w:color w:val="auto"/>
        </w:rPr>
      </w:pPr>
    </w:p>
    <w:tbl>
      <w:tblPr>
        <w:tblLayout w:type="fixed"/>
        <w:tblInd w:w="280" w:type="dxa"/>
        <w:tblCellMar>
          <w:top w:w="0" w:type="dxa"/>
          <w:left w:w="0" w:type="dxa"/>
          <w:bottom w:w="0" w:type="dxa"/>
          <w:right w:w="0" w:type="dxa"/>
        </w:tblCellMar>
      </w:tblPr>
      <w:tr>
        <w:trPr>
          <w:trHeight w:val="253"/>
        </w:trPr>
        <w:tc>
          <w:tcPr>
            <w:tcW w:w="186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3560" w:type="dxa"/>
            <w:vAlign w:val="bottom"/>
            <w:gridSpan w:val="5"/>
          </w:tcPr>
          <w:p>
            <w:pPr>
              <w:jc w:val="center"/>
              <w:spacing w:after="0"/>
              <w:rPr>
                <w:sz w:val="20"/>
                <w:szCs w:val="20"/>
                <w:color w:val="auto"/>
              </w:rPr>
            </w:pPr>
            <w:r>
              <w:rPr>
                <w:rFonts w:ascii="Arial" w:cs="Arial" w:eastAsia="Arial" w:hAnsi="Arial"/>
                <w:sz w:val="22"/>
                <w:szCs w:val="22"/>
                <w:color w:val="auto"/>
                <w:w w:val="87"/>
              </w:rPr>
              <w:t>Year Ended December 31,</w:t>
            </w:r>
          </w:p>
        </w:tc>
        <w:tc>
          <w:tcPr>
            <w:tcW w:w="0" w:type="dxa"/>
            <w:vAlign w:val="bottom"/>
          </w:tcPr>
          <w:p>
            <w:pPr>
              <w:spacing w:after="0"/>
              <w:rPr>
                <w:sz w:val="1"/>
                <w:szCs w:val="1"/>
                <w:color w:val="auto"/>
              </w:rPr>
            </w:pPr>
          </w:p>
        </w:tc>
      </w:tr>
      <w:tr>
        <w:trPr>
          <w:trHeight w:val="275"/>
        </w:trPr>
        <w:tc>
          <w:tcPr>
            <w:tcW w:w="186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2003</w:t>
            </w:r>
          </w:p>
        </w:tc>
        <w:tc>
          <w:tcPr>
            <w:tcW w:w="1320" w:type="dxa"/>
            <w:vAlign w:val="bottom"/>
            <w:gridSpan w:val="2"/>
          </w:tcPr>
          <w:p>
            <w:pPr>
              <w:jc w:val="right"/>
              <w:ind w:right="240"/>
              <w:spacing w:after="0"/>
              <w:rPr>
                <w:sz w:val="20"/>
                <w:szCs w:val="20"/>
                <w:color w:val="auto"/>
              </w:rPr>
            </w:pPr>
            <w:r>
              <w:rPr>
                <w:rFonts w:ascii="Arial" w:cs="Arial" w:eastAsia="Arial" w:hAnsi="Arial"/>
                <w:sz w:val="22"/>
                <w:szCs w:val="22"/>
                <w:color w:val="auto"/>
              </w:rPr>
              <w:t>2002</w:t>
            </w:r>
          </w:p>
        </w:tc>
        <w:tc>
          <w:tcPr>
            <w:tcW w:w="420" w:type="dxa"/>
            <w:vAlign w:val="bottom"/>
          </w:tcPr>
          <w:p>
            <w:pPr>
              <w:spacing w:after="0"/>
              <w:rPr>
                <w:sz w:val="23"/>
                <w:szCs w:val="23"/>
                <w:color w:val="auto"/>
              </w:rPr>
            </w:pPr>
          </w:p>
        </w:tc>
        <w:tc>
          <w:tcPr>
            <w:tcW w:w="900" w:type="dxa"/>
            <w:vAlign w:val="bottom"/>
          </w:tcPr>
          <w:p>
            <w:pPr>
              <w:jc w:val="right"/>
              <w:ind w:right="132"/>
              <w:spacing w:after="0"/>
              <w:rPr>
                <w:sz w:val="20"/>
                <w:szCs w:val="20"/>
                <w:color w:val="auto"/>
              </w:rPr>
            </w:pPr>
            <w:r>
              <w:rPr>
                <w:rFonts w:ascii="Arial" w:cs="Arial" w:eastAsia="Arial" w:hAnsi="Arial"/>
                <w:sz w:val="22"/>
                <w:szCs w:val="22"/>
                <w:color w:val="auto"/>
              </w:rPr>
              <w:t>2001</w:t>
            </w:r>
          </w:p>
        </w:tc>
        <w:tc>
          <w:tcPr>
            <w:tcW w:w="0" w:type="dxa"/>
            <w:vAlign w:val="bottom"/>
          </w:tcPr>
          <w:p>
            <w:pPr>
              <w:spacing w:after="0"/>
              <w:rPr>
                <w:sz w:val="1"/>
                <w:szCs w:val="1"/>
                <w:color w:val="auto"/>
              </w:rPr>
            </w:pPr>
          </w:p>
        </w:tc>
      </w:tr>
      <w:tr>
        <w:trPr>
          <w:trHeight w:val="98"/>
        </w:trPr>
        <w:tc>
          <w:tcPr>
            <w:tcW w:w="1860" w:type="dxa"/>
            <w:vAlign w:val="bottom"/>
            <w:vMerge w:val="restart"/>
          </w:tcPr>
          <w:p>
            <w:pPr>
              <w:spacing w:after="0"/>
              <w:rPr>
                <w:sz w:val="20"/>
                <w:szCs w:val="20"/>
                <w:color w:val="auto"/>
              </w:rPr>
            </w:pPr>
            <w:r>
              <w:rPr>
                <w:rFonts w:ascii="Arial" w:cs="Arial" w:eastAsia="Arial" w:hAnsi="Arial"/>
                <w:sz w:val="22"/>
                <w:szCs w:val="22"/>
                <w:color w:val="auto"/>
                <w:w w:val="87"/>
              </w:rPr>
              <w:t>Restricted Stock Plan</w:t>
            </w:r>
          </w:p>
        </w:tc>
        <w:tc>
          <w:tcPr>
            <w:tcW w:w="4360" w:type="dxa"/>
            <w:vAlign w:val="bottom"/>
            <w:vMerge w:val="restart"/>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52"/>
        </w:trPr>
        <w:tc>
          <w:tcPr>
            <w:tcW w:w="1860" w:type="dxa"/>
            <w:vAlign w:val="bottom"/>
            <w:tcBorders>
              <w:bottom w:val="single" w:sz="8" w:color="auto"/>
            </w:tcBorders>
            <w:vMerge w:val="continue"/>
          </w:tcPr>
          <w:p>
            <w:pPr>
              <w:spacing w:after="0"/>
              <w:rPr>
                <w:sz w:val="24"/>
                <w:szCs w:val="24"/>
                <w:color w:val="auto"/>
              </w:rPr>
            </w:pPr>
          </w:p>
        </w:tc>
        <w:tc>
          <w:tcPr>
            <w:tcW w:w="4360" w:type="dxa"/>
            <w:vAlign w:val="bottom"/>
            <w:vMerge w:val="continue"/>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22"/>
                <w:szCs w:val="22"/>
                <w:color w:val="auto"/>
              </w:rPr>
              <w:t>197</w:t>
            </w:r>
          </w:p>
        </w:tc>
        <w:tc>
          <w:tcPr>
            <w:tcW w:w="1740" w:type="dxa"/>
            <w:vAlign w:val="bottom"/>
            <w:gridSpan w:val="3"/>
            <w:vMerge w:val="restart"/>
          </w:tcPr>
          <w:p>
            <w:pPr>
              <w:jc w:val="right"/>
              <w:ind w:right="420"/>
              <w:spacing w:after="0"/>
              <w:rPr>
                <w:sz w:val="20"/>
                <w:szCs w:val="20"/>
                <w:color w:val="auto"/>
              </w:rPr>
            </w:pPr>
            <w:r>
              <w:rPr>
                <w:rFonts w:ascii="Arial" w:cs="Arial" w:eastAsia="Arial" w:hAnsi="Arial"/>
                <w:sz w:val="22"/>
                <w:szCs w:val="22"/>
                <w:color w:val="auto"/>
              </w:rPr>
              <w:t>61</w:t>
            </w:r>
          </w:p>
        </w:tc>
        <w:tc>
          <w:tcPr>
            <w:tcW w:w="900" w:type="dxa"/>
            <w:vAlign w:val="bottom"/>
            <w:vMerge w:val="restart"/>
          </w:tcPr>
          <w:p>
            <w:pPr>
              <w:jc w:val="right"/>
              <w:spacing w:after="0"/>
              <w:rPr>
                <w:sz w:val="20"/>
                <w:szCs w:val="20"/>
                <w:color w:val="auto"/>
              </w:rPr>
            </w:pPr>
            <w:r>
              <w:rPr>
                <w:rFonts w:ascii="Arial" w:cs="Arial" w:eastAsia="Arial" w:hAnsi="Arial"/>
                <w:sz w:val="22"/>
                <w:szCs w:val="22"/>
                <w:color w:val="auto"/>
              </w:rPr>
              <w:t>157</w:t>
            </w:r>
          </w:p>
        </w:tc>
        <w:tc>
          <w:tcPr>
            <w:tcW w:w="0" w:type="dxa"/>
            <w:vAlign w:val="bottom"/>
          </w:tcPr>
          <w:p>
            <w:pPr>
              <w:spacing w:after="0"/>
              <w:rPr>
                <w:sz w:val="1"/>
                <w:szCs w:val="1"/>
                <w:color w:val="auto"/>
              </w:rPr>
            </w:pPr>
          </w:p>
        </w:tc>
      </w:tr>
      <w:tr>
        <w:trPr>
          <w:trHeight w:val="242"/>
        </w:trPr>
        <w:tc>
          <w:tcPr>
            <w:tcW w:w="6220" w:type="dxa"/>
            <w:vAlign w:val="bottom"/>
            <w:gridSpan w:val="2"/>
          </w:tcPr>
          <w:p>
            <w:pPr>
              <w:spacing w:after="0" w:line="242" w:lineRule="exact"/>
              <w:rPr>
                <w:sz w:val="20"/>
                <w:szCs w:val="20"/>
                <w:color w:val="auto"/>
              </w:rPr>
            </w:pPr>
            <w:r>
              <w:rPr>
                <w:rFonts w:ascii="Arial" w:cs="Arial" w:eastAsia="Arial" w:hAnsi="Arial"/>
                <w:sz w:val="22"/>
                <w:szCs w:val="22"/>
                <w:color w:val="auto"/>
              </w:rPr>
              <w:t>Share awards granted (in thousands)</w:t>
            </w:r>
          </w:p>
        </w:tc>
        <w:tc>
          <w:tcPr>
            <w:tcW w:w="920" w:type="dxa"/>
            <w:vAlign w:val="bottom"/>
            <w:vMerge w:val="continue"/>
          </w:tcPr>
          <w:p>
            <w:pPr>
              <w:spacing w:after="0"/>
              <w:rPr>
                <w:sz w:val="21"/>
                <w:szCs w:val="21"/>
                <w:color w:val="auto"/>
              </w:rPr>
            </w:pPr>
          </w:p>
        </w:tc>
        <w:tc>
          <w:tcPr>
            <w:tcW w:w="1740" w:type="dxa"/>
            <w:vAlign w:val="bottom"/>
            <w:gridSpan w:val="3"/>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gridSpan w:val="2"/>
          </w:tcPr>
          <w:p>
            <w:pPr>
              <w:spacing w:after="0" w:line="243" w:lineRule="exact"/>
              <w:rPr>
                <w:sz w:val="20"/>
                <w:szCs w:val="20"/>
                <w:color w:val="auto"/>
              </w:rPr>
            </w:pPr>
            <w:r>
              <w:rPr>
                <w:rFonts w:ascii="Arial" w:cs="Arial" w:eastAsia="Arial" w:hAnsi="Arial"/>
                <w:sz w:val="22"/>
                <w:szCs w:val="22"/>
                <w:color w:val="auto"/>
              </w:rPr>
              <w:t>Weighted-average fair value per share at date of grant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$30.85</w:t>
            </w:r>
          </w:p>
        </w:tc>
        <w:tc>
          <w:tcPr>
            <w:tcW w:w="1740" w:type="dxa"/>
            <w:vAlign w:val="bottom"/>
            <w:gridSpan w:val="3"/>
          </w:tcPr>
          <w:p>
            <w:pPr>
              <w:jc w:val="right"/>
              <w:ind w:right="420"/>
              <w:spacing w:after="0" w:line="243" w:lineRule="exact"/>
              <w:rPr>
                <w:sz w:val="20"/>
                <w:szCs w:val="20"/>
                <w:color w:val="auto"/>
              </w:rPr>
            </w:pPr>
            <w:r>
              <w:rPr>
                <w:rFonts w:ascii="Arial" w:cs="Arial" w:eastAsia="Arial" w:hAnsi="Arial"/>
                <w:sz w:val="22"/>
                <w:szCs w:val="22"/>
                <w:color w:val="auto"/>
              </w:rPr>
              <w:t>$28.47</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$39.52</w:t>
            </w:r>
          </w:p>
        </w:tc>
        <w:tc>
          <w:tcPr>
            <w:tcW w:w="0" w:type="dxa"/>
            <w:vAlign w:val="bottom"/>
          </w:tcPr>
          <w:p>
            <w:pPr>
              <w:spacing w:after="0"/>
              <w:rPr>
                <w:sz w:val="1"/>
                <w:szCs w:val="1"/>
                <w:color w:val="auto"/>
              </w:rPr>
            </w:pPr>
          </w:p>
        </w:tc>
      </w:tr>
      <w:tr>
        <w:trPr>
          <w:trHeight w:val="275"/>
        </w:trPr>
        <w:tc>
          <w:tcPr>
            <w:tcW w:w="6220" w:type="dxa"/>
            <w:vAlign w:val="bottom"/>
            <w:gridSpan w:val="2"/>
          </w:tcPr>
          <w:p>
            <w:pPr>
              <w:spacing w:after="0"/>
              <w:rPr>
                <w:sz w:val="20"/>
                <w:szCs w:val="20"/>
                <w:color w:val="auto"/>
              </w:rPr>
            </w:pPr>
            <w:r>
              <w:rPr>
                <w:rFonts w:ascii="Arial" w:cs="Arial" w:eastAsia="Arial" w:hAnsi="Arial"/>
                <w:sz w:val="22"/>
                <w:szCs w:val="22"/>
                <w:color w:val="auto"/>
              </w:rPr>
              <w:t>Compensation expense (in millions)</w:t>
            </w:r>
          </w:p>
        </w:tc>
        <w:tc>
          <w:tcPr>
            <w:tcW w:w="920" w:type="dxa"/>
            <w:vAlign w:val="bottom"/>
          </w:tcPr>
          <w:p>
            <w:pPr>
              <w:jc w:val="right"/>
              <w:spacing w:after="0"/>
              <w:rPr>
                <w:sz w:val="20"/>
                <w:szCs w:val="20"/>
                <w:color w:val="auto"/>
              </w:rPr>
            </w:pPr>
            <w:r>
              <w:rPr>
                <w:rFonts w:ascii="Arial" w:cs="Arial" w:eastAsia="Arial" w:hAnsi="Arial"/>
                <w:sz w:val="22"/>
                <w:szCs w:val="22"/>
                <w:color w:val="auto"/>
              </w:rPr>
              <w:t>$8</w:t>
            </w:r>
          </w:p>
        </w:tc>
        <w:tc>
          <w:tcPr>
            <w:tcW w:w="1740" w:type="dxa"/>
            <w:vAlign w:val="bottom"/>
            <w:gridSpan w:val="3"/>
          </w:tcPr>
          <w:p>
            <w:pPr>
              <w:jc w:val="right"/>
              <w:ind w:right="420"/>
              <w:spacing w:after="0"/>
              <w:rPr>
                <w:sz w:val="20"/>
                <w:szCs w:val="20"/>
                <w:color w:val="auto"/>
              </w:rPr>
            </w:pPr>
            <w:r>
              <w:rPr>
                <w:rFonts w:ascii="Arial" w:cs="Arial" w:eastAsia="Arial" w:hAnsi="Arial"/>
                <w:sz w:val="22"/>
                <w:szCs w:val="22"/>
                <w:color w:val="auto"/>
              </w:rPr>
              <w:t>$8</w:t>
            </w:r>
          </w:p>
        </w:tc>
        <w:tc>
          <w:tcPr>
            <w:tcW w:w="900" w:type="dxa"/>
            <w:vAlign w:val="bottom"/>
          </w:tcPr>
          <w:p>
            <w:pPr>
              <w:jc w:val="right"/>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INCOME TAXES</w:t>
      </w:r>
    </w:p>
    <w:p>
      <w:pPr>
        <w:spacing w:after="0" w:line="233" w:lineRule="exact"/>
        <w:rPr>
          <w:rFonts w:ascii="Arial" w:cs="Arial" w:eastAsia="Arial" w:hAnsi="Arial"/>
          <w:sz w:val="22"/>
          <w:szCs w:val="22"/>
          <w:color w:val="auto"/>
        </w:rPr>
      </w:pPr>
    </w:p>
    <w:p>
      <w:pPr>
        <w:ind w:left="460" w:right="200"/>
        <w:spacing w:after="0"/>
        <w:rPr>
          <w:rFonts w:ascii="Arial" w:cs="Arial" w:eastAsia="Arial" w:hAnsi="Arial"/>
          <w:sz w:val="22"/>
          <w:szCs w:val="22"/>
          <w:color w:val="auto"/>
        </w:rPr>
      </w:pPr>
      <w:r>
        <w:rPr>
          <w:rFonts w:ascii="Arial" w:cs="Arial" w:eastAsia="Arial" w:hAnsi="Arial"/>
          <w:sz w:val="22"/>
          <w:szCs w:val="22"/>
          <w:color w:val="auto"/>
        </w:rPr>
        <w:t>We join with our 80% or more owned subsidiaries (the “Consolidated Group”) in filing consolidated federal income tax returns. E! Entertainment files separate consolidated federal income tax returns. Income tax expense (benefit) consists of the following components (in millions):</w:t>
      </w:r>
    </w:p>
    <w:p>
      <w:pPr>
        <w:spacing w:after="0" w:line="204" w:lineRule="exact"/>
        <w:rPr>
          <w:sz w:val="20"/>
          <w:szCs w:val="20"/>
          <w:color w:val="auto"/>
        </w:rPr>
      </w:pPr>
    </w:p>
    <w:tbl>
      <w:tblPr>
        <w:tblLayout w:type="fixed"/>
        <w:tblInd w:w="280" w:type="dxa"/>
        <w:tblCellMar>
          <w:top w:w="0" w:type="dxa"/>
          <w:left w:w="0" w:type="dxa"/>
          <w:bottom w:w="0" w:type="dxa"/>
          <w:right w:w="0" w:type="dxa"/>
        </w:tblCellMar>
      </w:tblPr>
      <w:tr>
        <w:trPr>
          <w:trHeight w:val="253"/>
        </w:trPr>
        <w:tc>
          <w:tcPr>
            <w:tcW w:w="6220" w:type="dxa"/>
            <w:vAlign w:val="bottom"/>
          </w:tcPr>
          <w:p>
            <w:pPr>
              <w:spacing w:after="0"/>
              <w:rPr>
                <w:sz w:val="21"/>
                <w:szCs w:val="21"/>
                <w:color w:val="auto"/>
              </w:rPr>
            </w:pPr>
          </w:p>
        </w:tc>
        <w:tc>
          <w:tcPr>
            <w:tcW w:w="3640" w:type="dxa"/>
            <w:vAlign w:val="bottom"/>
            <w:gridSpan w:val="6"/>
          </w:tcPr>
          <w:p>
            <w:pPr>
              <w:jc w:val="center"/>
              <w:ind w:right="80"/>
              <w:spacing w:after="0"/>
              <w:rPr>
                <w:sz w:val="20"/>
                <w:szCs w:val="20"/>
                <w:color w:val="auto"/>
              </w:rPr>
            </w:pPr>
            <w:r>
              <w:rPr>
                <w:rFonts w:ascii="Arial" w:cs="Arial" w:eastAsia="Arial" w:hAnsi="Arial"/>
                <w:sz w:val="22"/>
                <w:szCs w:val="22"/>
                <w:color w:val="auto"/>
                <w:w w:val="87"/>
              </w:rPr>
              <w:t>Year Ended December 31,</w:t>
            </w:r>
          </w:p>
        </w:tc>
        <w:tc>
          <w:tcPr>
            <w:tcW w:w="0" w:type="dxa"/>
            <w:vAlign w:val="bottom"/>
          </w:tcPr>
          <w:p>
            <w:pPr>
              <w:spacing w:after="0"/>
              <w:rPr>
                <w:sz w:val="1"/>
                <w:szCs w:val="1"/>
                <w:color w:val="auto"/>
              </w:rPr>
            </w:pPr>
          </w:p>
        </w:tc>
      </w:tr>
      <w:tr>
        <w:trPr>
          <w:trHeight w:val="275"/>
        </w:trPr>
        <w:tc>
          <w:tcPr>
            <w:tcW w:w="622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2003</w:t>
            </w:r>
          </w:p>
        </w:tc>
        <w:tc>
          <w:tcPr>
            <w:tcW w:w="40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2002</w:t>
            </w:r>
          </w:p>
        </w:tc>
        <w:tc>
          <w:tcPr>
            <w:tcW w:w="420" w:type="dxa"/>
            <w:vAlign w:val="bottom"/>
          </w:tcPr>
          <w:p>
            <w:pPr>
              <w:spacing w:after="0"/>
              <w:rPr>
                <w:sz w:val="23"/>
                <w:szCs w:val="23"/>
                <w:color w:val="auto"/>
              </w:rPr>
            </w:pPr>
          </w:p>
        </w:tc>
        <w:tc>
          <w:tcPr>
            <w:tcW w:w="900" w:type="dxa"/>
            <w:vAlign w:val="bottom"/>
          </w:tcPr>
          <w:p>
            <w:pPr>
              <w:jc w:val="right"/>
              <w:ind w:right="132"/>
              <w:spacing w:after="0"/>
              <w:rPr>
                <w:sz w:val="20"/>
                <w:szCs w:val="20"/>
                <w:color w:val="auto"/>
              </w:rPr>
            </w:pPr>
            <w:r>
              <w:rPr>
                <w:rFonts w:ascii="Arial" w:cs="Arial" w:eastAsia="Arial" w:hAnsi="Arial"/>
                <w:sz w:val="22"/>
                <w:szCs w:val="22"/>
                <w:color w:val="auto"/>
              </w:rPr>
              <w:t>2001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6220" w:type="dxa"/>
            <w:vAlign w:val="bottom"/>
            <w:vMerge w:val="restart"/>
          </w:tcPr>
          <w:p>
            <w:pPr>
              <w:spacing w:after="0"/>
              <w:rPr>
                <w:sz w:val="20"/>
                <w:szCs w:val="20"/>
                <w:color w:val="auto"/>
              </w:rPr>
            </w:pPr>
            <w:r>
              <w:rPr>
                <w:rFonts w:ascii="Arial" w:cs="Arial" w:eastAsia="Arial" w:hAnsi="Arial"/>
                <w:sz w:val="22"/>
                <w:szCs w:val="22"/>
                <w:color w:val="auto"/>
              </w:rPr>
              <w:t>Current expense (benefit)</w:t>
            </w:r>
          </w:p>
        </w:tc>
        <w:tc>
          <w:tcPr>
            <w:tcW w:w="9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62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20" w:type="dxa"/>
            <w:vAlign w:val="bottom"/>
          </w:tcPr>
          <w:p>
            <w:pPr>
              <w:spacing w:after="0" w:line="243" w:lineRule="exact"/>
              <w:rPr>
                <w:sz w:val="20"/>
                <w:szCs w:val="20"/>
                <w:color w:val="auto"/>
              </w:rPr>
            </w:pPr>
            <w:r>
              <w:rPr>
                <w:rFonts w:ascii="Arial" w:cs="Arial" w:eastAsia="Arial" w:hAnsi="Arial"/>
                <w:sz w:val="22"/>
                <w:szCs w:val="22"/>
                <w:color w:val="auto"/>
              </w:rPr>
              <w:t>Federal</w:t>
            </w:r>
          </w:p>
        </w:tc>
        <w:tc>
          <w:tcPr>
            <w:tcW w:w="1320" w:type="dxa"/>
            <w:vAlign w:val="bottom"/>
            <w:gridSpan w:val="2"/>
          </w:tcPr>
          <w:p>
            <w:pPr>
              <w:jc w:val="right"/>
              <w:ind w:right="320"/>
              <w:spacing w:after="0" w:line="243" w:lineRule="exact"/>
              <w:rPr>
                <w:sz w:val="20"/>
                <w:szCs w:val="20"/>
                <w:color w:val="auto"/>
              </w:rPr>
            </w:pPr>
            <w:r>
              <w:rPr>
                <w:rFonts w:ascii="Arial" w:cs="Arial" w:eastAsia="Arial" w:hAnsi="Arial"/>
                <w:sz w:val="22"/>
                <w:szCs w:val="22"/>
                <w:color w:val="auto"/>
              </w:rPr>
              <w:t>($846)</w:t>
            </w:r>
          </w:p>
        </w:tc>
        <w:tc>
          <w:tcPr>
            <w:tcW w:w="134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($73)</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$418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220" w:type="dxa"/>
            <w:vAlign w:val="bottom"/>
          </w:tcPr>
          <w:p>
            <w:pPr>
              <w:spacing w:after="0"/>
              <w:rPr>
                <w:sz w:val="20"/>
                <w:szCs w:val="20"/>
                <w:color w:val="auto"/>
              </w:rPr>
            </w:pPr>
            <w:r>
              <w:rPr>
                <w:rFonts w:ascii="Arial" w:cs="Arial" w:eastAsia="Arial" w:hAnsi="Arial"/>
                <w:sz w:val="22"/>
                <w:szCs w:val="22"/>
                <w:color w:val="auto"/>
              </w:rPr>
              <w:t>State</w:t>
            </w:r>
          </w:p>
        </w:tc>
        <w:tc>
          <w:tcPr>
            <w:tcW w:w="920" w:type="dxa"/>
            <w:vAlign w:val="bottom"/>
          </w:tcPr>
          <w:p>
            <w:pPr>
              <w:jc w:val="right"/>
              <w:spacing w:after="0"/>
              <w:rPr>
                <w:sz w:val="20"/>
                <w:szCs w:val="20"/>
                <w:color w:val="auto"/>
              </w:rPr>
            </w:pPr>
            <w:r>
              <w:rPr>
                <w:rFonts w:ascii="Arial" w:cs="Arial" w:eastAsia="Arial" w:hAnsi="Arial"/>
                <w:sz w:val="22"/>
                <w:szCs w:val="22"/>
                <w:color w:val="auto"/>
              </w:rPr>
              <w:t>10</w:t>
            </w:r>
          </w:p>
        </w:tc>
        <w:tc>
          <w:tcPr>
            <w:tcW w:w="400" w:type="dxa"/>
            <w:vAlign w:val="bottom"/>
          </w:tcPr>
          <w:p>
            <w:pPr>
              <w:spacing w:after="0"/>
              <w:rPr>
                <w:sz w:val="23"/>
                <w:szCs w:val="23"/>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22"/>
                <w:szCs w:val="22"/>
                <w:color w:val="auto"/>
              </w:rPr>
              <w:t>40</w:t>
            </w:r>
          </w:p>
        </w:tc>
        <w:tc>
          <w:tcPr>
            <w:tcW w:w="900" w:type="dxa"/>
            <w:vAlign w:val="bottom"/>
          </w:tcPr>
          <w:p>
            <w:pPr>
              <w:jc w:val="right"/>
              <w:spacing w:after="0"/>
              <w:rPr>
                <w:sz w:val="20"/>
                <w:szCs w:val="20"/>
                <w:color w:val="auto"/>
              </w:rPr>
            </w:pPr>
            <w:r>
              <w:rPr>
                <w:rFonts w:ascii="Arial" w:cs="Arial" w:eastAsia="Arial" w:hAnsi="Arial"/>
                <w:sz w:val="22"/>
                <w:szCs w:val="22"/>
                <w:color w:val="auto"/>
              </w:rPr>
              <w:t>51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62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6220" w:type="dxa"/>
            <w:vAlign w:val="bottom"/>
          </w:tcPr>
          <w:p>
            <w:pPr>
              <w:spacing w:after="0"/>
              <w:rPr>
                <w:sz w:val="24"/>
                <w:szCs w:val="24"/>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22"/>
                <w:szCs w:val="22"/>
                <w:color w:val="auto"/>
              </w:rPr>
              <w:t>(836)</w:t>
            </w:r>
          </w:p>
        </w:tc>
        <w:tc>
          <w:tcPr>
            <w:tcW w:w="1340" w:type="dxa"/>
            <w:vAlign w:val="bottom"/>
            <w:gridSpan w:val="2"/>
          </w:tcPr>
          <w:p>
            <w:pPr>
              <w:jc w:val="right"/>
              <w:ind w:right="340"/>
              <w:spacing w:after="0"/>
              <w:rPr>
                <w:sz w:val="20"/>
                <w:szCs w:val="20"/>
                <w:color w:val="auto"/>
              </w:rPr>
            </w:pPr>
            <w:r>
              <w:rPr>
                <w:rFonts w:ascii="Arial" w:cs="Arial" w:eastAsia="Arial" w:hAnsi="Arial"/>
                <w:sz w:val="22"/>
                <w:szCs w:val="22"/>
                <w:color w:val="auto"/>
              </w:rPr>
              <w:t>(33)</w:t>
            </w:r>
          </w:p>
        </w:tc>
        <w:tc>
          <w:tcPr>
            <w:tcW w:w="900" w:type="dxa"/>
            <w:vAlign w:val="bottom"/>
          </w:tcPr>
          <w:p>
            <w:pPr>
              <w:jc w:val="right"/>
              <w:spacing w:after="0"/>
              <w:rPr>
                <w:sz w:val="20"/>
                <w:szCs w:val="20"/>
                <w:color w:val="auto"/>
              </w:rPr>
            </w:pPr>
            <w:r>
              <w:rPr>
                <w:rFonts w:ascii="Arial" w:cs="Arial" w:eastAsia="Arial" w:hAnsi="Arial"/>
                <w:sz w:val="22"/>
                <w:szCs w:val="22"/>
                <w:color w:val="auto"/>
              </w:rPr>
              <w:t>469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220" w:type="dxa"/>
            <w:vAlign w:val="bottom"/>
            <w:vMerge w:val="restart"/>
          </w:tcPr>
          <w:p>
            <w:pPr>
              <w:spacing w:after="0"/>
              <w:rPr>
                <w:sz w:val="20"/>
                <w:szCs w:val="20"/>
                <w:color w:val="auto"/>
              </w:rPr>
            </w:pPr>
            <w:r>
              <w:rPr>
                <w:rFonts w:ascii="Arial" w:cs="Arial" w:eastAsia="Arial" w:hAnsi="Arial"/>
                <w:sz w:val="22"/>
                <w:szCs w:val="22"/>
                <w:color w:val="auto"/>
              </w:rPr>
              <w:t>Deferred expense (benefit)</w:t>
            </w:r>
          </w:p>
        </w:tc>
        <w:tc>
          <w:tcPr>
            <w:tcW w:w="9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62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20" w:type="dxa"/>
            <w:vAlign w:val="bottom"/>
          </w:tcPr>
          <w:p>
            <w:pPr>
              <w:spacing w:after="0" w:line="243" w:lineRule="exact"/>
              <w:rPr>
                <w:sz w:val="20"/>
                <w:szCs w:val="20"/>
                <w:color w:val="auto"/>
              </w:rPr>
            </w:pPr>
            <w:r>
              <w:rPr>
                <w:rFonts w:ascii="Arial" w:cs="Arial" w:eastAsia="Arial" w:hAnsi="Arial"/>
                <w:sz w:val="22"/>
                <w:szCs w:val="22"/>
                <w:color w:val="auto"/>
              </w:rPr>
              <w:t>Federal</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886</w:t>
            </w:r>
          </w:p>
        </w:tc>
        <w:tc>
          <w:tcPr>
            <w:tcW w:w="400" w:type="dxa"/>
            <w:vAlign w:val="bottom"/>
          </w:tcPr>
          <w:p>
            <w:pPr>
              <w:spacing w:after="0"/>
              <w:rPr>
                <w:sz w:val="21"/>
                <w:szCs w:val="21"/>
                <w:color w:val="auto"/>
              </w:rPr>
            </w:pPr>
          </w:p>
        </w:tc>
        <w:tc>
          <w:tcPr>
            <w:tcW w:w="134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(88)</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(266)</w:t>
            </w:r>
          </w:p>
        </w:tc>
        <w:tc>
          <w:tcPr>
            <w:tcW w:w="0" w:type="dxa"/>
            <w:vAlign w:val="bottom"/>
          </w:tcPr>
          <w:p>
            <w:pPr>
              <w:spacing w:after="0"/>
              <w:rPr>
                <w:sz w:val="1"/>
                <w:szCs w:val="1"/>
                <w:color w:val="auto"/>
              </w:rPr>
            </w:pPr>
          </w:p>
        </w:tc>
      </w:tr>
      <w:tr>
        <w:trPr>
          <w:trHeight w:val="275"/>
        </w:trPr>
        <w:tc>
          <w:tcPr>
            <w:tcW w:w="6220" w:type="dxa"/>
            <w:vAlign w:val="bottom"/>
          </w:tcPr>
          <w:p>
            <w:pPr>
              <w:spacing w:after="0"/>
              <w:rPr>
                <w:sz w:val="20"/>
                <w:szCs w:val="20"/>
                <w:color w:val="auto"/>
              </w:rPr>
            </w:pPr>
            <w:r>
              <w:rPr>
                <w:rFonts w:ascii="Arial" w:cs="Arial" w:eastAsia="Arial" w:hAnsi="Arial"/>
                <w:sz w:val="22"/>
                <w:szCs w:val="22"/>
                <w:color w:val="auto"/>
              </w:rPr>
              <w:t>State</w:t>
            </w:r>
          </w:p>
        </w:tc>
        <w:tc>
          <w:tcPr>
            <w:tcW w:w="1320" w:type="dxa"/>
            <w:vAlign w:val="bottom"/>
            <w:gridSpan w:val="2"/>
          </w:tcPr>
          <w:p>
            <w:pPr>
              <w:jc w:val="right"/>
              <w:ind w:right="320"/>
              <w:spacing w:after="0"/>
              <w:rPr>
                <w:sz w:val="20"/>
                <w:szCs w:val="20"/>
                <w:color w:val="auto"/>
              </w:rPr>
            </w:pPr>
            <w:r>
              <w:rPr>
                <w:rFonts w:ascii="Arial" w:cs="Arial" w:eastAsia="Arial" w:hAnsi="Arial"/>
                <w:sz w:val="22"/>
                <w:szCs w:val="22"/>
                <w:color w:val="auto"/>
              </w:rPr>
              <w:t>(66)</w:t>
            </w:r>
          </w:p>
        </w:tc>
        <w:tc>
          <w:tcPr>
            <w:tcW w:w="1340" w:type="dxa"/>
            <w:vAlign w:val="bottom"/>
            <w:gridSpan w:val="2"/>
          </w:tcPr>
          <w:p>
            <w:pPr>
              <w:jc w:val="right"/>
              <w:ind w:right="340"/>
              <w:spacing w:after="0"/>
              <w:rPr>
                <w:sz w:val="20"/>
                <w:szCs w:val="20"/>
                <w:color w:val="auto"/>
              </w:rPr>
            </w:pPr>
            <w:r>
              <w:rPr>
                <w:rFonts w:ascii="Arial" w:cs="Arial" w:eastAsia="Arial" w:hAnsi="Arial"/>
                <w:sz w:val="22"/>
                <w:szCs w:val="22"/>
                <w:color w:val="auto"/>
              </w:rPr>
              <w:t>(7)</w:t>
            </w:r>
          </w:p>
        </w:tc>
        <w:tc>
          <w:tcPr>
            <w:tcW w:w="900" w:type="dxa"/>
            <w:vAlign w:val="bottom"/>
          </w:tcPr>
          <w:p>
            <w:pPr>
              <w:jc w:val="right"/>
              <w:spacing w:after="0"/>
              <w:rPr>
                <w:sz w:val="20"/>
                <w:szCs w:val="20"/>
                <w:color w:val="auto"/>
              </w:rPr>
            </w:pPr>
            <w:r>
              <w:rPr>
                <w:rFonts w:ascii="Arial" w:cs="Arial" w:eastAsia="Arial" w:hAnsi="Arial"/>
                <w:sz w:val="22"/>
                <w:szCs w:val="22"/>
                <w:color w:val="auto"/>
              </w:rPr>
              <w:t>13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62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6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820</w:t>
            </w:r>
          </w:p>
        </w:tc>
        <w:tc>
          <w:tcPr>
            <w:tcW w:w="400" w:type="dxa"/>
            <w:vAlign w:val="bottom"/>
          </w:tcPr>
          <w:p>
            <w:pPr>
              <w:spacing w:after="0"/>
              <w:rPr>
                <w:sz w:val="24"/>
                <w:szCs w:val="2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22"/>
                <w:szCs w:val="22"/>
                <w:color w:val="auto"/>
              </w:rPr>
              <w:t>(95)</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(253)</w:t>
            </w:r>
          </w:p>
        </w:tc>
        <w:tc>
          <w:tcPr>
            <w:tcW w:w="0" w:type="dxa"/>
            <w:vAlign w:val="bottom"/>
          </w:tcPr>
          <w:p>
            <w:pPr>
              <w:spacing w:after="0"/>
              <w:rPr>
                <w:sz w:val="1"/>
                <w:szCs w:val="1"/>
                <w:color w:val="auto"/>
              </w:rPr>
            </w:pPr>
          </w:p>
        </w:tc>
      </w:tr>
      <w:tr>
        <w:trPr>
          <w:trHeight w:val="98"/>
        </w:trPr>
        <w:tc>
          <w:tcPr>
            <w:tcW w:w="62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0" w:gutter="0" w:footer="0" w:header="0"/>
        </w:sectPr>
      </w:pPr>
    </w:p>
    <w:p>
      <w:pPr>
        <w:spacing w:after="0" w:line="130" w:lineRule="exact"/>
        <w:rPr>
          <w:sz w:val="20"/>
          <w:szCs w:val="20"/>
          <w:color w:val="auto"/>
        </w:rPr>
      </w:pPr>
    </w:p>
    <w:p>
      <w:pPr>
        <w:ind w:left="280"/>
        <w:spacing w:after="0"/>
        <w:tabs>
          <w:tab w:leader="none" w:pos="7000" w:val="left"/>
          <w:tab w:leader="none" w:pos="8220" w:val="left"/>
          <w:tab w:leader="none" w:pos="9620" w:val="left"/>
        </w:tabs>
        <w:rPr>
          <w:sz w:val="20"/>
          <w:szCs w:val="20"/>
          <w:color w:val="auto"/>
        </w:rPr>
      </w:pPr>
      <w:r>
        <w:rPr>
          <w:rFonts w:ascii="Arial" w:cs="Arial" w:eastAsia="Arial" w:hAnsi="Arial"/>
          <w:sz w:val="22"/>
          <w:szCs w:val="22"/>
          <w:color w:val="auto"/>
        </w:rPr>
        <w:t>Income tax expense (benefit)</w:t>
      </w:r>
      <w:r>
        <w:rPr>
          <w:sz w:val="20"/>
          <w:szCs w:val="20"/>
          <w:color w:val="auto"/>
        </w:rPr>
        <w:tab/>
      </w:r>
      <w:r>
        <w:rPr>
          <w:rFonts w:ascii="Arial" w:cs="Arial" w:eastAsia="Arial" w:hAnsi="Arial"/>
          <w:sz w:val="22"/>
          <w:szCs w:val="22"/>
          <w:color w:val="auto"/>
        </w:rPr>
        <w:t>($16)</w:t>
      </w:r>
      <w:r>
        <w:rPr>
          <w:sz w:val="20"/>
          <w:szCs w:val="20"/>
          <w:color w:val="auto"/>
        </w:rPr>
        <w:tab/>
      </w:r>
      <w:r>
        <w:rPr>
          <w:rFonts w:ascii="Arial" w:cs="Arial" w:eastAsia="Arial" w:hAnsi="Arial"/>
          <w:sz w:val="22"/>
          <w:szCs w:val="22"/>
          <w:color w:val="auto"/>
        </w:rPr>
        <w:t>($128)</w:t>
      </w:r>
      <w:r>
        <w:rPr>
          <w:sz w:val="20"/>
          <w:szCs w:val="20"/>
          <w:color w:val="auto"/>
        </w:rPr>
        <w:tab/>
      </w: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73660</wp:posOffset>
            </wp:positionV>
            <wp:extent cx="2276475"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276475" cy="2159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90" w:name="page91"/>
    <w:bookmarkEnd w:id="90"/>
    <w:p>
      <w:pPr>
        <w:ind w:left="460"/>
        <w:spacing w:after="0"/>
        <w:rPr>
          <w:sz w:val="20"/>
          <w:szCs w:val="20"/>
          <w:color w:val="auto"/>
        </w:rPr>
      </w:pPr>
      <w:r>
        <w:rPr>
          <w:rFonts w:ascii="Arial" w:cs="Arial" w:eastAsia="Arial" w:hAnsi="Arial"/>
          <w:sz w:val="19"/>
          <w:szCs w:val="19"/>
          <w:color w:val="auto"/>
        </w:rPr>
        <w:t>Our effective income tax expense differs from the statutory amount because of the effect of the following items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4940" w:type="dxa"/>
            <w:vAlign w:val="bottom"/>
            <w:gridSpan w:val="9"/>
          </w:tcPr>
          <w:p>
            <w:pPr>
              <w:jc w:val="right"/>
              <w:ind w:right="2020"/>
              <w:spacing w:after="0"/>
              <w:rPr>
                <w:sz w:val="20"/>
                <w:szCs w:val="20"/>
                <w:color w:val="auto"/>
              </w:rPr>
            </w:pPr>
            <w:r>
              <w:rPr>
                <w:rFonts w:ascii="Arial" w:cs="Arial" w:eastAsia="Arial" w:hAnsi="Arial"/>
                <w:sz w:val="22"/>
                <w:szCs w:val="22"/>
                <w:color w:val="auto"/>
              </w:rPr>
              <w:t>Year Ended December 31,</w:t>
            </w:r>
          </w:p>
        </w:tc>
        <w:tc>
          <w:tcPr>
            <w:tcW w:w="0" w:type="dxa"/>
            <w:vAlign w:val="bottom"/>
          </w:tcPr>
          <w:p>
            <w:pPr>
              <w:spacing w:after="0"/>
              <w:rPr>
                <w:sz w:val="1"/>
                <w:szCs w:val="1"/>
                <w:color w:val="auto"/>
              </w:rPr>
            </w:pPr>
          </w:p>
        </w:tc>
      </w:tr>
      <w:tr>
        <w:trPr>
          <w:trHeight w:val="275"/>
        </w:trPr>
        <w:tc>
          <w:tcPr>
            <w:tcW w:w="4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2003</w:t>
            </w:r>
          </w:p>
        </w:tc>
        <w:tc>
          <w:tcPr>
            <w:tcW w:w="8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2002</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32"/>
              <w:spacing w:after="0"/>
              <w:rPr>
                <w:sz w:val="20"/>
                <w:szCs w:val="20"/>
                <w:color w:val="auto"/>
              </w:rPr>
            </w:pPr>
            <w:r>
              <w:rPr>
                <w:rFonts w:ascii="Arial" w:cs="Arial" w:eastAsia="Arial" w:hAnsi="Arial"/>
                <w:sz w:val="22"/>
                <w:szCs w:val="22"/>
                <w:color w:val="auto"/>
              </w:rPr>
              <w:t>2001</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6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6500" w:type="dxa"/>
            <w:vAlign w:val="bottom"/>
            <w:gridSpan w:val="2"/>
          </w:tcPr>
          <w:p>
            <w:pPr>
              <w:ind w:left="280"/>
              <w:spacing w:after="0"/>
              <w:rPr>
                <w:sz w:val="20"/>
                <w:szCs w:val="20"/>
                <w:color w:val="auto"/>
              </w:rPr>
            </w:pPr>
            <w:r>
              <w:rPr>
                <w:rFonts w:ascii="Arial" w:cs="Arial" w:eastAsia="Arial" w:hAnsi="Arial"/>
                <w:sz w:val="22"/>
                <w:szCs w:val="22"/>
                <w:color w:val="auto"/>
              </w:rPr>
              <w:t>Federal tax at statutory rate</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($48)</w:t>
            </w:r>
          </w:p>
        </w:tc>
        <w:tc>
          <w:tcPr>
            <w:tcW w:w="1540" w:type="dxa"/>
            <w:vAlign w:val="bottom"/>
            <w:gridSpan w:val="4"/>
          </w:tcPr>
          <w:p>
            <w:pPr>
              <w:jc w:val="right"/>
              <w:ind w:right="220"/>
              <w:spacing w:after="0"/>
              <w:rPr>
                <w:sz w:val="20"/>
                <w:szCs w:val="20"/>
                <w:color w:val="auto"/>
              </w:rPr>
            </w:pPr>
            <w:r>
              <w:rPr>
                <w:rFonts w:ascii="Arial" w:cs="Arial" w:eastAsia="Arial" w:hAnsi="Arial"/>
                <w:sz w:val="22"/>
                <w:szCs w:val="22"/>
                <w:color w:val="auto"/>
              </w:rPr>
              <w:t>($193)</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$80</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Non-deductible depreciation and amortization</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91</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State income taxes, net of federal benefit</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(37)</w:t>
            </w:r>
          </w:p>
        </w:tc>
        <w:tc>
          <w:tcPr>
            <w:tcW w:w="1540" w:type="dxa"/>
            <w:vAlign w:val="bottom"/>
            <w:gridSpan w:val="4"/>
          </w:tcPr>
          <w:p>
            <w:pPr>
              <w:jc w:val="right"/>
              <w:ind w:right="300"/>
              <w:spacing w:after="0" w:line="243" w:lineRule="exact"/>
              <w:rPr>
                <w:sz w:val="20"/>
                <w:szCs w:val="20"/>
                <w:color w:val="auto"/>
              </w:rPr>
            </w:pPr>
            <w:r>
              <w:rPr>
                <w:rFonts w:ascii="Arial" w:cs="Arial" w:eastAsia="Arial" w:hAnsi="Arial"/>
                <w:sz w:val="22"/>
                <w:szCs w:val="22"/>
                <w:color w:val="auto"/>
              </w:rPr>
              <w:t>22</w:t>
            </w:r>
          </w:p>
        </w:tc>
        <w:tc>
          <w:tcPr>
            <w:tcW w:w="1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Foreign income and equity in net losses of affiliates</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(23)</w:t>
            </w:r>
          </w:p>
        </w:tc>
        <w:tc>
          <w:tcPr>
            <w:tcW w:w="1540" w:type="dxa"/>
            <w:vAlign w:val="bottom"/>
            <w:gridSpan w:val="4"/>
          </w:tcPr>
          <w:p>
            <w:pPr>
              <w:jc w:val="right"/>
              <w:ind w:right="220"/>
              <w:spacing w:after="0" w:line="243" w:lineRule="exact"/>
              <w:rPr>
                <w:sz w:val="20"/>
                <w:szCs w:val="20"/>
                <w:color w:val="auto"/>
              </w:rPr>
            </w:pPr>
            <w:r>
              <w:rPr>
                <w:rFonts w:ascii="Arial" w:cs="Arial" w:eastAsia="Arial" w:hAnsi="Arial"/>
                <w:sz w:val="22"/>
                <w:szCs w:val="22"/>
                <w:color w:val="auto"/>
              </w:rPr>
              <w:t>(3)</w:t>
            </w:r>
          </w:p>
        </w:tc>
        <w:tc>
          <w:tcPr>
            <w:tcW w:w="1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ind w:left="260"/>
              <w:spacing w:after="0" w:line="243" w:lineRule="exact"/>
              <w:rPr>
                <w:sz w:val="20"/>
                <w:szCs w:val="20"/>
                <w:color w:val="auto"/>
              </w:rPr>
            </w:pPr>
            <w:r>
              <w:rPr>
                <w:rFonts w:ascii="Arial" w:cs="Arial" w:eastAsia="Arial" w:hAnsi="Arial"/>
                <w:sz w:val="22"/>
                <w:szCs w:val="22"/>
                <w:color w:val="auto"/>
              </w:rPr>
              <w:t>Adjustments to prior year accrual</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90</w:t>
            </w:r>
          </w:p>
        </w:tc>
        <w:tc>
          <w:tcPr>
            <w:tcW w:w="80" w:type="dxa"/>
            <w:vAlign w:val="bottom"/>
          </w:tcPr>
          <w:p>
            <w:pPr>
              <w:spacing w:after="0"/>
              <w:rPr>
                <w:sz w:val="21"/>
                <w:szCs w:val="21"/>
                <w:color w:val="auto"/>
              </w:rPr>
            </w:pPr>
          </w:p>
        </w:tc>
        <w:tc>
          <w:tcPr>
            <w:tcW w:w="1540" w:type="dxa"/>
            <w:vAlign w:val="bottom"/>
            <w:gridSpan w:val="4"/>
          </w:tcPr>
          <w:p>
            <w:pPr>
              <w:jc w:val="right"/>
              <w:ind w:right="300"/>
              <w:spacing w:after="0" w:line="243" w:lineRule="exact"/>
              <w:rPr>
                <w:sz w:val="20"/>
                <w:szCs w:val="20"/>
                <w:color w:val="auto"/>
              </w:rPr>
            </w:pPr>
            <w:r>
              <w:rPr>
                <w:rFonts w:ascii="Arial" w:cs="Arial" w:eastAsia="Arial" w:hAnsi="Arial"/>
                <w:sz w:val="22"/>
                <w:szCs w:val="22"/>
                <w:color w:val="auto"/>
              </w:rPr>
              <w:t>45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500" w:type="dxa"/>
            <w:vAlign w:val="bottom"/>
            <w:gridSpan w:val="2"/>
          </w:tcPr>
          <w:p>
            <w:pPr>
              <w:ind w:left="280"/>
              <w:spacing w:after="0"/>
              <w:rPr>
                <w:sz w:val="20"/>
                <w:szCs w:val="20"/>
                <w:color w:val="auto"/>
              </w:rPr>
            </w:pPr>
            <w:r>
              <w:rPr>
                <w:rFonts w:ascii="Arial" w:cs="Arial" w:eastAsia="Arial" w:hAnsi="Arial"/>
                <w:sz w:val="22"/>
                <w:szCs w:val="22"/>
                <w:color w:val="auto"/>
              </w:rPr>
              <w:t>Other</w:t>
            </w:r>
          </w:p>
        </w:tc>
        <w:tc>
          <w:tcPr>
            <w:tcW w:w="920" w:type="dxa"/>
            <w:vAlign w:val="bottom"/>
          </w:tcPr>
          <w:p>
            <w:pPr>
              <w:jc w:val="right"/>
              <w:spacing w:after="0"/>
              <w:rPr>
                <w:sz w:val="20"/>
                <w:szCs w:val="20"/>
                <w:color w:val="auto"/>
              </w:rPr>
            </w:pPr>
            <w:r>
              <w:rPr>
                <w:rFonts w:ascii="Arial" w:cs="Arial" w:eastAsia="Arial" w:hAnsi="Arial"/>
                <w:sz w:val="22"/>
                <w:szCs w:val="22"/>
                <w:color w:val="auto"/>
              </w:rPr>
              <w:t>2</w:t>
            </w:r>
          </w:p>
        </w:tc>
        <w:tc>
          <w:tcPr>
            <w:tcW w:w="80" w:type="dxa"/>
            <w:vAlign w:val="bottom"/>
          </w:tcPr>
          <w:p>
            <w:pPr>
              <w:spacing w:after="0"/>
              <w:rPr>
                <w:sz w:val="23"/>
                <w:szCs w:val="23"/>
                <w:color w:val="auto"/>
              </w:rPr>
            </w:pPr>
          </w:p>
        </w:tc>
        <w:tc>
          <w:tcPr>
            <w:tcW w:w="1540" w:type="dxa"/>
            <w:vAlign w:val="bottom"/>
            <w:gridSpan w:val="4"/>
          </w:tcPr>
          <w:p>
            <w:pPr>
              <w:jc w:val="right"/>
              <w:ind w:right="300"/>
              <w:spacing w:after="0"/>
              <w:rPr>
                <w:sz w:val="20"/>
                <w:szCs w:val="20"/>
                <w:color w:val="auto"/>
              </w:rPr>
            </w:pPr>
            <w:r>
              <w:rPr>
                <w:rFonts w:ascii="Arial" w:cs="Arial" w:eastAsia="Arial" w:hAnsi="Arial"/>
                <w:sz w:val="22"/>
                <w:szCs w:val="22"/>
                <w:color w:val="auto"/>
              </w:rPr>
              <w:t>1</w:t>
            </w:r>
          </w:p>
        </w:tc>
        <w:tc>
          <w:tcPr>
            <w:tcW w:w="120" w:type="dxa"/>
            <w:vAlign w:val="bottom"/>
          </w:tcPr>
          <w:p>
            <w:pPr>
              <w:spacing w:after="0"/>
              <w:rPr>
                <w:sz w:val="23"/>
                <w:szCs w:val="23"/>
                <w:color w:val="auto"/>
              </w:rPr>
            </w:pPr>
          </w:p>
        </w:tc>
        <w:tc>
          <w:tcPr>
            <w:tcW w:w="2280" w:type="dxa"/>
            <w:vAlign w:val="bottom"/>
            <w:gridSpan w:val="2"/>
          </w:tcPr>
          <w:p>
            <w:pPr>
              <w:jc w:val="right"/>
              <w:ind w:right="1300"/>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98"/>
        </w:trPr>
        <w:tc>
          <w:tcPr>
            <w:tcW w:w="46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6500" w:type="dxa"/>
            <w:vAlign w:val="bottom"/>
            <w:gridSpan w:val="2"/>
          </w:tcPr>
          <w:p>
            <w:pPr>
              <w:ind w:left="280"/>
              <w:spacing w:after="0"/>
              <w:rPr>
                <w:sz w:val="20"/>
                <w:szCs w:val="20"/>
                <w:color w:val="auto"/>
              </w:rPr>
            </w:pPr>
            <w:r>
              <w:rPr>
                <w:rFonts w:ascii="Arial" w:cs="Arial" w:eastAsia="Arial" w:hAnsi="Arial"/>
                <w:sz w:val="22"/>
                <w:szCs w:val="22"/>
                <w:color w:val="auto"/>
              </w:rPr>
              <w:t>Income tax expense (benefit)</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($16)</w:t>
            </w:r>
          </w:p>
        </w:tc>
        <w:tc>
          <w:tcPr>
            <w:tcW w:w="1540" w:type="dxa"/>
            <w:vAlign w:val="bottom"/>
            <w:gridSpan w:val="4"/>
          </w:tcPr>
          <w:p>
            <w:pPr>
              <w:jc w:val="right"/>
              <w:ind w:right="220"/>
              <w:spacing w:after="0"/>
              <w:rPr>
                <w:sz w:val="20"/>
                <w:szCs w:val="20"/>
                <w:color w:val="auto"/>
              </w:rPr>
            </w:pPr>
            <w:r>
              <w:rPr>
                <w:rFonts w:ascii="Arial" w:cs="Arial" w:eastAsia="Arial" w:hAnsi="Arial"/>
                <w:sz w:val="22"/>
                <w:szCs w:val="22"/>
                <w:color w:val="auto"/>
              </w:rPr>
              <w:t>($128)</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$216</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500" w:type="dxa"/>
            <w:vAlign w:val="bottom"/>
            <w:gridSpan w:val="2"/>
            <w:vMerge w:val="restart"/>
          </w:tcPr>
          <w:p>
            <w:pPr>
              <w:ind w:left="5480"/>
              <w:spacing w:after="0"/>
              <w:rPr>
                <w:sz w:val="20"/>
                <w:szCs w:val="20"/>
                <w:color w:val="auto"/>
              </w:rPr>
            </w:pPr>
            <w:r>
              <w:rPr>
                <w:rFonts w:ascii="Arial" w:cs="Arial" w:eastAsia="Arial" w:hAnsi="Arial"/>
                <w:sz w:val="22"/>
                <w:szCs w:val="22"/>
                <w:color w:val="auto"/>
              </w:rPr>
              <w:t>- 37 -</w:t>
            </w: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4"/>
        </w:trPr>
        <w:tc>
          <w:tcPr>
            <w:tcW w:w="650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660" w:type="dxa"/>
            <w:vAlign w:val="bottom"/>
            <w:tcBorders>
              <w:bottom w:val="single" w:sz="8" w:color="808080"/>
            </w:tcBorders>
          </w:tcPr>
          <w:p>
            <w:pPr>
              <w:spacing w:after="0"/>
              <w:rPr>
                <w:sz w:val="17"/>
                <w:szCs w:val="17"/>
                <w:color w:val="auto"/>
              </w:rPr>
            </w:pPr>
          </w:p>
        </w:tc>
        <w:tc>
          <w:tcPr>
            <w:tcW w:w="184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13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500" w:type="dxa"/>
            <w:vAlign w:val="bottom"/>
            <w:gridSpan w:val="2"/>
          </w:tcPr>
          <w:p>
            <w:pPr>
              <w:spacing w:after="0"/>
              <w:rPr>
                <w:sz w:val="20"/>
                <w:szCs w:val="20"/>
                <w:color w:val="auto"/>
              </w:rPr>
            </w:pPr>
            <w:r>
              <w:rPr>
                <w:rFonts w:ascii="Arial" w:cs="Arial" w:eastAsia="Arial" w:hAnsi="Arial"/>
                <w:sz w:val="22"/>
                <w:szCs w:val="22"/>
                <w:color w:val="auto"/>
              </w:rPr>
              <w:t>COMCAST CORPORATION AND SUBSIDIARIES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6500" w:type="dxa"/>
            <w:vAlign w:val="bottom"/>
            <w:gridSpan w:val="2"/>
          </w:tcPr>
          <w:p>
            <w:pPr>
              <w:spacing w:after="0"/>
              <w:rPr>
                <w:sz w:val="20"/>
                <w:szCs w:val="20"/>
                <w:color w:val="auto"/>
              </w:rPr>
            </w:pPr>
            <w:r>
              <w:rPr>
                <w:rFonts w:ascii="Arial" w:cs="Arial" w:eastAsia="Arial" w:hAnsi="Arial"/>
                <w:sz w:val="22"/>
                <w:szCs w:val="22"/>
                <w:color w:val="auto"/>
              </w:rPr>
              <w:t>NOTES TO CONSOLIDATED FINANCIAL STATEMENTS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500" w:type="dxa"/>
            <w:vAlign w:val="bottom"/>
            <w:gridSpan w:val="2"/>
          </w:tcPr>
          <w:p>
            <w:pPr>
              <w:spacing w:after="0"/>
              <w:rPr>
                <w:sz w:val="20"/>
                <w:szCs w:val="20"/>
                <w:color w:val="auto"/>
              </w:rPr>
            </w:pPr>
            <w:r>
              <w:rPr>
                <w:rFonts w:ascii="Arial" w:cs="Arial" w:eastAsia="Arial" w:hAnsi="Arial"/>
                <w:sz w:val="22"/>
                <w:szCs w:val="22"/>
                <w:color w:val="auto"/>
                <w:w w:val="96"/>
              </w:rPr>
              <w:t>YEARS ENDED DECEMBER 31, 2003, 2002 AND 2001 (Continued)</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7500" w:type="dxa"/>
            <w:vAlign w:val="bottom"/>
            <w:gridSpan w:val="4"/>
          </w:tcPr>
          <w:p>
            <w:pPr>
              <w:ind w:left="440"/>
              <w:spacing w:after="0"/>
              <w:rPr>
                <w:sz w:val="20"/>
                <w:szCs w:val="20"/>
                <w:color w:val="auto"/>
              </w:rPr>
            </w:pPr>
            <w:r>
              <w:rPr>
                <w:rFonts w:ascii="Arial" w:cs="Arial" w:eastAsia="Arial" w:hAnsi="Arial"/>
                <w:sz w:val="22"/>
                <w:szCs w:val="22"/>
                <w:color w:val="auto"/>
                <w:w w:val="93"/>
              </w:rPr>
              <w:t>Our net deferred tax liability consists of the following components (in millions):</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4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20" w:type="dxa"/>
            <w:vAlign w:val="bottom"/>
            <w:gridSpan w:val="6"/>
          </w:tcPr>
          <w:p>
            <w:pPr>
              <w:jc w:val="right"/>
              <w:ind w:right="2040"/>
              <w:spacing w:after="0"/>
              <w:rPr>
                <w:sz w:val="20"/>
                <w:szCs w:val="20"/>
                <w:color w:val="auto"/>
              </w:rPr>
            </w:pPr>
            <w:r>
              <w:rPr>
                <w:rFonts w:ascii="Arial" w:cs="Arial" w:eastAsia="Arial" w:hAnsi="Arial"/>
                <w:sz w:val="22"/>
                <w:szCs w:val="22"/>
                <w:color w:val="auto"/>
              </w:rPr>
              <w:t>December 31,</w:t>
            </w:r>
          </w:p>
        </w:tc>
        <w:tc>
          <w:tcPr>
            <w:tcW w:w="0" w:type="dxa"/>
            <w:vAlign w:val="bottom"/>
          </w:tcPr>
          <w:p>
            <w:pPr>
              <w:spacing w:after="0"/>
              <w:rPr>
                <w:sz w:val="1"/>
                <w:szCs w:val="1"/>
                <w:color w:val="auto"/>
              </w:rPr>
            </w:pPr>
          </w:p>
        </w:tc>
      </w:tr>
      <w:tr>
        <w:trPr>
          <w:trHeight w:val="275"/>
        </w:trPr>
        <w:tc>
          <w:tcPr>
            <w:tcW w:w="4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2"/>
          </w:tcPr>
          <w:p>
            <w:pPr>
              <w:jc w:val="right"/>
              <w:ind w:right="172"/>
              <w:spacing w:after="0"/>
              <w:rPr>
                <w:sz w:val="20"/>
                <w:szCs w:val="20"/>
                <w:color w:val="auto"/>
              </w:rPr>
            </w:pPr>
            <w:r>
              <w:rPr>
                <w:rFonts w:ascii="Arial" w:cs="Arial" w:eastAsia="Arial" w:hAnsi="Arial"/>
                <w:sz w:val="22"/>
                <w:szCs w:val="22"/>
                <w:color w:val="auto"/>
              </w:rPr>
              <w:t>2003</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72"/>
              <w:spacing w:after="0"/>
              <w:rPr>
                <w:sz w:val="20"/>
                <w:szCs w:val="20"/>
                <w:color w:val="auto"/>
              </w:rPr>
            </w:pPr>
            <w:r>
              <w:rPr>
                <w:rFonts w:ascii="Arial" w:cs="Arial" w:eastAsia="Arial" w:hAnsi="Arial"/>
                <w:sz w:val="22"/>
                <w:szCs w:val="22"/>
                <w:color w:val="auto"/>
              </w:rPr>
              <w:t>2002</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6500" w:type="dxa"/>
            <w:vAlign w:val="bottom"/>
            <w:gridSpan w:val="2"/>
            <w:vMerge w:val="restart"/>
          </w:tcPr>
          <w:p>
            <w:pPr>
              <w:ind w:left="280"/>
              <w:spacing w:after="0"/>
              <w:rPr>
                <w:sz w:val="20"/>
                <w:szCs w:val="20"/>
                <w:color w:val="auto"/>
              </w:rPr>
            </w:pPr>
            <w:r>
              <w:rPr>
                <w:rFonts w:ascii="Arial" w:cs="Arial" w:eastAsia="Arial" w:hAnsi="Arial"/>
                <w:sz w:val="22"/>
                <w:szCs w:val="22"/>
                <w:color w:val="auto"/>
              </w:rPr>
              <w:t>Deferred tax assets:</w:t>
            </w: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650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ind w:left="440"/>
              <w:spacing w:after="0" w:line="243" w:lineRule="exact"/>
              <w:rPr>
                <w:sz w:val="20"/>
                <w:szCs w:val="20"/>
                <w:color w:val="auto"/>
              </w:rPr>
            </w:pPr>
            <w:r>
              <w:rPr>
                <w:rFonts w:ascii="Arial" w:cs="Arial" w:eastAsia="Arial" w:hAnsi="Arial"/>
                <w:sz w:val="22"/>
                <w:szCs w:val="22"/>
                <w:color w:val="auto"/>
              </w:rPr>
              <w:t>Net operating loss carryforwards</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$224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$530</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ind w:left="440"/>
              <w:spacing w:after="0" w:line="243" w:lineRule="exact"/>
              <w:rPr>
                <w:sz w:val="20"/>
                <w:szCs w:val="20"/>
                <w:color w:val="auto"/>
              </w:rPr>
            </w:pPr>
            <w:r>
              <w:rPr>
                <w:rFonts w:ascii="Arial" w:cs="Arial" w:eastAsia="Arial" w:hAnsi="Arial"/>
                <w:sz w:val="22"/>
                <w:szCs w:val="22"/>
                <w:color w:val="auto"/>
              </w:rPr>
              <w:t>Differences between book and tax basis of long-term debt</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231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424</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500" w:type="dxa"/>
            <w:vAlign w:val="bottom"/>
            <w:gridSpan w:val="2"/>
          </w:tcPr>
          <w:p>
            <w:pPr>
              <w:ind w:left="440"/>
              <w:spacing w:after="0"/>
              <w:rPr>
                <w:sz w:val="20"/>
                <w:szCs w:val="20"/>
                <w:color w:val="auto"/>
              </w:rPr>
            </w:pPr>
            <w:r>
              <w:rPr>
                <w:rFonts w:ascii="Arial" w:cs="Arial" w:eastAsia="Arial" w:hAnsi="Arial"/>
                <w:sz w:val="22"/>
                <w:szCs w:val="22"/>
                <w:color w:val="auto"/>
              </w:rPr>
              <w:t>Non- deductible accruals and other</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1,339</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1,850</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6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4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1,794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2,804</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500" w:type="dxa"/>
            <w:vAlign w:val="bottom"/>
            <w:gridSpan w:val="2"/>
            <w:vMerge w:val="restart"/>
          </w:tcPr>
          <w:p>
            <w:pPr>
              <w:ind w:left="280"/>
              <w:spacing w:after="0"/>
              <w:rPr>
                <w:sz w:val="20"/>
                <w:szCs w:val="20"/>
                <w:color w:val="auto"/>
              </w:rPr>
            </w:pPr>
            <w:r>
              <w:rPr>
                <w:rFonts w:ascii="Arial" w:cs="Arial" w:eastAsia="Arial" w:hAnsi="Arial"/>
                <w:sz w:val="22"/>
                <w:szCs w:val="22"/>
                <w:color w:val="auto"/>
              </w:rPr>
              <w:t>Deferred tax liabilities:</w:t>
            </w: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650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ind w:left="440"/>
              <w:spacing w:after="0" w:line="243" w:lineRule="exact"/>
              <w:rPr>
                <w:sz w:val="20"/>
                <w:szCs w:val="20"/>
                <w:color w:val="auto"/>
              </w:rPr>
            </w:pPr>
            <w:r>
              <w:rPr>
                <w:rFonts w:ascii="Arial" w:cs="Arial" w:eastAsia="Arial" w:hAnsi="Arial"/>
                <w:sz w:val="22"/>
                <w:szCs w:val="22"/>
                <w:color w:val="auto"/>
              </w:rPr>
              <w:t>Temporary differences, principally book and tax basis</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ind w:left="540"/>
              <w:spacing w:after="0" w:line="243" w:lineRule="exact"/>
              <w:rPr>
                <w:sz w:val="20"/>
                <w:szCs w:val="20"/>
                <w:color w:val="auto"/>
              </w:rPr>
            </w:pPr>
            <w:r>
              <w:rPr>
                <w:rFonts w:ascii="Arial" w:cs="Arial" w:eastAsia="Arial" w:hAnsi="Arial"/>
                <w:sz w:val="22"/>
                <w:szCs w:val="22"/>
                <w:color w:val="auto"/>
              </w:rPr>
              <w:t>of property and equipment and intangible assets</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$21,991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$20,566</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ind w:left="440"/>
              <w:spacing w:after="0" w:line="243" w:lineRule="exact"/>
              <w:rPr>
                <w:sz w:val="20"/>
                <w:szCs w:val="20"/>
                <w:color w:val="auto"/>
              </w:rPr>
            </w:pPr>
            <w:r>
              <w:rPr>
                <w:rFonts w:ascii="Arial" w:cs="Arial" w:eastAsia="Arial" w:hAnsi="Arial"/>
                <w:sz w:val="22"/>
                <w:szCs w:val="22"/>
                <w:color w:val="auto"/>
              </w:rPr>
              <w:t>Differences between book and tax basis</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ind w:left="540"/>
              <w:spacing w:after="0" w:line="243" w:lineRule="exact"/>
              <w:rPr>
                <w:sz w:val="20"/>
                <w:szCs w:val="20"/>
                <w:color w:val="auto"/>
              </w:rPr>
            </w:pPr>
            <w:r>
              <w:rPr>
                <w:rFonts w:ascii="Arial" w:cs="Arial" w:eastAsia="Arial" w:hAnsi="Arial"/>
                <w:sz w:val="22"/>
                <w:szCs w:val="22"/>
                <w:color w:val="auto"/>
              </w:rPr>
              <w:t>of investments</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5,926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6,038</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ind w:left="440"/>
              <w:spacing w:after="0" w:line="243" w:lineRule="exact"/>
              <w:rPr>
                <w:sz w:val="20"/>
                <w:szCs w:val="20"/>
                <w:color w:val="auto"/>
              </w:rPr>
            </w:pPr>
            <w:r>
              <w:rPr>
                <w:rFonts w:ascii="Arial" w:cs="Arial" w:eastAsia="Arial" w:hAnsi="Arial"/>
                <w:sz w:val="22"/>
                <w:szCs w:val="22"/>
                <w:color w:val="auto"/>
              </w:rPr>
              <w:t>Differences between book and tax basis of</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500" w:type="dxa"/>
            <w:vAlign w:val="bottom"/>
            <w:gridSpan w:val="2"/>
          </w:tcPr>
          <w:p>
            <w:pPr>
              <w:ind w:left="540"/>
              <w:spacing w:after="0"/>
              <w:rPr>
                <w:sz w:val="20"/>
                <w:szCs w:val="20"/>
                <w:color w:val="auto"/>
              </w:rPr>
            </w:pPr>
            <w:r>
              <w:rPr>
                <w:rFonts w:ascii="Arial" w:cs="Arial" w:eastAsia="Arial" w:hAnsi="Arial"/>
                <w:sz w:val="22"/>
                <w:szCs w:val="22"/>
                <w:color w:val="auto"/>
              </w:rPr>
              <w:t>indexed debt securities</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456</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409</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6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4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28,373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27,013</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6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6500" w:type="dxa"/>
            <w:vAlign w:val="bottom"/>
            <w:gridSpan w:val="2"/>
          </w:tcPr>
          <w:p>
            <w:pPr>
              <w:ind w:left="280"/>
              <w:spacing w:after="0"/>
              <w:rPr>
                <w:sz w:val="20"/>
                <w:szCs w:val="20"/>
                <w:color w:val="auto"/>
              </w:rPr>
            </w:pPr>
            <w:r>
              <w:rPr>
                <w:rFonts w:ascii="Arial" w:cs="Arial" w:eastAsia="Arial" w:hAnsi="Arial"/>
                <w:sz w:val="22"/>
                <w:szCs w:val="22"/>
                <w:color w:val="auto"/>
              </w:rPr>
              <w:t>Net deferred tax liability</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$26,579</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$24,209</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-5434330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-5434330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-5434330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-5434330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-5434330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-5434330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-14605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460" w:right="160"/>
        <w:spacing w:after="0" w:line="277" w:lineRule="auto"/>
        <w:rPr>
          <w:rFonts w:ascii="Arial" w:cs="Arial" w:eastAsia="Arial" w:hAnsi="Arial"/>
          <w:sz w:val="19"/>
          <w:szCs w:val="19"/>
          <w:color w:val="auto"/>
        </w:rPr>
      </w:pPr>
      <w:r>
        <w:rPr>
          <w:rFonts w:ascii="Arial" w:cs="Arial" w:eastAsia="Arial" w:hAnsi="Arial"/>
          <w:sz w:val="19"/>
          <w:szCs w:val="19"/>
          <w:color w:val="auto"/>
        </w:rPr>
        <w:t xml:space="preserve">We recorded $820 million and $837 million of deferred income tax liabilities in 2003 through income tax benefit and gain on discontinued operations, respectively. We increased deferred income tax liabilities by an additional $713 million in 2003, principally in connection with adjustments made to the Broadband purchase price allocation. We recorded an increase (decrease) of $3 million, ($152) million and ($149) million to deferred income tax liabilities in 2003, 2002 and 2001, respectively, in connection with unrealized gains (losses) on marketable securities and cash flow hedges that are included in accumulated other comprehensive income (loss). We recorded $207 million of deferred income tax liabilities in 2001 in connection with the cumulative effect of accounting change related to the adoption of SFAS No. 133 (see </w:t>
      </w:r>
      <w:hyperlink w:anchor="page64">
        <w:r>
          <w:rPr>
            <w:rFonts w:ascii="Arial" w:cs="Arial" w:eastAsia="Arial" w:hAnsi="Arial"/>
            <w:sz w:val="19"/>
            <w:szCs w:val="19"/>
            <w:u w:val="single" w:color="auto"/>
            <w:color w:val="0000EE"/>
          </w:rPr>
          <w:t>Note 2</w:t>
        </w:r>
      </w:hyperlink>
      <w:r>
        <w:rPr>
          <w:rFonts w:ascii="Arial" w:cs="Arial" w:eastAsia="Arial" w:hAnsi="Arial"/>
          <w:sz w:val="19"/>
          <w:szCs w:val="19"/>
          <w:color w:val="auto"/>
        </w:rPr>
        <w:t>).</w:t>
      </w:r>
    </w:p>
    <w:p>
      <w:pPr>
        <w:spacing w:after="0" w:line="180" w:lineRule="exact"/>
        <w:rPr>
          <w:sz w:val="20"/>
          <w:szCs w:val="20"/>
          <w:color w:val="auto"/>
        </w:rPr>
      </w:pPr>
    </w:p>
    <w:p>
      <w:pPr>
        <w:ind w:left="460" w:right="140"/>
        <w:spacing w:after="0" w:line="282" w:lineRule="auto"/>
        <w:rPr>
          <w:sz w:val="20"/>
          <w:szCs w:val="20"/>
          <w:color w:val="auto"/>
        </w:rPr>
      </w:pPr>
      <w:r>
        <w:rPr>
          <w:rFonts w:ascii="Arial" w:cs="Arial" w:eastAsia="Arial" w:hAnsi="Arial"/>
          <w:sz w:val="19"/>
          <w:szCs w:val="19"/>
          <w:color w:val="auto"/>
        </w:rPr>
        <w:t>We have recorded net deferred tax liabilities of $679 million and $1.105 billion, as of December 31, 2003 and 2002, respectively, that have been included in current liabilities, related primarily to our current investments. We have net operating loss carryforwards, primarily state, that expire in periods through 2023. The determination of the state net operating loss carryforwards are dependent upon the subsidiaries’taxable income or loss, apportionment percentages and other respective state laws, which can change year-to-year and impact the amount of such carryforward.</w:t>
      </w:r>
    </w:p>
    <w:p>
      <w:pPr>
        <w:sectPr>
          <w:pgSz w:w="11900" w:h="16838" w:orient="portrait"/>
          <w:cols w:equalWidth="0" w:num="1">
            <w:col w:w="11440"/>
          </w:cols>
          <w:pgMar w:left="240" w:top="361" w:right="219" w:bottom="43" w:gutter="0" w:footer="0" w:header="0"/>
        </w:sectPr>
      </w:pPr>
    </w:p>
    <w:bookmarkStart w:id="91" w:name="page92"/>
    <w:bookmarkEnd w:id="91"/>
    <w:p>
      <w:pPr>
        <w:jc w:val="center"/>
        <w:spacing w:after="0"/>
        <w:rPr>
          <w:sz w:val="20"/>
          <w:szCs w:val="20"/>
          <w:color w:val="auto"/>
        </w:rPr>
      </w:pPr>
      <w:r>
        <w:rPr>
          <w:rFonts w:ascii="Arial" w:cs="Arial" w:eastAsia="Arial" w:hAnsi="Arial"/>
          <w:sz w:val="22"/>
          <w:szCs w:val="22"/>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STATEMENT OF CASH FLOWS — SUPPLEMENTAL INFORMATION</w:t>
      </w:r>
    </w:p>
    <w:p>
      <w:pPr>
        <w:spacing w:after="0" w:line="233" w:lineRule="exact"/>
        <w:rPr>
          <w:rFonts w:ascii="Arial" w:cs="Arial" w:eastAsia="Arial" w:hAnsi="Arial"/>
          <w:sz w:val="22"/>
          <w:szCs w:val="22"/>
          <w:color w:val="auto"/>
        </w:rPr>
      </w:pPr>
    </w:p>
    <w:p>
      <w:pPr>
        <w:ind w:left="460" w:right="260"/>
        <w:spacing w:after="0" w:line="251" w:lineRule="auto"/>
        <w:rPr>
          <w:rFonts w:ascii="Arial" w:cs="Arial" w:eastAsia="Arial" w:hAnsi="Arial"/>
          <w:sz w:val="22"/>
          <w:szCs w:val="22"/>
          <w:color w:val="auto"/>
        </w:rPr>
      </w:pPr>
      <w:r>
        <w:rPr>
          <w:rFonts w:ascii="Arial" w:cs="Arial" w:eastAsia="Arial" w:hAnsi="Arial"/>
          <w:sz w:val="22"/>
          <w:szCs w:val="22"/>
          <w:color w:val="auto"/>
        </w:rPr>
        <w:t xml:space="preserve">The following table summarizes the fair values of the assets and liabilities associated with our acquisitions through noncash transactions (see </w:t>
      </w:r>
      <w:hyperlink w:anchor="page73">
        <w:r>
          <w:rPr>
            <w:rFonts w:ascii="Arial" w:cs="Arial" w:eastAsia="Arial" w:hAnsi="Arial"/>
            <w:sz w:val="22"/>
            <w:szCs w:val="22"/>
            <w:u w:val="single" w:color="auto"/>
            <w:color w:val="0000EE"/>
          </w:rPr>
          <w:t>Note 5</w:t>
        </w:r>
      </w:hyperlink>
      <w:r>
        <w:rPr>
          <w:rFonts w:ascii="Arial" w:cs="Arial" w:eastAsia="Arial" w:hAnsi="Arial"/>
          <w:sz w:val="22"/>
          <w:szCs w:val="22"/>
          <w:color w:val="auto"/>
        </w:rPr>
        <w:t>) (in millions):</w:t>
      </w:r>
    </w:p>
    <w:p>
      <w:pPr>
        <w:spacing w:after="0" w:line="190" w:lineRule="exact"/>
        <w:rPr>
          <w:sz w:val="20"/>
          <w:szCs w:val="20"/>
          <w:color w:val="auto"/>
        </w:rPr>
      </w:pPr>
    </w:p>
    <w:tbl>
      <w:tblPr>
        <w:tblLayout w:type="fixed"/>
        <w:tblInd w:w="280" w:type="dxa"/>
        <w:tblCellMar>
          <w:top w:w="0" w:type="dxa"/>
          <w:left w:w="0" w:type="dxa"/>
          <w:bottom w:w="0" w:type="dxa"/>
          <w:right w:w="0" w:type="dxa"/>
        </w:tblCellMar>
      </w:tblPr>
      <w:tr>
        <w:trPr>
          <w:trHeight w:val="253"/>
        </w:trPr>
        <w:tc>
          <w:tcPr>
            <w:tcW w:w="7220" w:type="dxa"/>
            <w:vAlign w:val="bottom"/>
          </w:tcPr>
          <w:p>
            <w:pPr>
              <w:spacing w:after="0"/>
              <w:rPr>
                <w:sz w:val="21"/>
                <w:szCs w:val="21"/>
                <w:color w:val="auto"/>
              </w:rPr>
            </w:pPr>
          </w:p>
        </w:tc>
        <w:tc>
          <w:tcPr>
            <w:tcW w:w="1820" w:type="dxa"/>
            <w:vAlign w:val="bottom"/>
            <w:gridSpan w:val="3"/>
          </w:tcPr>
          <w:p>
            <w:pPr>
              <w:ind w:left="780"/>
              <w:spacing w:after="0"/>
              <w:rPr>
                <w:sz w:val="20"/>
                <w:szCs w:val="20"/>
                <w:color w:val="auto"/>
              </w:rPr>
            </w:pPr>
            <w:r>
              <w:rPr>
                <w:rFonts w:ascii="Arial" w:cs="Arial" w:eastAsia="Arial" w:hAnsi="Arial"/>
                <w:sz w:val="22"/>
                <w:szCs w:val="22"/>
                <w:color w:val="auto"/>
                <w:w w:val="87"/>
              </w:rPr>
              <w:t>Year Ended</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7220" w:type="dxa"/>
            <w:vAlign w:val="bottom"/>
          </w:tcPr>
          <w:p>
            <w:pPr>
              <w:spacing w:after="0"/>
              <w:rPr>
                <w:sz w:val="21"/>
                <w:szCs w:val="21"/>
                <w:color w:val="auto"/>
              </w:rPr>
            </w:pPr>
          </w:p>
        </w:tc>
        <w:tc>
          <w:tcPr>
            <w:tcW w:w="2640" w:type="dxa"/>
            <w:vAlign w:val="bottom"/>
            <w:gridSpan w:val="5"/>
          </w:tcPr>
          <w:p>
            <w:pPr>
              <w:jc w:val="right"/>
              <w:ind w:right="740"/>
              <w:spacing w:after="0" w:line="243" w:lineRule="exact"/>
              <w:rPr>
                <w:sz w:val="20"/>
                <w:szCs w:val="20"/>
                <w:color w:val="auto"/>
              </w:rPr>
            </w:pPr>
            <w:r>
              <w:rPr>
                <w:rFonts w:ascii="Arial" w:cs="Arial" w:eastAsia="Arial" w:hAnsi="Arial"/>
                <w:sz w:val="22"/>
                <w:szCs w:val="22"/>
                <w:color w:val="auto"/>
              </w:rPr>
              <w:t>December 31,</w:t>
            </w:r>
          </w:p>
        </w:tc>
      </w:tr>
      <w:tr>
        <w:trPr>
          <w:trHeight w:val="275"/>
        </w:trPr>
        <w:tc>
          <w:tcPr>
            <w:tcW w:w="7220" w:type="dxa"/>
            <w:vAlign w:val="bottom"/>
          </w:tcPr>
          <w:p>
            <w:pPr>
              <w:spacing w:after="0"/>
              <w:rPr>
                <w:sz w:val="23"/>
                <w:szCs w:val="23"/>
                <w:color w:val="auto"/>
              </w:rPr>
            </w:pP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2002</w:t>
            </w: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72"/>
              <w:spacing w:after="0"/>
              <w:rPr>
                <w:sz w:val="20"/>
                <w:szCs w:val="20"/>
                <w:color w:val="auto"/>
              </w:rPr>
            </w:pPr>
            <w:r>
              <w:rPr>
                <w:rFonts w:ascii="Arial" w:cs="Arial" w:eastAsia="Arial" w:hAnsi="Arial"/>
                <w:sz w:val="22"/>
                <w:szCs w:val="22"/>
                <w:color w:val="auto"/>
                <w:w w:val="89"/>
              </w:rPr>
              <w:t>2001</w:t>
            </w:r>
          </w:p>
        </w:tc>
        <w:tc>
          <w:tcPr>
            <w:tcW w:w="80" w:type="dxa"/>
            <w:vAlign w:val="bottom"/>
          </w:tcPr>
          <w:p>
            <w:pPr>
              <w:spacing w:after="0"/>
              <w:rPr>
                <w:sz w:val="23"/>
                <w:szCs w:val="23"/>
                <w:color w:val="auto"/>
              </w:rPr>
            </w:pPr>
          </w:p>
        </w:tc>
      </w:tr>
      <w:tr>
        <w:trPr>
          <w:trHeight w:val="98"/>
        </w:trPr>
        <w:tc>
          <w:tcPr>
            <w:tcW w:w="7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566"/>
        </w:trPr>
        <w:tc>
          <w:tcPr>
            <w:tcW w:w="7220" w:type="dxa"/>
            <w:vAlign w:val="bottom"/>
          </w:tcPr>
          <w:p>
            <w:pPr>
              <w:spacing w:after="0"/>
              <w:rPr>
                <w:sz w:val="20"/>
                <w:szCs w:val="20"/>
                <w:color w:val="auto"/>
              </w:rPr>
            </w:pPr>
            <w:r>
              <w:rPr>
                <w:rFonts w:ascii="Arial" w:cs="Arial" w:eastAsia="Arial" w:hAnsi="Arial"/>
                <w:sz w:val="22"/>
                <w:szCs w:val="22"/>
                <w:color w:val="auto"/>
              </w:rPr>
              <w:t>Current assets</w:t>
            </w:r>
          </w:p>
        </w:tc>
        <w:tc>
          <w:tcPr>
            <w:tcW w:w="1020" w:type="dxa"/>
            <w:vAlign w:val="bottom"/>
          </w:tcPr>
          <w:p>
            <w:pPr>
              <w:jc w:val="right"/>
              <w:spacing w:after="0"/>
              <w:rPr>
                <w:sz w:val="20"/>
                <w:szCs w:val="20"/>
                <w:color w:val="auto"/>
              </w:rPr>
            </w:pPr>
            <w:r>
              <w:rPr>
                <w:rFonts w:ascii="Arial" w:cs="Arial" w:eastAsia="Arial" w:hAnsi="Arial"/>
                <w:sz w:val="22"/>
                <w:szCs w:val="22"/>
                <w:color w:val="auto"/>
              </w:rPr>
              <w:t>$1,533</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color w:val="auto"/>
              </w:rPr>
              <w:t>$57</w:t>
            </w:r>
          </w:p>
        </w:tc>
        <w:tc>
          <w:tcPr>
            <w:tcW w:w="80" w:type="dxa"/>
            <w:vAlign w:val="bottom"/>
          </w:tcPr>
          <w:p>
            <w:pPr>
              <w:spacing w:after="0"/>
              <w:rPr>
                <w:sz w:val="24"/>
                <w:szCs w:val="24"/>
                <w:color w:val="auto"/>
              </w:rPr>
            </w:pPr>
          </w:p>
        </w:tc>
      </w:tr>
      <w:tr>
        <w:trPr>
          <w:trHeight w:val="243"/>
        </w:trPr>
        <w:tc>
          <w:tcPr>
            <w:tcW w:w="7220" w:type="dxa"/>
            <w:vAlign w:val="bottom"/>
          </w:tcPr>
          <w:p>
            <w:pPr>
              <w:spacing w:after="0" w:line="243" w:lineRule="exact"/>
              <w:rPr>
                <w:sz w:val="20"/>
                <w:szCs w:val="20"/>
                <w:color w:val="auto"/>
              </w:rPr>
            </w:pPr>
            <w:r>
              <w:rPr>
                <w:rFonts w:ascii="Arial" w:cs="Arial" w:eastAsia="Arial" w:hAnsi="Arial"/>
                <w:sz w:val="22"/>
                <w:szCs w:val="22"/>
                <w:color w:val="auto"/>
              </w:rPr>
              <w:t>Investments</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17,325</w:t>
            </w: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7220" w:type="dxa"/>
            <w:vAlign w:val="bottom"/>
          </w:tcPr>
          <w:p>
            <w:pPr>
              <w:spacing w:after="0" w:line="243" w:lineRule="exact"/>
              <w:rPr>
                <w:sz w:val="20"/>
                <w:szCs w:val="20"/>
                <w:color w:val="auto"/>
              </w:rPr>
            </w:pPr>
            <w:r>
              <w:rPr>
                <w:rFonts w:ascii="Arial" w:cs="Arial" w:eastAsia="Arial" w:hAnsi="Arial"/>
                <w:sz w:val="22"/>
                <w:szCs w:val="22"/>
                <w:color w:val="auto"/>
              </w:rPr>
              <w:t>Property and equipment</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11,757</w:t>
            </w: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580</w:t>
            </w:r>
          </w:p>
        </w:tc>
        <w:tc>
          <w:tcPr>
            <w:tcW w:w="80" w:type="dxa"/>
            <w:vAlign w:val="bottom"/>
          </w:tcPr>
          <w:p>
            <w:pPr>
              <w:spacing w:after="0"/>
              <w:rPr>
                <w:sz w:val="21"/>
                <w:szCs w:val="21"/>
                <w:color w:val="auto"/>
              </w:rPr>
            </w:pPr>
          </w:p>
        </w:tc>
      </w:tr>
      <w:tr>
        <w:trPr>
          <w:trHeight w:val="243"/>
        </w:trPr>
        <w:tc>
          <w:tcPr>
            <w:tcW w:w="7220" w:type="dxa"/>
            <w:vAlign w:val="bottom"/>
          </w:tcPr>
          <w:p>
            <w:pPr>
              <w:spacing w:after="0" w:line="243" w:lineRule="exact"/>
              <w:rPr>
                <w:sz w:val="20"/>
                <w:szCs w:val="20"/>
                <w:color w:val="auto"/>
              </w:rPr>
            </w:pPr>
            <w:r>
              <w:rPr>
                <w:rFonts w:ascii="Arial" w:cs="Arial" w:eastAsia="Arial" w:hAnsi="Arial"/>
                <w:sz w:val="22"/>
                <w:szCs w:val="22"/>
                <w:color w:val="auto"/>
              </w:rPr>
              <w:t>Intangible assets</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46,510</w:t>
            </w: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3,043</w:t>
            </w:r>
          </w:p>
        </w:tc>
        <w:tc>
          <w:tcPr>
            <w:tcW w:w="80" w:type="dxa"/>
            <w:vAlign w:val="bottom"/>
          </w:tcPr>
          <w:p>
            <w:pPr>
              <w:spacing w:after="0"/>
              <w:rPr>
                <w:sz w:val="21"/>
                <w:szCs w:val="21"/>
                <w:color w:val="auto"/>
              </w:rPr>
            </w:pPr>
          </w:p>
        </w:tc>
      </w:tr>
      <w:tr>
        <w:trPr>
          <w:trHeight w:val="243"/>
        </w:trPr>
        <w:tc>
          <w:tcPr>
            <w:tcW w:w="7220" w:type="dxa"/>
            <w:vAlign w:val="bottom"/>
          </w:tcPr>
          <w:p>
            <w:pPr>
              <w:spacing w:after="0" w:line="243" w:lineRule="exact"/>
              <w:rPr>
                <w:sz w:val="20"/>
                <w:szCs w:val="20"/>
                <w:color w:val="auto"/>
              </w:rPr>
            </w:pPr>
            <w:r>
              <w:rPr>
                <w:rFonts w:ascii="Arial" w:cs="Arial" w:eastAsia="Arial" w:hAnsi="Arial"/>
                <w:sz w:val="22"/>
                <w:szCs w:val="22"/>
                <w:color w:val="auto"/>
              </w:rPr>
              <w:t>Other noncurrent assets</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300</w:t>
            </w: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7220" w:type="dxa"/>
            <w:vAlign w:val="bottom"/>
          </w:tcPr>
          <w:p>
            <w:pPr>
              <w:spacing w:after="0" w:line="243" w:lineRule="exact"/>
              <w:rPr>
                <w:sz w:val="20"/>
                <w:szCs w:val="20"/>
                <w:color w:val="auto"/>
              </w:rPr>
            </w:pPr>
            <w:r>
              <w:rPr>
                <w:rFonts w:ascii="Arial" w:cs="Arial" w:eastAsia="Arial" w:hAnsi="Arial"/>
                <w:sz w:val="22"/>
                <w:szCs w:val="22"/>
                <w:color w:val="auto"/>
              </w:rPr>
              <w:t>Current liabilities</w:t>
            </w:r>
          </w:p>
        </w:tc>
        <w:tc>
          <w:tcPr>
            <w:tcW w:w="15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(4,694)</w:t>
            </w:r>
          </w:p>
        </w:tc>
        <w:tc>
          <w:tcPr>
            <w:tcW w:w="280" w:type="dxa"/>
            <w:vAlign w:val="bottom"/>
          </w:tcPr>
          <w:p>
            <w:pPr>
              <w:spacing w:after="0"/>
              <w:rPr>
                <w:sz w:val="21"/>
                <w:szCs w:val="21"/>
                <w:color w:val="auto"/>
              </w:rPr>
            </w:pP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7220" w:type="dxa"/>
            <w:vAlign w:val="bottom"/>
          </w:tcPr>
          <w:p>
            <w:pPr>
              <w:spacing w:after="0" w:line="243" w:lineRule="exact"/>
              <w:rPr>
                <w:sz w:val="20"/>
                <w:szCs w:val="20"/>
                <w:color w:val="auto"/>
              </w:rPr>
            </w:pPr>
            <w:r>
              <w:rPr>
                <w:rFonts w:ascii="Arial" w:cs="Arial" w:eastAsia="Arial" w:hAnsi="Arial"/>
                <w:sz w:val="22"/>
                <w:szCs w:val="22"/>
                <w:color w:val="auto"/>
              </w:rPr>
              <w:t>Short-term debt and current portion of long-term debt</w:t>
            </w:r>
          </w:p>
        </w:tc>
        <w:tc>
          <w:tcPr>
            <w:tcW w:w="15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(8,049)</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7220" w:type="dxa"/>
            <w:vAlign w:val="bottom"/>
          </w:tcPr>
          <w:p>
            <w:pPr>
              <w:spacing w:after="0" w:line="243" w:lineRule="exact"/>
              <w:rPr>
                <w:sz w:val="20"/>
                <w:szCs w:val="20"/>
                <w:color w:val="auto"/>
              </w:rPr>
            </w:pPr>
            <w:r>
              <w:rPr>
                <w:rFonts w:ascii="Arial" w:cs="Arial" w:eastAsia="Arial" w:hAnsi="Arial"/>
                <w:sz w:val="22"/>
                <w:szCs w:val="22"/>
                <w:color w:val="auto"/>
              </w:rPr>
              <w:t>Long-term debt</w:t>
            </w:r>
          </w:p>
        </w:tc>
        <w:tc>
          <w:tcPr>
            <w:tcW w:w="15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(16,811)</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7220" w:type="dxa"/>
            <w:vAlign w:val="bottom"/>
          </w:tcPr>
          <w:p>
            <w:pPr>
              <w:spacing w:after="0" w:line="243" w:lineRule="exact"/>
              <w:rPr>
                <w:sz w:val="20"/>
                <w:szCs w:val="20"/>
                <w:color w:val="auto"/>
              </w:rPr>
            </w:pPr>
            <w:r>
              <w:rPr>
                <w:rFonts w:ascii="Arial" w:cs="Arial" w:eastAsia="Arial" w:hAnsi="Arial"/>
                <w:sz w:val="22"/>
                <w:szCs w:val="22"/>
                <w:color w:val="auto"/>
              </w:rPr>
              <w:t>Deferred income taxes</w:t>
            </w:r>
          </w:p>
        </w:tc>
        <w:tc>
          <w:tcPr>
            <w:tcW w:w="15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(17,541)</w:t>
            </w:r>
          </w:p>
        </w:tc>
        <w:tc>
          <w:tcPr>
            <w:tcW w:w="280" w:type="dxa"/>
            <w:vAlign w:val="bottom"/>
          </w:tcPr>
          <w:p>
            <w:pPr>
              <w:spacing w:after="0"/>
              <w:rPr>
                <w:sz w:val="21"/>
                <w:szCs w:val="21"/>
                <w:color w:val="auto"/>
              </w:rPr>
            </w:pP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7220" w:type="dxa"/>
            <w:vAlign w:val="bottom"/>
          </w:tcPr>
          <w:p>
            <w:pPr>
              <w:spacing w:after="0" w:line="243" w:lineRule="exact"/>
              <w:rPr>
                <w:sz w:val="20"/>
                <w:szCs w:val="20"/>
                <w:color w:val="auto"/>
              </w:rPr>
            </w:pPr>
            <w:r>
              <w:rPr>
                <w:rFonts w:ascii="Arial" w:cs="Arial" w:eastAsia="Arial" w:hAnsi="Arial"/>
                <w:sz w:val="22"/>
                <w:szCs w:val="22"/>
                <w:color w:val="auto"/>
              </w:rPr>
              <w:t>Other noncurrent liabilities and minority interest</w:t>
            </w:r>
          </w:p>
        </w:tc>
        <w:tc>
          <w:tcPr>
            <w:tcW w:w="15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(5,831)</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5"/>
        </w:trPr>
        <w:tc>
          <w:tcPr>
            <w:tcW w:w="7220" w:type="dxa"/>
            <w:vAlign w:val="bottom"/>
          </w:tcPr>
          <w:p>
            <w:pPr>
              <w:spacing w:after="0"/>
              <w:rPr>
                <w:sz w:val="20"/>
                <w:szCs w:val="20"/>
                <w:color w:val="auto"/>
              </w:rPr>
            </w:pPr>
            <w:r>
              <w:rPr>
                <w:rFonts w:ascii="Arial" w:cs="Arial" w:eastAsia="Arial" w:hAnsi="Arial"/>
                <w:sz w:val="22"/>
                <w:szCs w:val="22"/>
                <w:color w:val="auto"/>
              </w:rPr>
              <w:t>Comcast shares held by Broadband</w:t>
            </w:r>
          </w:p>
        </w:tc>
        <w:tc>
          <w:tcPr>
            <w:tcW w:w="1020" w:type="dxa"/>
            <w:vAlign w:val="bottom"/>
          </w:tcPr>
          <w:p>
            <w:pPr>
              <w:jc w:val="right"/>
              <w:spacing w:after="0"/>
              <w:rPr>
                <w:sz w:val="20"/>
                <w:szCs w:val="20"/>
                <w:color w:val="auto"/>
              </w:rPr>
            </w:pPr>
            <w:r>
              <w:rPr>
                <w:rFonts w:ascii="Arial" w:cs="Arial" w:eastAsia="Arial" w:hAnsi="Arial"/>
                <w:sz w:val="22"/>
                <w:szCs w:val="22"/>
                <w:color w:val="auto"/>
              </w:rPr>
              <w:t>1,126</w:t>
            </w: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98"/>
        </w:trPr>
        <w:tc>
          <w:tcPr>
            <w:tcW w:w="72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55"/>
        </w:trPr>
        <w:tc>
          <w:tcPr>
            <w:tcW w:w="7220" w:type="dxa"/>
            <w:vAlign w:val="bottom"/>
          </w:tcPr>
          <w:p>
            <w:pPr>
              <w:ind w:left="260"/>
              <w:spacing w:after="0"/>
              <w:rPr>
                <w:sz w:val="20"/>
                <w:szCs w:val="20"/>
                <w:color w:val="auto"/>
              </w:rPr>
            </w:pPr>
            <w:r>
              <w:rPr>
                <w:rFonts w:ascii="Arial" w:cs="Arial" w:eastAsia="Arial" w:hAnsi="Arial"/>
                <w:sz w:val="22"/>
                <w:szCs w:val="22"/>
                <w:color w:val="auto"/>
              </w:rPr>
              <w:t>Net assets acquired</w:t>
            </w:r>
          </w:p>
        </w:tc>
        <w:tc>
          <w:tcPr>
            <w:tcW w:w="1020" w:type="dxa"/>
            <w:vAlign w:val="bottom"/>
          </w:tcPr>
          <w:p>
            <w:pPr>
              <w:jc w:val="right"/>
              <w:spacing w:after="0"/>
              <w:rPr>
                <w:sz w:val="20"/>
                <w:szCs w:val="20"/>
                <w:color w:val="auto"/>
              </w:rPr>
            </w:pPr>
            <w:r>
              <w:rPr>
                <w:rFonts w:ascii="Arial" w:cs="Arial" w:eastAsia="Arial" w:hAnsi="Arial"/>
                <w:sz w:val="22"/>
                <w:szCs w:val="22"/>
                <w:color w:val="auto"/>
              </w:rPr>
              <w:t>$25,625</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color w:val="auto"/>
              </w:rPr>
              <w:t>$3,566</w:t>
            </w:r>
          </w:p>
        </w:tc>
        <w:tc>
          <w:tcPr>
            <w:tcW w:w="80" w:type="dxa"/>
            <w:vAlign w:val="bottom"/>
          </w:tcPr>
          <w:p>
            <w:pPr>
              <w:spacing w:after="0"/>
              <w:rPr>
                <w:sz w:val="24"/>
                <w:szCs w:val="24"/>
                <w:color w:val="auto"/>
              </w:rPr>
            </w:pPr>
          </w:p>
        </w:tc>
      </w:tr>
      <w:tr>
        <w:trPr>
          <w:trHeight w:val="108"/>
        </w:trPr>
        <w:tc>
          <w:tcPr>
            <w:tcW w:w="72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-14605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-14605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22"/>
          <w:szCs w:val="22"/>
          <w:color w:val="auto"/>
        </w:rPr>
        <w:t>The following table summarizes our cash payments for interest and income taxes (in millions):</w:t>
      </w:r>
    </w:p>
    <w:p>
      <w:pPr>
        <w:spacing w:after="0" w:line="233" w:lineRule="exact"/>
        <w:rPr>
          <w:sz w:val="20"/>
          <w:szCs w:val="20"/>
          <w:color w:val="auto"/>
        </w:rPr>
      </w:pPr>
    </w:p>
    <w:p>
      <w:pPr>
        <w:jc w:val="center"/>
        <w:ind w:left="5140"/>
        <w:spacing w:after="0"/>
        <w:rPr>
          <w:sz w:val="20"/>
          <w:szCs w:val="20"/>
          <w:color w:val="auto"/>
        </w:rPr>
      </w:pPr>
      <w:r>
        <w:rPr>
          <w:rFonts w:ascii="Arial" w:cs="Arial" w:eastAsia="Arial" w:hAnsi="Arial"/>
          <w:sz w:val="22"/>
          <w:szCs w:val="22"/>
          <w:color w:val="auto"/>
        </w:rPr>
        <w:t>Year Ended December 31,</w:t>
      </w:r>
    </w:p>
    <w:p>
      <w:pPr>
        <w:spacing w:after="0" w:line="8" w:lineRule="exact"/>
        <w:rPr>
          <w:sz w:val="20"/>
          <w:szCs w:val="20"/>
          <w:color w:val="auto"/>
        </w:rPr>
      </w:pPr>
    </w:p>
    <w:p>
      <w:pPr>
        <w:ind w:left="6740"/>
        <w:spacing w:after="0"/>
        <w:tabs>
          <w:tab w:leader="none" w:pos="8060" w:val="left"/>
          <w:tab w:leader="none" w:pos="9380" w:val="left"/>
        </w:tabs>
        <w:rPr>
          <w:sz w:val="20"/>
          <w:szCs w:val="20"/>
          <w:color w:val="auto"/>
        </w:rPr>
      </w:pPr>
      <w:r>
        <w:rPr>
          <w:rFonts w:ascii="Arial" w:cs="Arial" w:eastAsia="Arial" w:hAnsi="Arial"/>
          <w:sz w:val="22"/>
          <w:szCs w:val="22"/>
          <w:color w:val="auto"/>
        </w:rPr>
        <w:t>2003</w:t>
      </w:r>
      <w:r>
        <w:rPr>
          <w:sz w:val="20"/>
          <w:szCs w:val="20"/>
          <w:color w:val="auto"/>
        </w:rPr>
        <w:tab/>
      </w:r>
      <w:r>
        <w:rPr>
          <w:rFonts w:ascii="Arial" w:cs="Arial" w:eastAsia="Arial" w:hAnsi="Arial"/>
          <w:sz w:val="22"/>
          <w:szCs w:val="22"/>
          <w:color w:val="auto"/>
        </w:rPr>
        <w:t>2002</w:t>
      </w:r>
      <w:r>
        <w:rPr>
          <w:sz w:val="20"/>
          <w:szCs w:val="20"/>
          <w:color w:val="auto"/>
        </w:rPr>
        <w:tab/>
      </w:r>
      <w:r>
        <w:rPr>
          <w:rFonts w:ascii="Arial" w:cs="Arial" w:eastAsia="Arial" w:hAnsi="Arial"/>
          <w:sz w:val="18"/>
          <w:szCs w:val="18"/>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64770</wp:posOffset>
            </wp:positionV>
            <wp:extent cx="227266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72" w:lineRule="exact"/>
        <w:rPr>
          <w:sz w:val="20"/>
          <w:szCs w:val="20"/>
          <w:color w:val="auto"/>
        </w:rPr>
      </w:pPr>
    </w:p>
    <w:tbl>
      <w:tblPr>
        <w:tblLayout w:type="fixed"/>
        <w:tblInd w:w="280" w:type="dxa"/>
        <w:tblCellMar>
          <w:top w:w="0" w:type="dxa"/>
          <w:left w:w="0" w:type="dxa"/>
          <w:bottom w:w="0" w:type="dxa"/>
          <w:right w:w="0" w:type="dxa"/>
        </w:tblCellMar>
      </w:tblPr>
      <w:tr>
        <w:trPr>
          <w:trHeight w:val="253"/>
        </w:trPr>
        <w:tc>
          <w:tcPr>
            <w:tcW w:w="3840" w:type="dxa"/>
            <w:vAlign w:val="bottom"/>
          </w:tcPr>
          <w:p>
            <w:pPr>
              <w:spacing w:after="0"/>
              <w:rPr>
                <w:sz w:val="20"/>
                <w:szCs w:val="20"/>
                <w:color w:val="auto"/>
              </w:rPr>
            </w:pPr>
            <w:r>
              <w:rPr>
                <w:rFonts w:ascii="Arial" w:cs="Arial" w:eastAsia="Arial" w:hAnsi="Arial"/>
                <w:sz w:val="22"/>
                <w:szCs w:val="22"/>
                <w:color w:val="auto"/>
              </w:rPr>
              <w:t>Interest</w:t>
            </w:r>
          </w:p>
        </w:tc>
        <w:tc>
          <w:tcPr>
            <w:tcW w:w="3740" w:type="dxa"/>
            <w:vAlign w:val="bottom"/>
          </w:tcPr>
          <w:p>
            <w:pPr>
              <w:jc w:val="right"/>
              <w:ind w:right="332"/>
              <w:spacing w:after="0"/>
              <w:rPr>
                <w:sz w:val="20"/>
                <w:szCs w:val="20"/>
                <w:color w:val="auto"/>
              </w:rPr>
            </w:pPr>
            <w:r>
              <w:rPr>
                <w:rFonts w:ascii="Arial" w:cs="Arial" w:eastAsia="Arial" w:hAnsi="Arial"/>
                <w:sz w:val="22"/>
                <w:szCs w:val="22"/>
                <w:color w:val="auto"/>
              </w:rPr>
              <w:t>$2,053</w:t>
            </w:r>
          </w:p>
        </w:tc>
        <w:tc>
          <w:tcPr>
            <w:tcW w:w="1340" w:type="dxa"/>
            <w:vAlign w:val="bottom"/>
          </w:tcPr>
          <w:p>
            <w:pPr>
              <w:jc w:val="right"/>
              <w:ind w:right="352"/>
              <w:spacing w:after="0"/>
              <w:rPr>
                <w:sz w:val="20"/>
                <w:szCs w:val="20"/>
                <w:color w:val="auto"/>
              </w:rPr>
            </w:pPr>
            <w:r>
              <w:rPr>
                <w:rFonts w:ascii="Arial" w:cs="Arial" w:eastAsia="Arial" w:hAnsi="Arial"/>
                <w:sz w:val="22"/>
                <w:szCs w:val="22"/>
                <w:color w:val="auto"/>
              </w:rPr>
              <w:t>$788</w:t>
            </w:r>
          </w:p>
        </w:tc>
        <w:tc>
          <w:tcPr>
            <w:tcW w:w="860" w:type="dxa"/>
            <w:vAlign w:val="bottom"/>
          </w:tcPr>
          <w:p>
            <w:pPr>
              <w:jc w:val="right"/>
              <w:spacing w:after="0"/>
              <w:rPr>
                <w:sz w:val="20"/>
                <w:szCs w:val="20"/>
                <w:color w:val="auto"/>
              </w:rPr>
            </w:pPr>
            <w:r>
              <w:rPr>
                <w:rFonts w:ascii="Arial" w:cs="Arial" w:eastAsia="Arial" w:hAnsi="Arial"/>
                <w:sz w:val="22"/>
                <w:szCs w:val="22"/>
                <w:color w:val="auto"/>
              </w:rPr>
              <w:t>$631</w:t>
            </w:r>
          </w:p>
        </w:tc>
      </w:tr>
      <w:tr>
        <w:trPr>
          <w:trHeight w:val="275"/>
        </w:trPr>
        <w:tc>
          <w:tcPr>
            <w:tcW w:w="3840" w:type="dxa"/>
            <w:vAlign w:val="bottom"/>
          </w:tcPr>
          <w:p>
            <w:pPr>
              <w:spacing w:after="0"/>
              <w:rPr>
                <w:sz w:val="20"/>
                <w:szCs w:val="20"/>
                <w:color w:val="auto"/>
              </w:rPr>
            </w:pPr>
            <w:r>
              <w:rPr>
                <w:rFonts w:ascii="Arial" w:cs="Arial" w:eastAsia="Arial" w:hAnsi="Arial"/>
                <w:sz w:val="22"/>
                <w:szCs w:val="22"/>
                <w:color w:val="auto"/>
              </w:rPr>
              <w:t>Income taxes</w:t>
            </w:r>
          </w:p>
        </w:tc>
        <w:tc>
          <w:tcPr>
            <w:tcW w:w="3740" w:type="dxa"/>
            <w:vAlign w:val="bottom"/>
          </w:tcPr>
          <w:p>
            <w:pPr>
              <w:jc w:val="right"/>
              <w:ind w:right="332"/>
              <w:spacing w:after="0"/>
              <w:rPr>
                <w:sz w:val="20"/>
                <w:szCs w:val="20"/>
                <w:color w:val="auto"/>
              </w:rPr>
            </w:pPr>
            <w:r>
              <w:rPr>
                <w:rFonts w:ascii="Arial" w:cs="Arial" w:eastAsia="Arial" w:hAnsi="Arial"/>
                <w:sz w:val="22"/>
                <w:szCs w:val="22"/>
                <w:color w:val="auto"/>
              </w:rPr>
              <w:t>$945</w:t>
            </w:r>
          </w:p>
        </w:tc>
        <w:tc>
          <w:tcPr>
            <w:tcW w:w="1340" w:type="dxa"/>
            <w:vAlign w:val="bottom"/>
          </w:tcPr>
          <w:p>
            <w:pPr>
              <w:jc w:val="right"/>
              <w:ind w:right="352"/>
              <w:spacing w:after="0"/>
              <w:rPr>
                <w:sz w:val="20"/>
                <w:szCs w:val="20"/>
                <w:color w:val="auto"/>
              </w:rPr>
            </w:pPr>
            <w:r>
              <w:rPr>
                <w:rFonts w:ascii="Arial" w:cs="Arial" w:eastAsia="Arial" w:hAnsi="Arial"/>
                <w:sz w:val="22"/>
                <w:szCs w:val="22"/>
                <w:color w:val="auto"/>
              </w:rPr>
              <w:t>$33</w:t>
            </w:r>
          </w:p>
        </w:tc>
        <w:tc>
          <w:tcPr>
            <w:tcW w:w="860" w:type="dxa"/>
            <w:vAlign w:val="bottom"/>
          </w:tcPr>
          <w:p>
            <w:pPr>
              <w:jc w:val="right"/>
              <w:spacing w:after="0"/>
              <w:rPr>
                <w:sz w:val="20"/>
                <w:szCs w:val="20"/>
                <w:color w:val="auto"/>
              </w:rPr>
            </w:pPr>
            <w:r>
              <w:rPr>
                <w:rFonts w:ascii="Arial" w:cs="Arial" w:eastAsia="Arial" w:hAnsi="Arial"/>
                <w:sz w:val="22"/>
                <w:szCs w:val="22"/>
                <w:color w:val="auto"/>
              </w:rPr>
              <w:t>$344</w:t>
            </w:r>
          </w:p>
        </w:tc>
      </w:tr>
    </w:tbl>
    <w:p>
      <w:pPr>
        <w:spacing w:after="0" w:line="212" w:lineRule="exact"/>
        <w:rPr>
          <w:sz w:val="20"/>
          <w:szCs w:val="20"/>
          <w:color w:val="auto"/>
        </w:rPr>
      </w:pPr>
    </w:p>
    <w:p>
      <w:pPr>
        <w:ind w:left="460"/>
        <w:spacing w:after="0"/>
        <w:rPr>
          <w:rFonts w:ascii="Arial" w:cs="Arial" w:eastAsia="Arial" w:hAnsi="Arial"/>
          <w:sz w:val="22"/>
          <w:szCs w:val="22"/>
          <w:color w:val="auto"/>
        </w:rPr>
      </w:pPr>
      <w:r>
        <w:rPr>
          <w:rFonts w:ascii="Arial" w:cs="Arial" w:eastAsia="Arial" w:hAnsi="Arial"/>
          <w:sz w:val="22"/>
          <w:szCs w:val="22"/>
          <w:color w:val="auto"/>
        </w:rPr>
        <w:t xml:space="preserve">During the year ended December 31, 2003, we entered into non-cash financing and investing activities related to certain of our Exchangeables Notes (see </w:t>
      </w:r>
      <w:hyperlink w:anchor="page83">
        <w:r>
          <w:rPr>
            <w:rFonts w:ascii="Arial" w:cs="Arial" w:eastAsia="Arial" w:hAnsi="Arial"/>
            <w:sz w:val="22"/>
            <w:szCs w:val="22"/>
            <w:u w:val="single" w:color="auto"/>
            <w:color w:val="0000EE"/>
          </w:rPr>
          <w:t>Note 8</w:t>
        </w:r>
      </w:hyperlink>
      <w:r>
        <w:rPr>
          <w:rFonts w:ascii="Arial" w:cs="Arial" w:eastAsia="Arial" w:hAnsi="Arial"/>
          <w:sz w:val="22"/>
          <w:szCs w:val="22"/>
          <w:color w:val="auto"/>
        </w:rPr>
        <w:t xml:space="preserve">). The Liberty Shares and Liberty Notes received in connection with the sale of QVC are non-cash investing activities (see </w:t>
      </w:r>
      <w:hyperlink w:anchor="page73">
        <w:r>
          <w:rPr>
            <w:rFonts w:ascii="Arial" w:cs="Arial" w:eastAsia="Arial" w:hAnsi="Arial"/>
            <w:sz w:val="22"/>
            <w:szCs w:val="22"/>
            <w:u w:val="single" w:color="auto"/>
            <w:color w:val="0000EE"/>
          </w:rPr>
          <w:t>Note 5</w:t>
        </w:r>
      </w:hyperlink>
      <w:r>
        <w:rPr>
          <w:rFonts w:ascii="Arial" w:cs="Arial" w:eastAsia="Arial" w:hAnsi="Arial"/>
          <w:sz w:val="22"/>
          <w:szCs w:val="22"/>
          <w:color w:val="auto"/>
        </w:rPr>
        <w:t>).</w:t>
      </w:r>
    </w:p>
    <w:p>
      <w:pPr>
        <w:spacing w:after="0" w:line="213"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COMMITMENTS AND CONTINGENCIES</w:t>
      </w:r>
    </w:p>
    <w:p>
      <w:pPr>
        <w:spacing w:after="0" w:line="233"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22"/>
          <w:szCs w:val="22"/>
          <w:i w:val="1"/>
          <w:iCs w:val="1"/>
          <w:color w:val="auto"/>
        </w:rPr>
        <w:t>Commitments</w:t>
      </w:r>
    </w:p>
    <w:p>
      <w:pPr>
        <w:spacing w:after="0" w:line="8" w:lineRule="exact"/>
        <w:rPr>
          <w:rFonts w:ascii="Arial" w:cs="Arial" w:eastAsia="Arial" w:hAnsi="Arial"/>
          <w:sz w:val="22"/>
          <w:szCs w:val="22"/>
          <w:color w:val="auto"/>
        </w:rPr>
      </w:pPr>
    </w:p>
    <w:p>
      <w:pPr>
        <w:ind w:left="460" w:right="460"/>
        <w:spacing w:after="0" w:line="280" w:lineRule="auto"/>
        <w:rPr>
          <w:rFonts w:ascii="Arial" w:cs="Arial" w:eastAsia="Arial" w:hAnsi="Arial"/>
          <w:sz w:val="22"/>
          <w:szCs w:val="22"/>
          <w:color w:val="auto"/>
        </w:rPr>
      </w:pPr>
      <w:r>
        <w:rPr>
          <w:rFonts w:ascii="Arial" w:cs="Arial" w:eastAsia="Arial" w:hAnsi="Arial"/>
          <w:sz w:val="19"/>
          <w:szCs w:val="19"/>
          <w:color w:val="auto"/>
        </w:rPr>
        <w:t>Our programming networks have entered into license agreements for programs and sporting events that are available for telecast. In addition, we, through Comcast-Spectacor, have employment agreements with both players and coaches of our professional sports teams. Certain of these employment agreements, which provide for payments that are guaranteed regardless of employee injury or termination, are covered by disability insurance if certain conditions are met.</w:t>
      </w:r>
    </w:p>
    <w:p>
      <w:pPr>
        <w:spacing w:after="0" w:line="177" w:lineRule="exact"/>
        <w:rPr>
          <w:rFonts w:ascii="Arial" w:cs="Arial" w:eastAsia="Arial" w:hAnsi="Arial"/>
          <w:sz w:val="22"/>
          <w:szCs w:val="22"/>
          <w:color w:val="auto"/>
        </w:rPr>
      </w:pPr>
    </w:p>
    <w:p>
      <w:pPr>
        <w:ind w:left="460" w:right="260"/>
        <w:spacing w:after="0" w:line="249" w:lineRule="auto"/>
        <w:rPr>
          <w:rFonts w:ascii="Arial" w:cs="Arial" w:eastAsia="Arial" w:hAnsi="Arial"/>
          <w:sz w:val="21"/>
          <w:szCs w:val="21"/>
          <w:color w:val="auto"/>
        </w:rPr>
      </w:pPr>
      <w:r>
        <w:rPr>
          <w:rFonts w:ascii="Arial" w:cs="Arial" w:eastAsia="Arial" w:hAnsi="Arial"/>
          <w:sz w:val="21"/>
          <w:szCs w:val="21"/>
          <w:color w:val="auto"/>
        </w:rPr>
        <w:t xml:space="preserve">Certain of our subsidiaries support debt compliance with respect to obligations of certain cable television partnerships and investments in which we hold an ownership interest (see </w:t>
      </w:r>
      <w:hyperlink w:anchor="page78">
        <w:r>
          <w:rPr>
            <w:rFonts w:ascii="Arial" w:cs="Arial" w:eastAsia="Arial" w:hAnsi="Arial"/>
            <w:sz w:val="21"/>
            <w:szCs w:val="21"/>
            <w:u w:val="single" w:color="auto"/>
            <w:color w:val="0000EE"/>
          </w:rPr>
          <w:t>Note 6</w:t>
        </w:r>
      </w:hyperlink>
      <w:r>
        <w:rPr>
          <w:rFonts w:ascii="Arial" w:cs="Arial" w:eastAsia="Arial" w:hAnsi="Arial"/>
          <w:sz w:val="21"/>
          <w:szCs w:val="21"/>
          <w:color w:val="auto"/>
        </w:rPr>
        <w:t>). The obligations expire between May 2008 and September 2010. Although there can be no assurance, we believe that we will not be required to meet our obligations under such commitments. The total notional amount of our commitments was $1.021 billion as of December 31, 2003, at which time there were no quoted market prices for similar agreements.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9"/>
          <w:szCs w:val="19"/>
          <w:color w:val="auto"/>
        </w:rPr>
        <w:t>The following table summarizes our minimum annual commitments under program license agreements and our minimum</w:t>
      </w:r>
    </w:p>
    <w:p>
      <w:pPr>
        <w:sectPr>
          <w:pgSz w:w="11900" w:h="16838" w:orient="portrait"/>
          <w:cols w:equalWidth="0" w:num="1">
            <w:col w:w="11420"/>
          </w:cols>
          <w:pgMar w:left="240" w:top="118" w:right="239" w:bottom="0" w:gutter="0" w:footer="0" w:header="0"/>
        </w:sectPr>
      </w:pPr>
    </w:p>
    <w:bookmarkStart w:id="92" w:name="page93"/>
    <w:bookmarkEnd w:id="92"/>
    <w:p>
      <w:pPr>
        <w:ind w:left="460" w:right="200"/>
        <w:spacing w:after="0" w:line="251" w:lineRule="auto"/>
        <w:rPr>
          <w:sz w:val="20"/>
          <w:szCs w:val="20"/>
          <w:color w:val="auto"/>
        </w:rPr>
      </w:pPr>
      <w:r>
        <w:rPr>
          <w:rFonts w:ascii="Arial" w:cs="Arial" w:eastAsia="Arial" w:hAnsi="Arial"/>
          <w:sz w:val="22"/>
          <w:szCs w:val="22"/>
          <w:color w:val="auto"/>
        </w:rPr>
        <w:t>annual rental commitments for office space, equipment and transponder service agreements under noncancellable operating leases as of December 31, 2003 (in millions):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580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22"/>
                <w:szCs w:val="22"/>
                <w:color w:val="auto"/>
                <w:w w:val="87"/>
              </w:rPr>
              <w:t>Programming</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gridSpan w:val="2"/>
          </w:tcPr>
          <w:p>
            <w:pPr>
              <w:jc w:val="center"/>
              <w:spacing w:after="0"/>
              <w:rPr>
                <w:sz w:val="20"/>
                <w:szCs w:val="20"/>
                <w:color w:val="auto"/>
              </w:rPr>
            </w:pPr>
            <w:r>
              <w:rPr>
                <w:rFonts w:ascii="Arial" w:cs="Arial" w:eastAsia="Arial" w:hAnsi="Arial"/>
                <w:sz w:val="22"/>
                <w:szCs w:val="22"/>
                <w:color w:val="auto"/>
                <w:w w:val="91"/>
              </w:rPr>
              <w:t>Operating</w:t>
            </w: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5"/>
        </w:trPr>
        <w:tc>
          <w:tcPr>
            <w:tcW w:w="5800" w:type="dxa"/>
            <w:vAlign w:val="bottom"/>
          </w:tcPr>
          <w:p>
            <w:pPr>
              <w:spacing w:after="0"/>
              <w:rPr>
                <w:sz w:val="23"/>
                <w:szCs w:val="23"/>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22"/>
                <w:szCs w:val="22"/>
                <w:color w:val="auto"/>
                <w:w w:val="92"/>
              </w:rPr>
              <w:t>Agreements</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gridSpan w:val="2"/>
          </w:tcPr>
          <w:p>
            <w:pPr>
              <w:jc w:val="center"/>
              <w:spacing w:after="0"/>
              <w:rPr>
                <w:sz w:val="20"/>
                <w:szCs w:val="20"/>
                <w:color w:val="auto"/>
              </w:rPr>
            </w:pPr>
            <w:r>
              <w:rPr>
                <w:rFonts w:ascii="Arial" w:cs="Arial" w:eastAsia="Arial" w:hAnsi="Arial"/>
                <w:sz w:val="22"/>
                <w:szCs w:val="22"/>
                <w:color w:val="auto"/>
                <w:w w:val="84"/>
              </w:rPr>
              <w:t>Leases</w:t>
            </w:r>
          </w:p>
        </w:tc>
        <w:tc>
          <w:tcPr>
            <w:tcW w:w="400" w:type="dxa"/>
            <w:vAlign w:val="bottom"/>
          </w:tcPr>
          <w:p>
            <w:pPr>
              <w:spacing w:after="0"/>
              <w:rPr>
                <w:sz w:val="23"/>
                <w:szCs w:val="23"/>
                <w:color w:val="auto"/>
              </w:rPr>
            </w:pPr>
          </w:p>
        </w:tc>
        <w:tc>
          <w:tcPr>
            <w:tcW w:w="900" w:type="dxa"/>
            <w:vAlign w:val="bottom"/>
          </w:tcPr>
          <w:p>
            <w:pPr>
              <w:ind w:left="240"/>
              <w:spacing w:after="0"/>
              <w:rPr>
                <w:sz w:val="20"/>
                <w:szCs w:val="20"/>
                <w:color w:val="auto"/>
              </w:rPr>
            </w:pPr>
            <w:r>
              <w:rPr>
                <w:rFonts w:ascii="Arial" w:cs="Arial" w:eastAsia="Arial" w:hAnsi="Arial"/>
                <w:sz w:val="22"/>
                <w:szCs w:val="22"/>
                <w:color w:val="auto"/>
              </w:rPr>
              <w:t>Total</w:t>
            </w:r>
          </w:p>
        </w:tc>
      </w:tr>
      <w:tr>
        <w:trPr>
          <w:trHeight w:val="98"/>
        </w:trPr>
        <w:tc>
          <w:tcPr>
            <w:tcW w:w="58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r>
      <w:tr>
        <w:trPr>
          <w:trHeight w:val="566"/>
        </w:trPr>
        <w:tc>
          <w:tcPr>
            <w:tcW w:w="5800" w:type="dxa"/>
            <w:vAlign w:val="bottom"/>
          </w:tcPr>
          <w:p>
            <w:pPr>
              <w:ind w:left="40"/>
              <w:spacing w:after="0"/>
              <w:rPr>
                <w:sz w:val="20"/>
                <w:szCs w:val="20"/>
                <w:color w:val="auto"/>
              </w:rPr>
            </w:pPr>
            <w:r>
              <w:rPr>
                <w:rFonts w:ascii="Arial" w:cs="Arial" w:eastAsia="Arial" w:hAnsi="Arial"/>
                <w:sz w:val="22"/>
                <w:szCs w:val="22"/>
                <w:color w:val="auto"/>
              </w:rPr>
              <w:t>2004</w:t>
            </w:r>
          </w:p>
        </w:tc>
        <w:tc>
          <w:tcPr>
            <w:tcW w:w="1180" w:type="dxa"/>
            <w:vAlign w:val="bottom"/>
            <w:gridSpan w:val="3"/>
          </w:tcPr>
          <w:p>
            <w:pPr>
              <w:jc w:val="right"/>
              <w:spacing w:after="0"/>
              <w:rPr>
                <w:sz w:val="20"/>
                <w:szCs w:val="20"/>
                <w:color w:val="auto"/>
              </w:rPr>
            </w:pPr>
            <w:r>
              <w:rPr>
                <w:rFonts w:ascii="Arial" w:cs="Arial" w:eastAsia="Arial" w:hAnsi="Arial"/>
                <w:sz w:val="22"/>
                <w:szCs w:val="22"/>
                <w:color w:val="auto"/>
              </w:rPr>
              <w:t>$121</w:t>
            </w:r>
          </w:p>
        </w:tc>
        <w:tc>
          <w:tcPr>
            <w:tcW w:w="1320" w:type="dxa"/>
            <w:vAlign w:val="bottom"/>
            <w:gridSpan w:val="4"/>
          </w:tcPr>
          <w:p>
            <w:pPr>
              <w:jc w:val="right"/>
              <w:spacing w:after="0"/>
              <w:rPr>
                <w:sz w:val="20"/>
                <w:szCs w:val="20"/>
                <w:color w:val="auto"/>
              </w:rPr>
            </w:pPr>
            <w:r>
              <w:rPr>
                <w:rFonts w:ascii="Arial" w:cs="Arial" w:eastAsia="Arial" w:hAnsi="Arial"/>
                <w:sz w:val="22"/>
                <w:szCs w:val="22"/>
                <w:color w:val="auto"/>
              </w:rPr>
              <w:t>$200</w:t>
            </w: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$321</w:t>
            </w:r>
          </w:p>
        </w:tc>
      </w:tr>
      <w:tr>
        <w:trPr>
          <w:trHeight w:val="243"/>
        </w:trPr>
        <w:tc>
          <w:tcPr>
            <w:tcW w:w="5800" w:type="dxa"/>
            <w:vAlign w:val="bottom"/>
          </w:tcPr>
          <w:p>
            <w:pPr>
              <w:ind w:left="40"/>
              <w:spacing w:after="0" w:line="243" w:lineRule="exact"/>
              <w:rPr>
                <w:sz w:val="20"/>
                <w:szCs w:val="20"/>
                <w:color w:val="auto"/>
              </w:rPr>
            </w:pPr>
            <w:r>
              <w:rPr>
                <w:rFonts w:ascii="Arial" w:cs="Arial" w:eastAsia="Arial" w:hAnsi="Arial"/>
                <w:sz w:val="22"/>
                <w:szCs w:val="22"/>
                <w:color w:val="auto"/>
              </w:rPr>
              <w:t>2005</w:t>
            </w:r>
          </w:p>
        </w:tc>
        <w:tc>
          <w:tcPr>
            <w:tcW w:w="11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173</w:t>
            </w:r>
          </w:p>
        </w:tc>
        <w:tc>
          <w:tcPr>
            <w:tcW w:w="13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152</w:t>
            </w:r>
          </w:p>
        </w:tc>
        <w:tc>
          <w:tcPr>
            <w:tcW w:w="13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325</w:t>
            </w:r>
          </w:p>
        </w:tc>
      </w:tr>
      <w:tr>
        <w:trPr>
          <w:trHeight w:val="243"/>
        </w:trPr>
        <w:tc>
          <w:tcPr>
            <w:tcW w:w="5800" w:type="dxa"/>
            <w:vAlign w:val="bottom"/>
          </w:tcPr>
          <w:p>
            <w:pPr>
              <w:ind w:left="40"/>
              <w:spacing w:after="0" w:line="243" w:lineRule="exact"/>
              <w:rPr>
                <w:sz w:val="20"/>
                <w:szCs w:val="20"/>
                <w:color w:val="auto"/>
              </w:rPr>
            </w:pPr>
            <w:r>
              <w:rPr>
                <w:rFonts w:ascii="Arial" w:cs="Arial" w:eastAsia="Arial" w:hAnsi="Arial"/>
                <w:sz w:val="22"/>
                <w:szCs w:val="22"/>
                <w:color w:val="auto"/>
              </w:rPr>
              <w:t>2006</w:t>
            </w:r>
          </w:p>
        </w:tc>
        <w:tc>
          <w:tcPr>
            <w:tcW w:w="11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181</w:t>
            </w:r>
          </w:p>
        </w:tc>
        <w:tc>
          <w:tcPr>
            <w:tcW w:w="13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129</w:t>
            </w:r>
          </w:p>
        </w:tc>
        <w:tc>
          <w:tcPr>
            <w:tcW w:w="13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310</w:t>
            </w:r>
          </w:p>
        </w:tc>
      </w:tr>
      <w:tr>
        <w:trPr>
          <w:trHeight w:val="243"/>
        </w:trPr>
        <w:tc>
          <w:tcPr>
            <w:tcW w:w="5800" w:type="dxa"/>
            <w:vAlign w:val="bottom"/>
          </w:tcPr>
          <w:p>
            <w:pPr>
              <w:ind w:left="40"/>
              <w:spacing w:after="0" w:line="243" w:lineRule="exact"/>
              <w:rPr>
                <w:sz w:val="20"/>
                <w:szCs w:val="20"/>
                <w:color w:val="auto"/>
              </w:rPr>
            </w:pPr>
            <w:r>
              <w:rPr>
                <w:rFonts w:ascii="Arial" w:cs="Arial" w:eastAsia="Arial" w:hAnsi="Arial"/>
                <w:sz w:val="22"/>
                <w:szCs w:val="22"/>
                <w:color w:val="auto"/>
              </w:rPr>
              <w:t>2007</w:t>
            </w:r>
          </w:p>
        </w:tc>
        <w:tc>
          <w:tcPr>
            <w:tcW w:w="11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180</w:t>
            </w:r>
          </w:p>
        </w:tc>
        <w:tc>
          <w:tcPr>
            <w:tcW w:w="13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109</w:t>
            </w:r>
          </w:p>
        </w:tc>
        <w:tc>
          <w:tcPr>
            <w:tcW w:w="13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289</w:t>
            </w:r>
          </w:p>
        </w:tc>
      </w:tr>
      <w:tr>
        <w:trPr>
          <w:trHeight w:val="243"/>
        </w:trPr>
        <w:tc>
          <w:tcPr>
            <w:tcW w:w="5800" w:type="dxa"/>
            <w:vAlign w:val="bottom"/>
          </w:tcPr>
          <w:p>
            <w:pPr>
              <w:ind w:left="40"/>
              <w:spacing w:after="0" w:line="243" w:lineRule="exact"/>
              <w:rPr>
                <w:sz w:val="20"/>
                <w:szCs w:val="20"/>
                <w:color w:val="auto"/>
              </w:rPr>
            </w:pPr>
            <w:r>
              <w:rPr>
                <w:rFonts w:ascii="Arial" w:cs="Arial" w:eastAsia="Arial" w:hAnsi="Arial"/>
                <w:sz w:val="22"/>
                <w:szCs w:val="22"/>
                <w:color w:val="auto"/>
              </w:rPr>
              <w:t>2008</w:t>
            </w:r>
          </w:p>
        </w:tc>
        <w:tc>
          <w:tcPr>
            <w:tcW w:w="11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180</w:t>
            </w:r>
          </w:p>
        </w:tc>
        <w:tc>
          <w:tcPr>
            <w:tcW w:w="132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91</w:t>
            </w:r>
          </w:p>
        </w:tc>
        <w:tc>
          <w:tcPr>
            <w:tcW w:w="13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271</w:t>
            </w:r>
          </w:p>
        </w:tc>
      </w:tr>
      <w:tr>
        <w:trPr>
          <w:trHeight w:val="275"/>
        </w:trPr>
        <w:tc>
          <w:tcPr>
            <w:tcW w:w="5800" w:type="dxa"/>
            <w:vAlign w:val="bottom"/>
          </w:tcPr>
          <w:p>
            <w:pPr>
              <w:ind w:left="40"/>
              <w:spacing w:after="0"/>
              <w:rPr>
                <w:sz w:val="20"/>
                <w:szCs w:val="20"/>
                <w:color w:val="auto"/>
              </w:rPr>
            </w:pPr>
            <w:r>
              <w:rPr>
                <w:rFonts w:ascii="Arial" w:cs="Arial" w:eastAsia="Arial" w:hAnsi="Arial"/>
                <w:sz w:val="22"/>
                <w:szCs w:val="22"/>
                <w:color w:val="auto"/>
              </w:rPr>
              <w:t>Thereafter</w:t>
            </w:r>
          </w:p>
        </w:tc>
        <w:tc>
          <w:tcPr>
            <w:tcW w:w="1180" w:type="dxa"/>
            <w:vAlign w:val="bottom"/>
            <w:gridSpan w:val="3"/>
          </w:tcPr>
          <w:p>
            <w:pPr>
              <w:jc w:val="right"/>
              <w:spacing w:after="0"/>
              <w:rPr>
                <w:sz w:val="20"/>
                <w:szCs w:val="20"/>
                <w:color w:val="auto"/>
              </w:rPr>
            </w:pPr>
            <w:r>
              <w:rPr>
                <w:rFonts w:ascii="Arial" w:cs="Arial" w:eastAsia="Arial" w:hAnsi="Arial"/>
                <w:sz w:val="22"/>
                <w:szCs w:val="22"/>
                <w:color w:val="auto"/>
              </w:rPr>
              <w:t>1,758</w:t>
            </w:r>
          </w:p>
        </w:tc>
        <w:tc>
          <w:tcPr>
            <w:tcW w:w="1320" w:type="dxa"/>
            <w:vAlign w:val="bottom"/>
            <w:gridSpan w:val="4"/>
          </w:tcPr>
          <w:p>
            <w:pPr>
              <w:jc w:val="right"/>
              <w:spacing w:after="0"/>
              <w:rPr>
                <w:sz w:val="20"/>
                <w:szCs w:val="20"/>
                <w:color w:val="auto"/>
              </w:rPr>
            </w:pPr>
            <w:r>
              <w:rPr>
                <w:rFonts w:ascii="Arial" w:cs="Arial" w:eastAsia="Arial" w:hAnsi="Arial"/>
                <w:sz w:val="22"/>
                <w:szCs w:val="22"/>
                <w:color w:val="auto"/>
              </w:rPr>
              <w:t>298</w:t>
            </w: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2,056</w:t>
            </w:r>
          </w:p>
        </w:tc>
      </w:tr>
      <w:tr>
        <w:trPr>
          <w:trHeight w:val="486"/>
        </w:trPr>
        <w:tc>
          <w:tcPr>
            <w:tcW w:w="8300" w:type="dxa"/>
            <w:vAlign w:val="bottom"/>
            <w:gridSpan w:val="8"/>
          </w:tcPr>
          <w:p>
            <w:pPr>
              <w:spacing w:after="0"/>
              <w:rPr>
                <w:sz w:val="20"/>
                <w:szCs w:val="20"/>
                <w:color w:val="auto"/>
              </w:rPr>
            </w:pPr>
            <w:r>
              <w:rPr>
                <w:rFonts w:ascii="Arial" w:cs="Arial" w:eastAsia="Arial" w:hAnsi="Arial"/>
                <w:sz w:val="22"/>
                <w:szCs w:val="22"/>
                <w:color w:val="auto"/>
                <w:w w:val="98"/>
              </w:rPr>
              <w:t>The following table summarizes our rental expense charged to operations (in millions):</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5"/>
        </w:trPr>
        <w:tc>
          <w:tcPr>
            <w:tcW w:w="5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60" w:type="dxa"/>
            <w:vAlign w:val="bottom"/>
            <w:gridSpan w:val="8"/>
          </w:tcPr>
          <w:p>
            <w:pPr>
              <w:jc w:val="center"/>
              <w:spacing w:after="0"/>
              <w:rPr>
                <w:sz w:val="20"/>
                <w:szCs w:val="20"/>
                <w:color w:val="auto"/>
              </w:rPr>
            </w:pPr>
            <w:r>
              <w:rPr>
                <w:rFonts w:ascii="Arial" w:cs="Arial" w:eastAsia="Arial" w:hAnsi="Arial"/>
                <w:sz w:val="22"/>
                <w:szCs w:val="22"/>
                <w:color w:val="auto"/>
                <w:w w:val="87"/>
              </w:rPr>
              <w:t>Year Ended December 31,</w:t>
            </w:r>
          </w:p>
        </w:tc>
      </w:tr>
      <w:tr>
        <w:trPr>
          <w:trHeight w:val="275"/>
        </w:trPr>
        <w:tc>
          <w:tcPr>
            <w:tcW w:w="5800" w:type="dxa"/>
            <w:vAlign w:val="bottom"/>
          </w:tcPr>
          <w:p>
            <w:pPr>
              <w:spacing w:after="0"/>
              <w:rPr>
                <w:sz w:val="23"/>
                <w:szCs w:val="23"/>
                <w:color w:val="auto"/>
              </w:rPr>
            </w:pPr>
          </w:p>
        </w:tc>
        <w:tc>
          <w:tcPr>
            <w:tcW w:w="1160" w:type="dxa"/>
            <w:vAlign w:val="bottom"/>
            <w:gridSpan w:val="2"/>
          </w:tcPr>
          <w:p>
            <w:pPr>
              <w:jc w:val="right"/>
              <w:ind w:right="132"/>
              <w:spacing w:after="0"/>
              <w:rPr>
                <w:sz w:val="20"/>
                <w:szCs w:val="20"/>
                <w:color w:val="auto"/>
              </w:rPr>
            </w:pPr>
            <w:r>
              <w:rPr>
                <w:rFonts w:ascii="Arial" w:cs="Arial" w:eastAsia="Arial" w:hAnsi="Arial"/>
                <w:sz w:val="22"/>
                <w:szCs w:val="22"/>
                <w:color w:val="auto"/>
              </w:rPr>
              <w:t>2003</w:t>
            </w:r>
          </w:p>
        </w:tc>
        <w:tc>
          <w:tcPr>
            <w:tcW w:w="20" w:type="dxa"/>
            <w:vAlign w:val="bottom"/>
          </w:tcPr>
          <w:p>
            <w:pPr>
              <w:spacing w:after="0"/>
              <w:rPr>
                <w:sz w:val="23"/>
                <w:szCs w:val="23"/>
                <w:color w:val="auto"/>
              </w:rPr>
            </w:pPr>
          </w:p>
        </w:tc>
        <w:tc>
          <w:tcPr>
            <w:tcW w:w="1300" w:type="dxa"/>
            <w:vAlign w:val="bottom"/>
            <w:gridSpan w:val="3"/>
          </w:tcPr>
          <w:p>
            <w:pPr>
              <w:jc w:val="center"/>
              <w:ind w:left="292"/>
              <w:spacing w:after="0"/>
              <w:rPr>
                <w:sz w:val="20"/>
                <w:szCs w:val="20"/>
                <w:color w:val="auto"/>
              </w:rPr>
            </w:pPr>
            <w:r>
              <w:rPr>
                <w:rFonts w:ascii="Arial" w:cs="Arial" w:eastAsia="Arial" w:hAnsi="Arial"/>
                <w:sz w:val="22"/>
                <w:szCs w:val="22"/>
                <w:color w:val="auto"/>
                <w:w w:val="85"/>
              </w:rPr>
              <w:t>2002</w:t>
            </w:r>
          </w:p>
        </w:tc>
        <w:tc>
          <w:tcPr>
            <w:tcW w:w="20" w:type="dxa"/>
            <w:vAlign w:val="bottom"/>
          </w:tcPr>
          <w:p>
            <w:pPr>
              <w:spacing w:after="0"/>
              <w:rPr>
                <w:sz w:val="23"/>
                <w:szCs w:val="23"/>
                <w:color w:val="auto"/>
              </w:rPr>
            </w:pPr>
          </w:p>
        </w:tc>
        <w:tc>
          <w:tcPr>
            <w:tcW w:w="1300" w:type="dxa"/>
            <w:vAlign w:val="bottom"/>
            <w:gridSpan w:val="2"/>
          </w:tcPr>
          <w:p>
            <w:pPr>
              <w:ind w:left="640"/>
              <w:spacing w:after="0"/>
              <w:rPr>
                <w:sz w:val="20"/>
                <w:szCs w:val="20"/>
                <w:color w:val="auto"/>
              </w:rPr>
            </w:pPr>
            <w:r>
              <w:rPr>
                <w:rFonts w:ascii="Arial" w:cs="Arial" w:eastAsia="Arial" w:hAnsi="Arial"/>
                <w:sz w:val="22"/>
                <w:szCs w:val="22"/>
                <w:color w:val="auto"/>
              </w:rPr>
              <w:t>2001</w:t>
            </w:r>
          </w:p>
        </w:tc>
      </w:tr>
      <w:tr>
        <w:trPr>
          <w:trHeight w:val="98"/>
        </w:trPr>
        <w:tc>
          <w:tcPr>
            <w:tcW w:w="5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r>
      <w:tr>
        <w:trPr>
          <w:trHeight w:val="355"/>
        </w:trPr>
        <w:tc>
          <w:tcPr>
            <w:tcW w:w="5800" w:type="dxa"/>
            <w:vAlign w:val="bottom"/>
          </w:tcPr>
          <w:p>
            <w:pPr>
              <w:ind w:left="40"/>
              <w:spacing w:after="0"/>
              <w:rPr>
                <w:sz w:val="20"/>
                <w:szCs w:val="20"/>
                <w:color w:val="auto"/>
              </w:rPr>
            </w:pPr>
            <w:r>
              <w:rPr>
                <w:rFonts w:ascii="Arial" w:cs="Arial" w:eastAsia="Arial" w:hAnsi="Arial"/>
                <w:sz w:val="22"/>
                <w:szCs w:val="22"/>
                <w:color w:val="auto"/>
              </w:rPr>
              <w:t>Rental expense</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$157</w:t>
            </w:r>
          </w:p>
        </w:tc>
        <w:tc>
          <w:tcPr>
            <w:tcW w:w="20" w:type="dxa"/>
            <w:vAlign w:val="bottom"/>
          </w:tcPr>
          <w:p>
            <w:pPr>
              <w:spacing w:after="0"/>
              <w:rPr>
                <w:sz w:val="24"/>
                <w:szCs w:val="24"/>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22"/>
                <w:szCs w:val="22"/>
                <w:color w:val="auto"/>
              </w:rPr>
              <w:t>$140</w:t>
            </w: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rPr>
              <w:t>$94</w:t>
            </w:r>
          </w:p>
        </w:tc>
      </w:tr>
    </w:tbl>
    <w:p>
      <w:pPr>
        <w:spacing w:after="0" w:line="212"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Contingencies</w:t>
      </w:r>
    </w:p>
    <w:p>
      <w:pPr>
        <w:spacing w:after="0" w:line="8" w:lineRule="exact"/>
        <w:rPr>
          <w:sz w:val="20"/>
          <w:szCs w:val="20"/>
          <w:color w:val="auto"/>
        </w:rPr>
      </w:pPr>
    </w:p>
    <w:p>
      <w:pPr>
        <w:ind w:left="460" w:right="120"/>
        <w:spacing w:after="0" w:line="277" w:lineRule="auto"/>
        <w:rPr>
          <w:sz w:val="20"/>
          <w:szCs w:val="20"/>
          <w:color w:val="auto"/>
        </w:rPr>
      </w:pPr>
      <w:r>
        <w:rPr>
          <w:rFonts w:ascii="Arial" w:cs="Arial" w:eastAsia="Arial" w:hAnsi="Arial"/>
          <w:sz w:val="19"/>
          <w:szCs w:val="19"/>
          <w:color w:val="auto"/>
        </w:rPr>
        <w:t>We and the minority owner group in Comcast Spectacor each have the right to initiate an “exit” process under which the fair market value of Comcast Spectacor would be determined by appraisal. Following such determination, we would have the option to acquire the interests in Comcast Spectacor owned by the minority owner group based on the appraised fair market value. In the event we do not exercise this option, we and the minority owner group would then be required to use our best efforts to sell Comcast Spectacor. This exit process includes the minority owner group’s interest in CSN.</w:t>
      </w:r>
    </w:p>
    <w:p>
      <w:pPr>
        <w:spacing w:after="0" w:line="180" w:lineRule="exact"/>
        <w:rPr>
          <w:sz w:val="20"/>
          <w:szCs w:val="20"/>
          <w:color w:val="auto"/>
        </w:rPr>
      </w:pPr>
    </w:p>
    <w:p>
      <w:pPr>
        <w:ind w:left="460" w:right="60"/>
        <w:spacing w:after="0" w:line="273" w:lineRule="auto"/>
        <w:rPr>
          <w:sz w:val="20"/>
          <w:szCs w:val="20"/>
          <w:color w:val="auto"/>
        </w:rPr>
      </w:pPr>
      <w:r>
        <w:rPr>
          <w:rFonts w:ascii="Arial" w:cs="Arial" w:eastAsia="Arial" w:hAnsi="Arial"/>
          <w:sz w:val="19"/>
          <w:szCs w:val="19"/>
          <w:color w:val="auto"/>
        </w:rPr>
        <w:t>We hold the majority of our interest in E! Entertainment through Comcast Entertainment Holdings, LLC (“Entertainment Holdings”), which is owned 50.1% by us and 49.9% by The Walt Disney Company (“Disney”). Under a limited liability company agreement between us and Disney, we control E! Entertainment’s operations. As a result of the Broadband acquisition and in certain other circumstances, under the agreement Disney is entitled to trigger a potential exit process in which Entertainment Holdings would have the right to purchase Disney’s entire interest in Entertainment Holdings at its then fair market value (as determined by an appraisal process). If Disney exercises this right within a specified time period, and Entertainment Holdings elects not to purchase Disney’s interest, Disney then has the right to purchase, at appraised fair market value, either our entire interest in Entertainment Holdings or all of the shares of stock of E! Entertainment held by Entertainment Holdings. In the event that Disney exercises its right and neither Disney’s nor our interest is purchased, Entertainment Holdings will continue to be owned as it is today, as if the exit process had not been triggered.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22"/>
          <w:szCs w:val="22"/>
          <w:u w:val="single" w:color="auto"/>
          <w:color w:val="auto"/>
        </w:rPr>
        <w:t>At Home.</w:t>
      </w:r>
    </w:p>
    <w:p>
      <w:pPr>
        <w:spacing w:after="0" w:line="233" w:lineRule="exact"/>
        <w:rPr>
          <w:sz w:val="20"/>
          <w:szCs w:val="20"/>
          <w:color w:val="auto"/>
        </w:rPr>
      </w:pPr>
    </w:p>
    <w:p>
      <w:pPr>
        <w:ind w:left="460"/>
        <w:spacing w:after="0" w:line="245" w:lineRule="auto"/>
        <w:rPr>
          <w:sz w:val="20"/>
          <w:szCs w:val="20"/>
          <w:color w:val="auto"/>
        </w:rPr>
      </w:pPr>
      <w:r>
        <w:rPr>
          <w:rFonts w:ascii="Arial" w:cs="Arial" w:eastAsia="Arial" w:hAnsi="Arial"/>
          <w:sz w:val="21"/>
          <w:szCs w:val="21"/>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Brian L. Roberts (our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in connection with transactions agreed to in March 2000 among At Home, AT&amp;T, Cox Communications, Inc. (Cox is also an investor in At Home and a former distributor of the At Home service) and us; (ii) class action lawsuits against Comcast Cable Communications, LLC, AT&amp;T and others in the United States District Court for the Southern District of New York, alleging securities law violations and common law fraud in connection with disclosures made by At Home in 2001;</w:t>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firstLine="7"/>
        <w:spacing w:after="0" w:line="277" w:lineRule="auto"/>
        <w:tabs>
          <w:tab w:leader="none" w:pos="838"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 at least $600 million pursuant to Section 16(b) of the Securities Exchange Act of 1934 purported to have arisen in connection with certain transactions relating to At Home stock effected pursuant to the March 2000 agreements; and (iv) a lawsuit brought in the United States Bankruptcy Court for the Northern District of California by certain At Home bondholders against Comcast Cable Holdings, LLC and Comcast Cable Communications Holdings, Inc., as well as AT&amp;T, AT&amp;T Credit Holdings, Inc. and AT&amp;T Wireless Services, Inc., seeking to</w:t>
      </w:r>
    </w:p>
    <w:p>
      <w:pPr>
        <w:sectPr>
          <w:pgSz w:w="11900" w:h="16838" w:orient="portrait"/>
          <w:cols w:equalWidth="0" w:num="1">
            <w:col w:w="11340"/>
          </w:cols>
          <w:pgMar w:left="240" w:top="118" w:right="319" w:bottom="0" w:gutter="0" w:footer="0" w:header="0"/>
        </w:sectPr>
      </w:pPr>
    </w:p>
    <w:bookmarkStart w:id="93" w:name="page94"/>
    <w:bookmarkEnd w:id="93"/>
    <w:p>
      <w:pPr>
        <w:ind w:left="460"/>
        <w:spacing w:after="0" w:line="274" w:lineRule="auto"/>
        <w:rPr>
          <w:sz w:val="20"/>
          <w:szCs w:val="20"/>
          <w:color w:val="auto"/>
        </w:rPr>
      </w:pPr>
      <w:r>
        <w:rPr>
          <w:rFonts w:ascii="Arial" w:cs="Arial" w:eastAsia="Arial" w:hAnsi="Arial"/>
          <w:sz w:val="19"/>
          <w:szCs w:val="19"/>
          <w:color w:val="auto"/>
        </w:rPr>
        <w:t>avoid and recover certain alleged “preference” payments in excess of $89 million allegedly made to the defendants prior to the At Home bankruptcy filing.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ordered the actions consolidated into a single action. All of the defendants served motions to dismiss on February 11, 2003. The court dismissed the common law claims against us and Mr. Roberts, leaving only a claim against them for “control person” liability under the Securities Exchange Act of 1934. In a subsequent decision, the court limited the remaining claim against us and Mr. Roberts to disclosures that are alleged to have been made by At Home prior to August 28, 2000. The Delaware case has been transferred to the United States District Court for the Southern District of New York, and we have moved to dismiss the Section 16(b) claims.</w:t>
      </w:r>
    </w:p>
    <w:p>
      <w:pPr>
        <w:spacing w:after="0" w:line="186" w:lineRule="exact"/>
        <w:rPr>
          <w:sz w:val="20"/>
          <w:szCs w:val="20"/>
          <w:color w:val="auto"/>
        </w:rPr>
      </w:pPr>
    </w:p>
    <w:p>
      <w:pPr>
        <w:ind w:left="460"/>
        <w:spacing w:after="0" w:line="272" w:lineRule="auto"/>
        <w:rPr>
          <w:sz w:val="20"/>
          <w:szCs w:val="20"/>
          <w:color w:val="auto"/>
        </w:rPr>
      </w:pPr>
      <w:r>
        <w:rPr>
          <w:rFonts w:ascii="Arial" w:cs="Arial" w:eastAsia="Arial" w:hAnsi="Arial"/>
          <w:sz w:val="19"/>
          <w:szCs w:val="19"/>
          <w:color w:val="auto"/>
        </w:rPr>
        <w:t>Under the terms of the Broadband acquisition, we are generally contractually liable for 50% of any liabilities of AT&amp;T relating to At Home, including most liabilities resulting from any pending or threatened litigation, with the exception, among other things, of liabilities arising out of contracts between At Home and AT&amp;T (or its affiliates) for the benefit of the businesses retained by AT&amp;T following the divestiture of Broadband. In those situations where we are contractually liable for 50% of any liabilities, AT&amp;T will be liable for the other 50% of these liabilities. In addition to the actions against AT&amp;T described above, where we are also a defendant, there are two additional actions brought by At Home’s bondholders’ liquidating trust against AT&amp;T, not naming us: (i) a lawsuit filed against AT&amp;T and certain of its senior officers in Santa Clara, California state court alleging various breaches of fiduciary duties, misappropriation of trade secrets and other causes of action in connection with the transactions in March 2000 described above, and prior and subsequent alleged conduct on the part of the defendants, and (ii) an action filed against AT&amp;T in the District Court for the Northern District of California, alleging that AT&amp;T infringes an At Home patent by using its broadband distribution and high-speed Internet backbone networks and equipment. Both of these actions are in the discovery stage.</w:t>
      </w:r>
    </w:p>
    <w:p>
      <w:pPr>
        <w:spacing w:after="0" w:line="200" w:lineRule="exact"/>
        <w:rPr>
          <w:sz w:val="20"/>
          <w:szCs w:val="20"/>
          <w:color w:val="auto"/>
        </w:rPr>
      </w:pPr>
    </w:p>
    <w:p>
      <w:pPr>
        <w:spacing w:after="0" w:line="236" w:lineRule="exact"/>
        <w:rPr>
          <w:sz w:val="20"/>
          <w:szCs w:val="20"/>
          <w:color w:val="auto"/>
        </w:rPr>
      </w:pPr>
    </w:p>
    <w:p>
      <w:pPr>
        <w:ind w:left="460" w:right="80"/>
        <w:spacing w:after="0" w:line="236" w:lineRule="auto"/>
        <w:rPr>
          <w:sz w:val="20"/>
          <w:szCs w:val="20"/>
          <w:color w:val="auto"/>
        </w:rPr>
      </w:pPr>
      <w:r>
        <w:rPr>
          <w:rFonts w:ascii="Arial" w:cs="Arial" w:eastAsia="Arial" w:hAnsi="Arial"/>
          <w:sz w:val="22"/>
          <w:szCs w:val="22"/>
          <w:color w:val="auto"/>
        </w:rPr>
        <w:t>We deny any wrongdoing in connection with the claims that have been made directly against us, our subsidiaries and Brian L. Roberts, and intend to defend all of these claims vigorously. In our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215" w:lineRule="exact"/>
        <w:rPr>
          <w:sz w:val="20"/>
          <w:szCs w:val="20"/>
          <w:color w:val="auto"/>
        </w:rPr>
      </w:pPr>
    </w:p>
    <w:p>
      <w:pPr>
        <w:ind w:left="460" w:right="100"/>
        <w:spacing w:after="0"/>
        <w:rPr>
          <w:sz w:val="20"/>
          <w:szCs w:val="20"/>
          <w:color w:val="auto"/>
        </w:rPr>
      </w:pPr>
      <w:r>
        <w:rPr>
          <w:rFonts w:ascii="Arial" w:cs="Arial" w:eastAsia="Arial" w:hAnsi="Arial"/>
          <w:sz w:val="22"/>
          <w:szCs w:val="22"/>
          <w:color w:val="auto"/>
        </w:rPr>
        <w:t>We are currently waiting to obtain additional information and are unable to determine what impact, if any, the final resolution of our share of these AT&amp;T At Home potential liabilities would have on our consolidated financial position or results of operations. No assurance can be given that any adverse outcome would not be material.</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22"/>
          <w:szCs w:val="22"/>
          <w:u w:val="single" w:color="auto"/>
          <w:color w:val="auto"/>
        </w:rPr>
        <w:t>AT&amp;T.</w:t>
      </w:r>
    </w:p>
    <w:p>
      <w:pPr>
        <w:spacing w:after="0" w:line="233" w:lineRule="exact"/>
        <w:rPr>
          <w:sz w:val="20"/>
          <w:szCs w:val="20"/>
          <w:color w:val="auto"/>
        </w:rPr>
      </w:pPr>
    </w:p>
    <w:p>
      <w:pPr>
        <w:ind w:left="460" w:right="40"/>
        <w:spacing w:after="0" w:line="249" w:lineRule="auto"/>
        <w:rPr>
          <w:sz w:val="20"/>
          <w:szCs w:val="20"/>
          <w:color w:val="auto"/>
        </w:rPr>
      </w:pPr>
      <w:r>
        <w:rPr>
          <w:rFonts w:ascii="Arial" w:cs="Arial" w:eastAsia="Arial" w:hAnsi="Arial"/>
          <w:sz w:val="21"/>
          <w:szCs w:val="21"/>
          <w:color w:val="auto"/>
        </w:rPr>
        <w:t>We, in connection with our acquisition of Broadband, are potentially responsible for a portion of the liabilities arising from two purported securities class action lawsuits brought against AT&amp;T and others and consolidated for pre-trial purposes in the United States District Court for the District of New Jersey. These lawsuits assert claims under Section 11, Section 12(a)(2) and Section 15 of the Securities Act of 1933, as amended, and Section 10(b) and Section 20(a) of the Securities Exchange Act of 1934, as amended. The first lawsuit, for which our portion of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spacing w:after="0" w:line="247" w:lineRule="auto"/>
        <w:rPr>
          <w:sz w:val="20"/>
          <w:szCs w:val="20"/>
          <w:color w:val="auto"/>
        </w:rPr>
      </w:pPr>
      <w:r>
        <w:rPr>
          <w:rFonts w:ascii="Arial" w:cs="Arial" w:eastAsia="Arial" w:hAnsi="Arial"/>
          <w:sz w:val="21"/>
          <w:szCs w:val="21"/>
          <w:color w:val="auto"/>
        </w:rPr>
        <w:t>exposure is up to 15%, alleges, among other things, that AT&amp;T made material misstatements and omissions in the Registration Statement and Prospectus for the AT&amp;T Wireless initial public offering. The second lawsuit, for which our portion of the exposure is up to 50%, alleges, among other things, that AT&amp;T knowingly provided false projections relating to AT&amp;T common stock. The complaints seek damages in an unspecified amount, but because the trading activity during the purported class periods was extensive the amounts ultimately demanded may be significant. We and AT&amp;T believe that AT&amp;T has meritorious defenses and these actions are being vigorously defended. The parties are currently engaged in discovery and motions for summary judgment were filed in March 2004.</w:t>
      </w:r>
    </w:p>
    <w:p>
      <w:pPr>
        <w:spacing w:after="0" w:line="205" w:lineRule="exact"/>
        <w:rPr>
          <w:sz w:val="20"/>
          <w:szCs w:val="20"/>
          <w:color w:val="auto"/>
        </w:rPr>
      </w:pPr>
    </w:p>
    <w:p>
      <w:pPr>
        <w:ind w:left="460" w:right="160"/>
        <w:spacing w:after="0" w:line="234" w:lineRule="auto"/>
        <w:rPr>
          <w:sz w:val="20"/>
          <w:szCs w:val="20"/>
          <w:color w:val="auto"/>
        </w:rPr>
      </w:pPr>
      <w:r>
        <w:rPr>
          <w:rFonts w:ascii="Arial" w:cs="Arial" w:eastAsia="Arial" w:hAnsi="Arial"/>
          <w:sz w:val="22"/>
          <w:szCs w:val="22"/>
          <w:color w:val="auto"/>
        </w:rPr>
        <w:t>On June 24, 1998, the first of a number of purported class action lawsuits was filed by then-shareholders of Tele-Communications, Inc. (“TCI”) Series A TCI Group Common Stock (“Common A”) against AT&amp;T and the directors of TCI relating to the acquisition of TCI by AT&amp;T. A consolidated amended complaint combining the various different actions was filed on February 10, 1999 in the Delaware Court of Chancery. The consolidated amended complaint alleges that former members of the TCI board of directors breached their fiduciary duties to Common A shareholders by agreeing to transaction terms whereby holders of the Series B TCI Group Common Stock received a 10% premium over what Common A shareholders received in connection with the transaction. The complaint further alleges that AT&amp;T aided and abetted the TCI directors’ breach.</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In connection with the TCI acquisition, which was completed in early 1999, AT&amp;T agreed under certain circumstances to</w:t>
      </w:r>
    </w:p>
    <w:p>
      <w:pPr>
        <w:sectPr>
          <w:pgSz w:w="11900" w:h="16838" w:orient="portrait"/>
          <w:cols w:equalWidth="0" w:num="1">
            <w:col w:w="11420"/>
          </w:cols>
          <w:pgMar w:left="240" w:top="118" w:right="239" w:bottom="0" w:gutter="0" w:footer="0" w:header="0"/>
        </w:sectPr>
      </w:pPr>
    </w:p>
    <w:bookmarkStart w:id="94" w:name="page95"/>
    <w:bookmarkEnd w:id="94"/>
    <w:p>
      <w:pPr>
        <w:ind w:left="460" w:right="20"/>
        <w:spacing w:after="0" w:line="249" w:lineRule="auto"/>
        <w:rPr>
          <w:sz w:val="20"/>
          <w:szCs w:val="20"/>
          <w:color w:val="auto"/>
        </w:rPr>
      </w:pPr>
      <w:r>
        <w:rPr>
          <w:rFonts w:ascii="Arial" w:cs="Arial" w:eastAsia="Arial" w:hAnsi="Arial"/>
          <w:sz w:val="21"/>
          <w:szCs w:val="21"/>
          <w:color w:val="auto"/>
        </w:rPr>
        <w:t>indemnify TCI’s former directors for certain losses, expenses, claims or liabilities, potentially including those incurred in connection with this action. In connection with the Broadband acquisition, Broadband agreed to indemnify AT&amp;T for certain losses, expenses, claims or liabilities. Those losses and expenses potentially include those incurred by AT&amp;T in connection with this action, both as a defendant and in connection with any obligation that AT&amp;T may have to indemnify the former TCI directors for liabilities incurred as a result of the claims against them in this action.</w:t>
      </w:r>
    </w:p>
    <w:p>
      <w:pPr>
        <w:spacing w:after="0" w:line="206" w:lineRule="exact"/>
        <w:rPr>
          <w:sz w:val="20"/>
          <w:szCs w:val="20"/>
          <w:color w:val="auto"/>
        </w:rPr>
      </w:pPr>
    </w:p>
    <w:p>
      <w:pPr>
        <w:ind w:left="460"/>
        <w:spacing w:after="0" w:line="287" w:lineRule="auto"/>
        <w:rPr>
          <w:sz w:val="20"/>
          <w:szCs w:val="20"/>
          <w:color w:val="auto"/>
        </w:rPr>
      </w:pPr>
      <w:r>
        <w:rPr>
          <w:rFonts w:ascii="Arial" w:cs="Arial" w:eastAsia="Arial" w:hAnsi="Arial"/>
          <w:sz w:val="19"/>
          <w:szCs w:val="19"/>
          <w:color w:val="auto"/>
        </w:rPr>
        <w:t>On September 8, 1999, AT&amp;T moved to dismiss the amended complaint for failure to state a cause of action against AT&amp;T. On July 7, 2003, the Delaware Court of Chancery granted AT&amp;T’s motion to dismiss on the ground that the complaint failed to adequately plead AT&amp;T’s “knowing participation,” as required to state a claim for aiding and abetting a breach of fiduciary duty. The other claims made in the complaint remain outstanding. Discovery in this matter is now closed.</w:t>
      </w:r>
    </w:p>
    <w:p>
      <w:pPr>
        <w:spacing w:after="0" w:line="170" w:lineRule="exact"/>
        <w:rPr>
          <w:sz w:val="20"/>
          <w:szCs w:val="20"/>
          <w:color w:val="auto"/>
        </w:rPr>
      </w:pPr>
    </w:p>
    <w:p>
      <w:pPr>
        <w:jc w:val="both"/>
        <w:ind w:left="460" w:right="500"/>
        <w:spacing w:after="0" w:line="297" w:lineRule="auto"/>
        <w:rPr>
          <w:sz w:val="20"/>
          <w:szCs w:val="20"/>
          <w:color w:val="auto"/>
        </w:rPr>
      </w:pPr>
      <w:r>
        <w:rPr>
          <w:rFonts w:ascii="Arial" w:cs="Arial" w:eastAsia="Arial" w:hAnsi="Arial"/>
          <w:sz w:val="19"/>
          <w:szCs w:val="19"/>
          <w:color w:val="auto"/>
        </w:rPr>
        <w:t>In our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22"/>
          <w:szCs w:val="22"/>
          <w:u w:val="single" w:color="auto"/>
          <w:color w:val="auto"/>
        </w:rPr>
        <w:t>Liberty Digital.</w:t>
      </w:r>
    </w:p>
    <w:p>
      <w:pPr>
        <w:spacing w:after="0" w:line="233" w:lineRule="exact"/>
        <w:rPr>
          <w:sz w:val="20"/>
          <w:szCs w:val="20"/>
          <w:color w:val="auto"/>
        </w:rPr>
      </w:pPr>
    </w:p>
    <w:p>
      <w:pPr>
        <w:ind w:left="460" w:right="20"/>
        <w:spacing w:after="0" w:line="245" w:lineRule="auto"/>
        <w:rPr>
          <w:sz w:val="20"/>
          <w:szCs w:val="20"/>
          <w:color w:val="auto"/>
        </w:rPr>
      </w:pPr>
      <w:r>
        <w:rPr>
          <w:rFonts w:ascii="Arial" w:cs="Arial" w:eastAsia="Arial" w:hAnsi="Arial"/>
          <w:sz w:val="21"/>
          <w:szCs w:val="21"/>
          <w:color w:val="auto"/>
        </w:rPr>
        <w:t>On January 8, 2003, Liberty Digital, Inc. filed a complaint in Colorado state court against us and Comcast Cable Holdings, LLC. The complaint alleges that Comcast Cable Holdings breached a 1997 “contribution agreement” between Liberty Digital and Comcast Cable Holdings and that we tortiously interfered with that agreement. The complaint alleges that this purported agreement obligates Comcast Cable Holdings to pay fees to Liberty Digital totaling $18 million (increasing at CPI) per year through 2017. Liberty Digital seeks, among other things, compensatory damages, specific performance of the purported agreement, a declaration that the agreement is valid and enforceable going forward, and an unspecified amount of exemplary damages from us based on the alleged intentional interference claim. We and Comcast Cable Holdings filed our answer to the complaint on March 5, 2003, in which we denied the essential allegations of the complaint and asserted various affirmative defenses.</w:t>
      </w:r>
    </w:p>
    <w:p>
      <w:pPr>
        <w:spacing w:after="0" w:line="212" w:lineRule="exact"/>
        <w:rPr>
          <w:sz w:val="20"/>
          <w:szCs w:val="20"/>
          <w:color w:val="auto"/>
        </w:rPr>
      </w:pPr>
    </w:p>
    <w:p>
      <w:pPr>
        <w:ind w:left="460" w:right="180"/>
        <w:spacing w:after="0" w:line="274" w:lineRule="auto"/>
        <w:rPr>
          <w:sz w:val="20"/>
          <w:szCs w:val="20"/>
          <w:color w:val="auto"/>
        </w:rPr>
      </w:pPr>
      <w:r>
        <w:rPr>
          <w:rFonts w:ascii="Arial" w:cs="Arial" w:eastAsia="Arial" w:hAnsi="Arial"/>
          <w:sz w:val="21"/>
          <w:szCs w:val="21"/>
          <w:color w:val="auto"/>
        </w:rPr>
        <w:t>On November 6, 2003, Liberty Digital was granted leave to file an amended complaint that contained one minor revision to the original complaint. On December 16, 2003, we and Comcast Cable Holdings filed our answer to the</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60" w:right="460"/>
        <w:spacing w:after="0" w:line="328" w:lineRule="auto"/>
        <w:rPr>
          <w:sz w:val="20"/>
          <w:szCs w:val="20"/>
          <w:color w:val="auto"/>
        </w:rPr>
      </w:pPr>
      <w:r>
        <w:rPr>
          <w:rFonts w:ascii="Arial" w:cs="Arial" w:eastAsia="Arial" w:hAnsi="Arial"/>
          <w:sz w:val="19"/>
          <w:szCs w:val="19"/>
          <w:color w:val="auto"/>
        </w:rPr>
        <w:t>amended complaint, in which we again denied the essential allegations of the complaint and asserted various affirmative defenses. Discovery in this matter is currently underway and a trial is scheduled to commence on May 31, 2004.</w:t>
      </w:r>
    </w:p>
    <w:p>
      <w:pPr>
        <w:spacing w:after="0" w:line="132" w:lineRule="exact"/>
        <w:rPr>
          <w:sz w:val="20"/>
          <w:szCs w:val="20"/>
          <w:color w:val="auto"/>
        </w:rPr>
      </w:pPr>
    </w:p>
    <w:p>
      <w:pPr>
        <w:jc w:val="both"/>
        <w:ind w:left="460" w:right="500"/>
        <w:spacing w:after="0" w:line="297" w:lineRule="auto"/>
        <w:rPr>
          <w:sz w:val="20"/>
          <w:szCs w:val="20"/>
          <w:color w:val="auto"/>
        </w:rPr>
      </w:pPr>
      <w:r>
        <w:rPr>
          <w:rFonts w:ascii="Arial" w:cs="Arial" w:eastAsia="Arial" w:hAnsi="Arial"/>
          <w:sz w:val="19"/>
          <w:szCs w:val="19"/>
          <w:color w:val="auto"/>
        </w:rPr>
        <w:t>In our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22"/>
          <w:szCs w:val="22"/>
          <w:u w:val="single" w:color="auto"/>
          <w:color w:val="auto"/>
        </w:rPr>
        <w:t>Other.</w:t>
      </w:r>
    </w:p>
    <w:p>
      <w:pPr>
        <w:spacing w:after="0" w:line="233" w:lineRule="exact"/>
        <w:rPr>
          <w:sz w:val="20"/>
          <w:szCs w:val="20"/>
          <w:color w:val="auto"/>
        </w:rPr>
      </w:pPr>
    </w:p>
    <w:p>
      <w:pPr>
        <w:ind w:left="460" w:right="200"/>
        <w:spacing w:after="0"/>
        <w:rPr>
          <w:sz w:val="20"/>
          <w:szCs w:val="20"/>
          <w:color w:val="auto"/>
        </w:rPr>
      </w:pPr>
      <w:r>
        <w:rPr>
          <w:rFonts w:ascii="Arial" w:cs="Arial" w:eastAsia="Arial" w:hAnsi="Arial"/>
          <w:sz w:val="22"/>
          <w:szCs w:val="22"/>
          <w:color w:val="auto"/>
        </w:rPr>
        <w:t>We are subject to other legal proceedings and claims that arise in the ordinary course of our business. In our opinion, the amount of ultimate liability with respect to such actions is not expected to materially affect our financial position, results of operations or liquidity.</w:t>
      </w:r>
    </w:p>
    <w:p>
      <w:pPr>
        <w:spacing w:after="0" w:line="213"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FINANCIAL DATA BY BUSINESS SEGMENT</w:t>
      </w:r>
    </w:p>
    <w:p>
      <w:pPr>
        <w:spacing w:after="0" w:line="233" w:lineRule="exact"/>
        <w:rPr>
          <w:rFonts w:ascii="Arial" w:cs="Arial" w:eastAsia="Arial" w:hAnsi="Arial"/>
          <w:sz w:val="22"/>
          <w:szCs w:val="22"/>
          <w:color w:val="auto"/>
        </w:rPr>
      </w:pPr>
    </w:p>
    <w:p>
      <w:pPr>
        <w:ind w:left="460" w:right="160"/>
        <w:spacing w:after="0" w:line="274" w:lineRule="auto"/>
        <w:rPr>
          <w:rFonts w:ascii="Arial" w:cs="Arial" w:eastAsia="Arial" w:hAnsi="Arial"/>
          <w:sz w:val="22"/>
          <w:szCs w:val="22"/>
          <w:color w:val="auto"/>
        </w:rPr>
      </w:pPr>
      <w:r>
        <w:rPr>
          <w:rFonts w:ascii="Arial" w:cs="Arial" w:eastAsia="Arial" w:hAnsi="Arial"/>
          <w:sz w:val="19"/>
          <w:szCs w:val="19"/>
          <w:color w:val="auto"/>
        </w:rPr>
        <w:t>Our reportable segments consist of our “Cable” and “Content” businesses. Beginning in the first quarter of 2004, although they do not meet the quantitative disclosure requirements of SFAS No. 131, “Disclosures About Segments of an Enterprise and Related Information,” we elected to separately disclose our content businesses as a reportable segment. These consolidated financial statements present all periods on a basis comparable to our 2004 segment reporting and additionally, segment assets for 2003 have been adjusted to reflect the reclassification of certain amounts due from subsidiaries as capital transactions (see Notes 7 and 16). Our content segment consists of our national networks E! Entertainment, Style Network, The Golf Channel, Outdoor Life Network and G4techTV (formerly G4). In evaluating our segments’ profitability, the components of net income (loss) below operating income (loss) before depreciation and amortization are not separately evaluated by our management (amounts in millions).</w:t>
      </w:r>
    </w:p>
    <w:p>
      <w:pPr>
        <w:spacing w:after="0" w:line="176" w:lineRule="exact"/>
        <w:rPr>
          <w:sz w:val="20"/>
          <w:szCs w:val="20"/>
          <w:color w:val="auto"/>
        </w:rPr>
      </w:pPr>
    </w:p>
    <w:tbl>
      <w:tblPr>
        <w:tblLayout w:type="fixed"/>
        <w:tblInd w:w="5360" w:type="dxa"/>
        <w:tblCellMar>
          <w:top w:w="0" w:type="dxa"/>
          <w:left w:w="0" w:type="dxa"/>
          <w:bottom w:w="0" w:type="dxa"/>
          <w:right w:w="0" w:type="dxa"/>
        </w:tblCellMar>
      </w:tblPr>
      <w:tr>
        <w:trPr>
          <w:trHeight w:val="253"/>
        </w:trPr>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87"/>
              </w:rPr>
              <w:t>Corporate</w:t>
            </w: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1"/>
              </w:rPr>
              <w:t>and</w:t>
            </w: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5"/>
        </w:trPr>
        <w:tc>
          <w:tcPr>
            <w:tcW w:w="940" w:type="dxa"/>
            <w:vAlign w:val="bottom"/>
          </w:tcPr>
          <w:p>
            <w:pPr>
              <w:ind w:left="80"/>
              <w:spacing w:after="0"/>
              <w:rPr>
                <w:sz w:val="20"/>
                <w:szCs w:val="20"/>
                <w:color w:val="auto"/>
              </w:rPr>
            </w:pPr>
            <w:r>
              <w:rPr>
                <w:rFonts w:ascii="Arial" w:cs="Arial" w:eastAsia="Arial" w:hAnsi="Arial"/>
                <w:sz w:val="22"/>
                <w:szCs w:val="22"/>
                <w:color w:val="auto"/>
                <w:w w:val="92"/>
              </w:rPr>
              <w:t>Cable (1)</w:t>
            </w:r>
          </w:p>
        </w:tc>
        <w:tc>
          <w:tcPr>
            <w:tcW w:w="320" w:type="dxa"/>
            <w:vAlign w:val="bottom"/>
          </w:tcPr>
          <w:p>
            <w:pPr>
              <w:spacing w:after="0"/>
              <w:rPr>
                <w:sz w:val="23"/>
                <w:szCs w:val="23"/>
                <w:color w:val="auto"/>
              </w:rPr>
            </w:pPr>
          </w:p>
        </w:tc>
        <w:tc>
          <w:tcPr>
            <w:tcW w:w="920" w:type="dxa"/>
            <w:vAlign w:val="bottom"/>
          </w:tcPr>
          <w:p>
            <w:pPr>
              <w:ind w:left="100"/>
              <w:spacing w:after="0"/>
              <w:rPr>
                <w:sz w:val="20"/>
                <w:szCs w:val="20"/>
                <w:color w:val="auto"/>
              </w:rPr>
            </w:pPr>
            <w:r>
              <w:rPr>
                <w:rFonts w:ascii="Arial" w:cs="Arial" w:eastAsia="Arial" w:hAnsi="Arial"/>
                <w:sz w:val="22"/>
                <w:szCs w:val="22"/>
                <w:color w:val="auto"/>
              </w:rPr>
              <w:t>Content</w:t>
            </w:r>
          </w:p>
        </w:tc>
        <w:tc>
          <w:tcPr>
            <w:tcW w:w="28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90"/>
              </w:rPr>
              <w:t>Other (2)</w:t>
            </w:r>
          </w:p>
        </w:tc>
        <w:tc>
          <w:tcPr>
            <w:tcW w:w="420" w:type="dxa"/>
            <w:vAlign w:val="bottom"/>
          </w:tcPr>
          <w:p>
            <w:pPr>
              <w:spacing w:after="0"/>
              <w:rPr>
                <w:sz w:val="23"/>
                <w:szCs w:val="23"/>
                <w:color w:val="auto"/>
              </w:rPr>
            </w:pPr>
          </w:p>
        </w:tc>
        <w:tc>
          <w:tcPr>
            <w:tcW w:w="900" w:type="dxa"/>
            <w:vAlign w:val="bottom"/>
          </w:tcPr>
          <w:p>
            <w:pPr>
              <w:ind w:left="220"/>
              <w:spacing w:after="0"/>
              <w:rPr>
                <w:sz w:val="20"/>
                <w:szCs w:val="20"/>
                <w:color w:val="auto"/>
              </w:rPr>
            </w:pPr>
            <w:r>
              <w:rPr>
                <w:rFonts w:ascii="Arial" w:cs="Arial" w:eastAsia="Arial" w:hAnsi="Arial"/>
                <w:sz w:val="22"/>
                <w:szCs w:val="22"/>
                <w:color w:val="auto"/>
              </w:rPr>
              <w:t>Total</w:t>
            </w:r>
          </w:p>
        </w:tc>
      </w:tr>
      <w:tr>
        <w:trPr>
          <w:trHeight w:val="98"/>
        </w:trPr>
        <w:tc>
          <w:tcPr>
            <w:tcW w:w="9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r>
    </w:tbl>
    <w:p>
      <w:pPr>
        <w:sectPr>
          <w:pgSz w:w="11900" w:h="16838" w:orient="portrait"/>
          <w:cols w:equalWidth="0" w:num="1">
            <w:col w:w="11340"/>
          </w:cols>
          <w:pgMar w:left="240" w:top="118" w:right="319" w:bottom="0" w:gutter="0" w:footer="0" w:header="0"/>
        </w:sectPr>
      </w:pPr>
    </w:p>
    <w:bookmarkStart w:id="95" w:name="page96"/>
    <w:bookmarkEnd w:id="95"/>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5"/>
              </w:rPr>
              <w:t>2003</w:t>
            </w:r>
          </w:p>
        </w:tc>
        <w:tc>
          <w:tcPr>
            <w:tcW w:w="4460" w:type="dxa"/>
            <w:vAlign w:val="bottom"/>
          </w:tcPr>
          <w:p>
            <w:pPr>
              <w:spacing w:after="0"/>
              <w:rPr>
                <w:sz w:val="21"/>
                <w:szCs w:val="21"/>
                <w:color w:val="auto"/>
              </w:rPr>
            </w:pPr>
          </w:p>
        </w:tc>
        <w:tc>
          <w:tcPr>
            <w:tcW w:w="1800" w:type="dxa"/>
            <w:vAlign w:val="bottom"/>
            <w:vMerge w:val="restart"/>
          </w:tcPr>
          <w:p>
            <w:pPr>
              <w:jc w:val="right"/>
              <w:ind w:right="292"/>
              <w:spacing w:after="0"/>
              <w:rPr>
                <w:sz w:val="20"/>
                <w:szCs w:val="20"/>
                <w:color w:val="auto"/>
              </w:rPr>
            </w:pPr>
            <w:r>
              <w:rPr>
                <w:rFonts w:ascii="Arial" w:cs="Arial" w:eastAsia="Arial" w:hAnsi="Arial"/>
                <w:sz w:val="22"/>
                <w:szCs w:val="22"/>
                <w:color w:val="auto"/>
              </w:rPr>
              <w:t>$17,492</w:t>
            </w:r>
          </w:p>
        </w:tc>
        <w:tc>
          <w:tcPr>
            <w:tcW w:w="1200" w:type="dxa"/>
            <w:vAlign w:val="bottom"/>
            <w:vMerge w:val="restart"/>
          </w:tcPr>
          <w:p>
            <w:pPr>
              <w:jc w:val="right"/>
              <w:ind w:right="252"/>
              <w:spacing w:after="0"/>
              <w:rPr>
                <w:sz w:val="20"/>
                <w:szCs w:val="20"/>
                <w:color w:val="auto"/>
              </w:rPr>
            </w:pPr>
            <w:r>
              <w:rPr>
                <w:rFonts w:ascii="Arial" w:cs="Arial" w:eastAsia="Arial" w:hAnsi="Arial"/>
                <w:sz w:val="22"/>
                <w:szCs w:val="22"/>
                <w:color w:val="auto"/>
              </w:rPr>
              <w:t>$628</w:t>
            </w:r>
          </w:p>
        </w:tc>
        <w:tc>
          <w:tcPr>
            <w:tcW w:w="1200" w:type="dxa"/>
            <w:vAlign w:val="bottom"/>
            <w:vMerge w:val="restart"/>
          </w:tcPr>
          <w:p>
            <w:pPr>
              <w:jc w:val="right"/>
              <w:ind w:right="252"/>
              <w:spacing w:after="0"/>
              <w:rPr>
                <w:sz w:val="20"/>
                <w:szCs w:val="20"/>
                <w:color w:val="auto"/>
              </w:rPr>
            </w:pPr>
            <w:r>
              <w:rPr>
                <w:rFonts w:ascii="Arial" w:cs="Arial" w:eastAsia="Arial" w:hAnsi="Arial"/>
                <w:sz w:val="22"/>
                <w:szCs w:val="22"/>
                <w:color w:val="auto"/>
              </w:rPr>
              <w:t>$228</w:t>
            </w:r>
          </w:p>
        </w:tc>
        <w:tc>
          <w:tcPr>
            <w:tcW w:w="1040" w:type="dxa"/>
            <w:vAlign w:val="bottom"/>
            <w:vMerge w:val="restart"/>
          </w:tcPr>
          <w:p>
            <w:pPr>
              <w:jc w:val="right"/>
              <w:spacing w:after="0"/>
              <w:rPr>
                <w:sz w:val="20"/>
                <w:szCs w:val="20"/>
                <w:color w:val="auto"/>
              </w:rPr>
            </w:pPr>
            <w:r>
              <w:rPr>
                <w:rFonts w:ascii="Arial" w:cs="Arial" w:eastAsia="Arial" w:hAnsi="Arial"/>
                <w:sz w:val="22"/>
                <w:szCs w:val="22"/>
                <w:color w:val="auto"/>
              </w:rPr>
              <w:t>$18,348</w:t>
            </w:r>
          </w:p>
        </w:tc>
        <w:tc>
          <w:tcPr>
            <w:tcW w:w="0" w:type="dxa"/>
            <w:vAlign w:val="bottom"/>
          </w:tcPr>
          <w:p>
            <w:pPr>
              <w:spacing w:after="0"/>
              <w:rPr>
                <w:sz w:val="1"/>
                <w:szCs w:val="1"/>
                <w:color w:val="auto"/>
              </w:rPr>
            </w:pPr>
          </w:p>
        </w:tc>
      </w:tr>
      <w:tr>
        <w:trPr>
          <w:trHeight w:val="242"/>
        </w:trPr>
        <w:tc>
          <w:tcPr>
            <w:tcW w:w="4900" w:type="dxa"/>
            <w:vAlign w:val="bottom"/>
            <w:gridSpan w:val="2"/>
          </w:tcPr>
          <w:p>
            <w:pPr>
              <w:spacing w:after="0" w:line="242" w:lineRule="exact"/>
              <w:rPr>
                <w:sz w:val="20"/>
                <w:szCs w:val="20"/>
                <w:color w:val="auto"/>
              </w:rPr>
            </w:pPr>
            <w:r>
              <w:rPr>
                <w:rFonts w:ascii="Arial" w:cs="Arial" w:eastAsia="Arial" w:hAnsi="Arial"/>
                <w:sz w:val="22"/>
                <w:szCs w:val="22"/>
                <w:color w:val="auto"/>
              </w:rPr>
              <w:t>Revenues (3)</w:t>
            </w:r>
          </w:p>
        </w:tc>
        <w:tc>
          <w:tcPr>
            <w:tcW w:w="180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spacing w:after="0" w:line="243" w:lineRule="exact"/>
              <w:rPr>
                <w:sz w:val="20"/>
                <w:szCs w:val="20"/>
                <w:color w:val="auto"/>
              </w:rPr>
            </w:pPr>
            <w:r>
              <w:rPr>
                <w:rFonts w:ascii="Arial" w:cs="Arial" w:eastAsia="Arial" w:hAnsi="Arial"/>
                <w:sz w:val="22"/>
                <w:szCs w:val="22"/>
                <w:color w:val="auto"/>
              </w:rPr>
              <w:t>Operating income (loss) before depreciation and</w:t>
            </w:r>
          </w:p>
        </w:tc>
        <w:tc>
          <w:tcPr>
            <w:tcW w:w="18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spacing w:after="0" w:line="243" w:lineRule="exact"/>
              <w:rPr>
                <w:sz w:val="20"/>
                <w:szCs w:val="20"/>
                <w:color w:val="auto"/>
              </w:rPr>
            </w:pPr>
            <w:r>
              <w:rPr>
                <w:rFonts w:ascii="Arial" w:cs="Arial" w:eastAsia="Arial" w:hAnsi="Arial"/>
                <w:sz w:val="22"/>
                <w:szCs w:val="22"/>
                <w:color w:val="auto"/>
              </w:rPr>
              <w:t>amortization (4)</w:t>
            </w:r>
          </w:p>
        </w:tc>
        <w:tc>
          <w:tcPr>
            <w:tcW w:w="180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6,350</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214</w:t>
            </w:r>
          </w:p>
        </w:tc>
        <w:tc>
          <w:tcPr>
            <w:tcW w:w="120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(172)</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6,392</w:t>
            </w:r>
          </w:p>
        </w:tc>
        <w:tc>
          <w:tcPr>
            <w:tcW w:w="0" w:type="dxa"/>
            <w:vAlign w:val="bottom"/>
          </w:tcPr>
          <w:p>
            <w:pPr>
              <w:spacing w:after="0"/>
              <w:rPr>
                <w:sz w:val="1"/>
                <w:szCs w:val="1"/>
                <w:color w:val="auto"/>
              </w:rPr>
            </w:pPr>
          </w:p>
        </w:tc>
      </w:tr>
      <w:tr>
        <w:trPr>
          <w:trHeight w:val="243"/>
        </w:trPr>
        <w:tc>
          <w:tcPr>
            <w:tcW w:w="4900" w:type="dxa"/>
            <w:vAlign w:val="bottom"/>
            <w:gridSpan w:val="2"/>
          </w:tcPr>
          <w:p>
            <w:pPr>
              <w:spacing w:after="0" w:line="243" w:lineRule="exact"/>
              <w:rPr>
                <w:sz w:val="20"/>
                <w:szCs w:val="20"/>
                <w:color w:val="auto"/>
              </w:rPr>
            </w:pPr>
            <w:r>
              <w:rPr>
                <w:rFonts w:ascii="Arial" w:cs="Arial" w:eastAsia="Arial" w:hAnsi="Arial"/>
                <w:sz w:val="22"/>
                <w:szCs w:val="22"/>
                <w:color w:val="auto"/>
              </w:rPr>
              <w:t>Depreciation and amortization</w:t>
            </w:r>
          </w:p>
        </w:tc>
        <w:tc>
          <w:tcPr>
            <w:tcW w:w="180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4,223</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129</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86</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4,438</w:t>
            </w:r>
          </w:p>
        </w:tc>
        <w:tc>
          <w:tcPr>
            <w:tcW w:w="0" w:type="dxa"/>
            <w:vAlign w:val="bottom"/>
          </w:tcPr>
          <w:p>
            <w:pPr>
              <w:spacing w:after="0"/>
              <w:rPr>
                <w:sz w:val="1"/>
                <w:szCs w:val="1"/>
                <w:color w:val="auto"/>
              </w:rPr>
            </w:pPr>
          </w:p>
        </w:tc>
      </w:tr>
      <w:tr>
        <w:trPr>
          <w:trHeight w:val="243"/>
        </w:trPr>
        <w:tc>
          <w:tcPr>
            <w:tcW w:w="4900" w:type="dxa"/>
            <w:vAlign w:val="bottom"/>
            <w:gridSpan w:val="2"/>
          </w:tcPr>
          <w:p>
            <w:pPr>
              <w:spacing w:after="0" w:line="243" w:lineRule="exact"/>
              <w:rPr>
                <w:sz w:val="20"/>
                <w:szCs w:val="20"/>
                <w:color w:val="auto"/>
              </w:rPr>
            </w:pPr>
            <w:r>
              <w:rPr>
                <w:rFonts w:ascii="Arial" w:cs="Arial" w:eastAsia="Arial" w:hAnsi="Arial"/>
                <w:sz w:val="22"/>
                <w:szCs w:val="22"/>
                <w:color w:val="auto"/>
              </w:rPr>
              <w:t>Operating income (loss)</w:t>
            </w:r>
          </w:p>
        </w:tc>
        <w:tc>
          <w:tcPr>
            <w:tcW w:w="180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2,127</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85</w:t>
            </w:r>
          </w:p>
        </w:tc>
        <w:tc>
          <w:tcPr>
            <w:tcW w:w="120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(258)</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1,954</w:t>
            </w:r>
          </w:p>
        </w:tc>
        <w:tc>
          <w:tcPr>
            <w:tcW w:w="0" w:type="dxa"/>
            <w:vAlign w:val="bottom"/>
          </w:tcPr>
          <w:p>
            <w:pPr>
              <w:spacing w:after="0"/>
              <w:rPr>
                <w:sz w:val="1"/>
                <w:szCs w:val="1"/>
                <w:color w:val="auto"/>
              </w:rPr>
            </w:pPr>
          </w:p>
        </w:tc>
      </w:tr>
      <w:tr>
        <w:trPr>
          <w:trHeight w:val="243"/>
        </w:trPr>
        <w:tc>
          <w:tcPr>
            <w:tcW w:w="4900" w:type="dxa"/>
            <w:vAlign w:val="bottom"/>
            <w:gridSpan w:val="2"/>
          </w:tcPr>
          <w:p>
            <w:pPr>
              <w:spacing w:after="0" w:line="243" w:lineRule="exact"/>
              <w:rPr>
                <w:sz w:val="20"/>
                <w:szCs w:val="20"/>
                <w:color w:val="auto"/>
              </w:rPr>
            </w:pPr>
            <w:r>
              <w:rPr>
                <w:rFonts w:ascii="Arial" w:cs="Arial" w:eastAsia="Arial" w:hAnsi="Arial"/>
                <w:sz w:val="22"/>
                <w:szCs w:val="22"/>
                <w:color w:val="auto"/>
              </w:rPr>
              <w:t>Interest expense</w:t>
            </w:r>
          </w:p>
        </w:tc>
        <w:tc>
          <w:tcPr>
            <w:tcW w:w="180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1,631</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17</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370</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2,018</w:t>
            </w:r>
          </w:p>
        </w:tc>
        <w:tc>
          <w:tcPr>
            <w:tcW w:w="0" w:type="dxa"/>
            <w:vAlign w:val="bottom"/>
          </w:tcPr>
          <w:p>
            <w:pPr>
              <w:spacing w:after="0"/>
              <w:rPr>
                <w:sz w:val="1"/>
                <w:szCs w:val="1"/>
                <w:color w:val="auto"/>
              </w:rPr>
            </w:pPr>
          </w:p>
        </w:tc>
      </w:tr>
      <w:tr>
        <w:trPr>
          <w:trHeight w:val="243"/>
        </w:trPr>
        <w:tc>
          <w:tcPr>
            <w:tcW w:w="4900" w:type="dxa"/>
            <w:vAlign w:val="bottom"/>
            <w:gridSpan w:val="2"/>
          </w:tcPr>
          <w:p>
            <w:pPr>
              <w:spacing w:after="0" w:line="243" w:lineRule="exact"/>
              <w:rPr>
                <w:sz w:val="20"/>
                <w:szCs w:val="20"/>
                <w:color w:val="auto"/>
              </w:rPr>
            </w:pPr>
            <w:r>
              <w:rPr>
                <w:rFonts w:ascii="Arial" w:cs="Arial" w:eastAsia="Arial" w:hAnsi="Arial"/>
                <w:sz w:val="22"/>
                <w:szCs w:val="22"/>
                <w:color w:val="auto"/>
              </w:rPr>
              <w:t>Assets</w:t>
            </w:r>
          </w:p>
        </w:tc>
        <w:tc>
          <w:tcPr>
            <w:tcW w:w="180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105,316</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2,048</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1,795</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109,159</w:t>
            </w:r>
          </w:p>
        </w:tc>
        <w:tc>
          <w:tcPr>
            <w:tcW w:w="0" w:type="dxa"/>
            <w:vAlign w:val="bottom"/>
          </w:tcPr>
          <w:p>
            <w:pPr>
              <w:spacing w:after="0"/>
              <w:rPr>
                <w:sz w:val="1"/>
                <w:szCs w:val="1"/>
                <w:color w:val="auto"/>
              </w:rPr>
            </w:pPr>
          </w:p>
        </w:tc>
      </w:tr>
      <w:tr>
        <w:trPr>
          <w:trHeight w:val="243"/>
        </w:trPr>
        <w:tc>
          <w:tcPr>
            <w:tcW w:w="4900" w:type="dxa"/>
            <w:vAlign w:val="bottom"/>
            <w:gridSpan w:val="2"/>
          </w:tcPr>
          <w:p>
            <w:pPr>
              <w:spacing w:after="0" w:line="243" w:lineRule="exact"/>
              <w:rPr>
                <w:sz w:val="20"/>
                <w:szCs w:val="20"/>
                <w:color w:val="auto"/>
              </w:rPr>
            </w:pPr>
            <w:r>
              <w:rPr>
                <w:rFonts w:ascii="Arial" w:cs="Arial" w:eastAsia="Arial" w:hAnsi="Arial"/>
                <w:sz w:val="22"/>
                <w:szCs w:val="22"/>
                <w:color w:val="auto"/>
              </w:rPr>
              <w:t>Long-term debt</w:t>
            </w:r>
          </w:p>
        </w:tc>
        <w:tc>
          <w:tcPr>
            <w:tcW w:w="180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18,625</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5</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5,205</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23,835</w:t>
            </w:r>
          </w:p>
        </w:tc>
        <w:tc>
          <w:tcPr>
            <w:tcW w:w="0" w:type="dxa"/>
            <w:vAlign w:val="bottom"/>
          </w:tcPr>
          <w:p>
            <w:pPr>
              <w:spacing w:after="0"/>
              <w:rPr>
                <w:sz w:val="1"/>
                <w:szCs w:val="1"/>
                <w:color w:val="auto"/>
              </w:rPr>
            </w:pPr>
          </w:p>
        </w:tc>
      </w:tr>
      <w:tr>
        <w:trPr>
          <w:trHeight w:val="275"/>
        </w:trPr>
        <w:tc>
          <w:tcPr>
            <w:tcW w:w="4900" w:type="dxa"/>
            <w:vAlign w:val="bottom"/>
            <w:gridSpan w:val="2"/>
          </w:tcPr>
          <w:p>
            <w:pPr>
              <w:spacing w:after="0"/>
              <w:rPr>
                <w:sz w:val="20"/>
                <w:szCs w:val="20"/>
                <w:color w:val="auto"/>
              </w:rPr>
            </w:pPr>
            <w:r>
              <w:rPr>
                <w:rFonts w:ascii="Arial" w:cs="Arial" w:eastAsia="Arial" w:hAnsi="Arial"/>
                <w:sz w:val="22"/>
                <w:szCs w:val="22"/>
                <w:color w:val="auto"/>
              </w:rPr>
              <w:t>Capital expenditures</w:t>
            </w:r>
          </w:p>
        </w:tc>
        <w:tc>
          <w:tcPr>
            <w:tcW w:w="1800" w:type="dxa"/>
            <w:vAlign w:val="bottom"/>
          </w:tcPr>
          <w:p>
            <w:pPr>
              <w:jc w:val="right"/>
              <w:ind w:right="292"/>
              <w:spacing w:after="0"/>
              <w:rPr>
                <w:sz w:val="20"/>
                <w:szCs w:val="20"/>
                <w:color w:val="auto"/>
              </w:rPr>
            </w:pPr>
            <w:r>
              <w:rPr>
                <w:rFonts w:ascii="Arial" w:cs="Arial" w:eastAsia="Arial" w:hAnsi="Arial"/>
                <w:sz w:val="22"/>
                <w:szCs w:val="22"/>
                <w:color w:val="auto"/>
              </w:rPr>
              <w:t>4,097</w:t>
            </w:r>
          </w:p>
        </w:tc>
        <w:tc>
          <w:tcPr>
            <w:tcW w:w="1200" w:type="dxa"/>
            <w:vAlign w:val="bottom"/>
          </w:tcPr>
          <w:p>
            <w:pPr>
              <w:jc w:val="right"/>
              <w:ind w:right="252"/>
              <w:spacing w:after="0"/>
              <w:rPr>
                <w:sz w:val="20"/>
                <w:szCs w:val="20"/>
                <w:color w:val="auto"/>
              </w:rPr>
            </w:pPr>
            <w:r>
              <w:rPr>
                <w:rFonts w:ascii="Arial" w:cs="Arial" w:eastAsia="Arial" w:hAnsi="Arial"/>
                <w:sz w:val="22"/>
                <w:szCs w:val="22"/>
                <w:color w:val="auto"/>
              </w:rPr>
              <w:t>18</w:t>
            </w:r>
          </w:p>
        </w:tc>
        <w:tc>
          <w:tcPr>
            <w:tcW w:w="1200" w:type="dxa"/>
            <w:vAlign w:val="bottom"/>
          </w:tcPr>
          <w:p>
            <w:pPr>
              <w:jc w:val="right"/>
              <w:ind w:right="252"/>
              <w:spacing w:after="0"/>
              <w:rPr>
                <w:sz w:val="20"/>
                <w:szCs w:val="20"/>
                <w:color w:val="auto"/>
              </w:rPr>
            </w:pPr>
            <w:r>
              <w:rPr>
                <w:rFonts w:ascii="Arial" w:cs="Arial" w:eastAsia="Arial" w:hAnsi="Arial"/>
                <w:sz w:val="22"/>
                <w:szCs w:val="22"/>
                <w:color w:val="auto"/>
              </w:rPr>
              <w:t>46</w:t>
            </w:r>
          </w:p>
        </w:tc>
        <w:tc>
          <w:tcPr>
            <w:tcW w:w="1040" w:type="dxa"/>
            <w:vAlign w:val="bottom"/>
          </w:tcPr>
          <w:p>
            <w:pPr>
              <w:jc w:val="right"/>
              <w:spacing w:after="0"/>
              <w:rPr>
                <w:sz w:val="20"/>
                <w:szCs w:val="20"/>
                <w:color w:val="auto"/>
              </w:rPr>
            </w:pPr>
            <w:r>
              <w:rPr>
                <w:rFonts w:ascii="Arial" w:cs="Arial" w:eastAsia="Arial" w:hAnsi="Arial"/>
                <w:sz w:val="22"/>
                <w:szCs w:val="22"/>
                <w:color w:val="auto"/>
              </w:rPr>
              <w:t>4,161</w:t>
            </w:r>
          </w:p>
        </w:tc>
        <w:tc>
          <w:tcPr>
            <w:tcW w:w="0" w:type="dxa"/>
            <w:vAlign w:val="bottom"/>
          </w:tcPr>
          <w:p>
            <w:pPr>
              <w:spacing w:after="0"/>
              <w:rPr>
                <w:sz w:val="1"/>
                <w:szCs w:val="1"/>
                <w:color w:val="auto"/>
              </w:rPr>
            </w:pPr>
          </w:p>
        </w:tc>
      </w:tr>
      <w:tr>
        <w:trPr>
          <w:trHeight w:val="436"/>
        </w:trPr>
        <w:tc>
          <w:tcPr>
            <w:tcW w:w="4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5"/>
              </w:rPr>
              <w:t>2002</w:t>
            </w:r>
          </w:p>
        </w:tc>
        <w:tc>
          <w:tcPr>
            <w:tcW w:w="4460" w:type="dxa"/>
            <w:vAlign w:val="bottom"/>
          </w:tcPr>
          <w:p>
            <w:pPr>
              <w:spacing w:after="0"/>
              <w:rPr>
                <w:sz w:val="24"/>
                <w:szCs w:val="24"/>
                <w:color w:val="auto"/>
              </w:rPr>
            </w:pPr>
          </w:p>
        </w:tc>
        <w:tc>
          <w:tcPr>
            <w:tcW w:w="1800" w:type="dxa"/>
            <w:vAlign w:val="bottom"/>
            <w:vMerge w:val="restart"/>
          </w:tcPr>
          <w:p>
            <w:pPr>
              <w:jc w:val="right"/>
              <w:ind w:right="292"/>
              <w:spacing w:after="0"/>
              <w:rPr>
                <w:sz w:val="20"/>
                <w:szCs w:val="20"/>
                <w:color w:val="auto"/>
              </w:rPr>
            </w:pPr>
            <w:r>
              <w:rPr>
                <w:rFonts w:ascii="Arial" w:cs="Arial" w:eastAsia="Arial" w:hAnsi="Arial"/>
                <w:sz w:val="22"/>
                <w:szCs w:val="22"/>
                <w:color w:val="auto"/>
              </w:rPr>
              <w:t>$7,350</w:t>
            </w:r>
          </w:p>
        </w:tc>
        <w:tc>
          <w:tcPr>
            <w:tcW w:w="1200" w:type="dxa"/>
            <w:vAlign w:val="bottom"/>
            <w:vMerge w:val="restart"/>
          </w:tcPr>
          <w:p>
            <w:pPr>
              <w:jc w:val="right"/>
              <w:ind w:right="252"/>
              <w:spacing w:after="0"/>
              <w:rPr>
                <w:sz w:val="20"/>
                <w:szCs w:val="20"/>
                <w:color w:val="auto"/>
              </w:rPr>
            </w:pPr>
            <w:r>
              <w:rPr>
                <w:rFonts w:ascii="Arial" w:cs="Arial" w:eastAsia="Arial" w:hAnsi="Arial"/>
                <w:sz w:val="22"/>
                <w:szCs w:val="22"/>
                <w:color w:val="auto"/>
              </w:rPr>
              <w:t>$521</w:t>
            </w:r>
          </w:p>
        </w:tc>
        <w:tc>
          <w:tcPr>
            <w:tcW w:w="1200" w:type="dxa"/>
            <w:vAlign w:val="bottom"/>
            <w:vMerge w:val="restart"/>
          </w:tcPr>
          <w:p>
            <w:pPr>
              <w:jc w:val="right"/>
              <w:ind w:right="252"/>
              <w:spacing w:after="0"/>
              <w:rPr>
                <w:sz w:val="20"/>
                <w:szCs w:val="20"/>
                <w:color w:val="auto"/>
              </w:rPr>
            </w:pPr>
            <w:r>
              <w:rPr>
                <w:rFonts w:ascii="Arial" w:cs="Arial" w:eastAsia="Arial" w:hAnsi="Arial"/>
                <w:sz w:val="22"/>
                <w:szCs w:val="22"/>
                <w:color w:val="auto"/>
              </w:rPr>
              <w:t>$231</w:t>
            </w:r>
          </w:p>
        </w:tc>
        <w:tc>
          <w:tcPr>
            <w:tcW w:w="1040" w:type="dxa"/>
            <w:vAlign w:val="bottom"/>
            <w:vMerge w:val="restart"/>
          </w:tcPr>
          <w:p>
            <w:pPr>
              <w:jc w:val="right"/>
              <w:spacing w:after="0"/>
              <w:rPr>
                <w:sz w:val="20"/>
                <w:szCs w:val="20"/>
                <w:color w:val="auto"/>
              </w:rPr>
            </w:pPr>
            <w:r>
              <w:rPr>
                <w:rFonts w:ascii="Arial" w:cs="Arial" w:eastAsia="Arial" w:hAnsi="Arial"/>
                <w:sz w:val="22"/>
                <w:szCs w:val="22"/>
                <w:color w:val="auto"/>
              </w:rPr>
              <w:t>$8,102</w:t>
            </w:r>
          </w:p>
        </w:tc>
        <w:tc>
          <w:tcPr>
            <w:tcW w:w="0" w:type="dxa"/>
            <w:vAlign w:val="bottom"/>
          </w:tcPr>
          <w:p>
            <w:pPr>
              <w:spacing w:after="0"/>
              <w:rPr>
                <w:sz w:val="1"/>
                <w:szCs w:val="1"/>
                <w:color w:val="auto"/>
              </w:rPr>
            </w:pPr>
          </w:p>
        </w:tc>
      </w:tr>
      <w:tr>
        <w:trPr>
          <w:trHeight w:val="242"/>
        </w:trPr>
        <w:tc>
          <w:tcPr>
            <w:tcW w:w="4900" w:type="dxa"/>
            <w:vAlign w:val="bottom"/>
            <w:gridSpan w:val="2"/>
          </w:tcPr>
          <w:p>
            <w:pPr>
              <w:spacing w:after="0" w:line="242" w:lineRule="exact"/>
              <w:rPr>
                <w:sz w:val="20"/>
                <w:szCs w:val="20"/>
                <w:color w:val="auto"/>
              </w:rPr>
            </w:pPr>
            <w:r>
              <w:rPr>
                <w:rFonts w:ascii="Arial" w:cs="Arial" w:eastAsia="Arial" w:hAnsi="Arial"/>
                <w:sz w:val="22"/>
                <w:szCs w:val="22"/>
                <w:color w:val="auto"/>
              </w:rPr>
              <w:t>Revenues (3)</w:t>
            </w:r>
          </w:p>
        </w:tc>
        <w:tc>
          <w:tcPr>
            <w:tcW w:w="180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spacing w:after="0" w:line="243" w:lineRule="exact"/>
              <w:rPr>
                <w:sz w:val="20"/>
                <w:szCs w:val="20"/>
                <w:color w:val="auto"/>
              </w:rPr>
            </w:pPr>
            <w:r>
              <w:rPr>
                <w:rFonts w:ascii="Arial" w:cs="Arial" w:eastAsia="Arial" w:hAnsi="Arial"/>
                <w:sz w:val="22"/>
                <w:szCs w:val="22"/>
                <w:color w:val="auto"/>
              </w:rPr>
              <w:t>Operating income (loss) before depreciation and</w:t>
            </w:r>
          </w:p>
        </w:tc>
        <w:tc>
          <w:tcPr>
            <w:tcW w:w="18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spacing w:after="0" w:line="243" w:lineRule="exact"/>
              <w:rPr>
                <w:sz w:val="20"/>
                <w:szCs w:val="20"/>
                <w:color w:val="auto"/>
              </w:rPr>
            </w:pPr>
            <w:r>
              <w:rPr>
                <w:rFonts w:ascii="Arial" w:cs="Arial" w:eastAsia="Arial" w:hAnsi="Arial"/>
                <w:sz w:val="22"/>
                <w:szCs w:val="22"/>
                <w:color w:val="auto"/>
              </w:rPr>
              <w:t>amortization (4)</w:t>
            </w:r>
          </w:p>
        </w:tc>
        <w:tc>
          <w:tcPr>
            <w:tcW w:w="180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2,798</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170</w:t>
            </w:r>
          </w:p>
        </w:tc>
        <w:tc>
          <w:tcPr>
            <w:tcW w:w="120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(132)</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2,836</w:t>
            </w:r>
          </w:p>
        </w:tc>
        <w:tc>
          <w:tcPr>
            <w:tcW w:w="0" w:type="dxa"/>
            <w:vAlign w:val="bottom"/>
          </w:tcPr>
          <w:p>
            <w:pPr>
              <w:spacing w:after="0"/>
              <w:rPr>
                <w:sz w:val="1"/>
                <w:szCs w:val="1"/>
                <w:color w:val="auto"/>
              </w:rPr>
            </w:pPr>
          </w:p>
        </w:tc>
      </w:tr>
      <w:tr>
        <w:trPr>
          <w:trHeight w:val="243"/>
        </w:trPr>
        <w:tc>
          <w:tcPr>
            <w:tcW w:w="4900" w:type="dxa"/>
            <w:vAlign w:val="bottom"/>
            <w:gridSpan w:val="2"/>
          </w:tcPr>
          <w:p>
            <w:pPr>
              <w:spacing w:after="0" w:line="243" w:lineRule="exact"/>
              <w:rPr>
                <w:sz w:val="20"/>
                <w:szCs w:val="20"/>
                <w:color w:val="auto"/>
              </w:rPr>
            </w:pPr>
            <w:r>
              <w:rPr>
                <w:rFonts w:ascii="Arial" w:cs="Arial" w:eastAsia="Arial" w:hAnsi="Arial"/>
                <w:sz w:val="22"/>
                <w:szCs w:val="22"/>
                <w:color w:val="auto"/>
              </w:rPr>
              <w:t>Depreciation and amortization</w:t>
            </w:r>
          </w:p>
        </w:tc>
        <w:tc>
          <w:tcPr>
            <w:tcW w:w="180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1,670</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129</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116</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1,915</w:t>
            </w:r>
          </w:p>
        </w:tc>
        <w:tc>
          <w:tcPr>
            <w:tcW w:w="0" w:type="dxa"/>
            <w:vAlign w:val="bottom"/>
          </w:tcPr>
          <w:p>
            <w:pPr>
              <w:spacing w:after="0"/>
              <w:rPr>
                <w:sz w:val="1"/>
                <w:szCs w:val="1"/>
                <w:color w:val="auto"/>
              </w:rPr>
            </w:pPr>
          </w:p>
        </w:tc>
      </w:tr>
      <w:tr>
        <w:trPr>
          <w:trHeight w:val="243"/>
        </w:trPr>
        <w:tc>
          <w:tcPr>
            <w:tcW w:w="4900" w:type="dxa"/>
            <w:vAlign w:val="bottom"/>
            <w:gridSpan w:val="2"/>
          </w:tcPr>
          <w:p>
            <w:pPr>
              <w:spacing w:after="0" w:line="243" w:lineRule="exact"/>
              <w:rPr>
                <w:sz w:val="20"/>
                <w:szCs w:val="20"/>
                <w:color w:val="auto"/>
              </w:rPr>
            </w:pPr>
            <w:r>
              <w:rPr>
                <w:rFonts w:ascii="Arial" w:cs="Arial" w:eastAsia="Arial" w:hAnsi="Arial"/>
                <w:sz w:val="22"/>
                <w:szCs w:val="22"/>
                <w:color w:val="auto"/>
              </w:rPr>
              <w:t>Operating income (loss)</w:t>
            </w:r>
          </w:p>
        </w:tc>
        <w:tc>
          <w:tcPr>
            <w:tcW w:w="180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1,128</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41</w:t>
            </w:r>
          </w:p>
        </w:tc>
        <w:tc>
          <w:tcPr>
            <w:tcW w:w="120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(248)</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921</w:t>
            </w:r>
          </w:p>
        </w:tc>
        <w:tc>
          <w:tcPr>
            <w:tcW w:w="0" w:type="dxa"/>
            <w:vAlign w:val="bottom"/>
          </w:tcPr>
          <w:p>
            <w:pPr>
              <w:spacing w:after="0"/>
              <w:rPr>
                <w:sz w:val="1"/>
                <w:szCs w:val="1"/>
                <w:color w:val="auto"/>
              </w:rPr>
            </w:pPr>
          </w:p>
        </w:tc>
      </w:tr>
      <w:tr>
        <w:trPr>
          <w:trHeight w:val="243"/>
        </w:trPr>
        <w:tc>
          <w:tcPr>
            <w:tcW w:w="4900" w:type="dxa"/>
            <w:vAlign w:val="bottom"/>
            <w:gridSpan w:val="2"/>
          </w:tcPr>
          <w:p>
            <w:pPr>
              <w:spacing w:after="0" w:line="243" w:lineRule="exact"/>
              <w:rPr>
                <w:sz w:val="20"/>
                <w:szCs w:val="20"/>
                <w:color w:val="auto"/>
              </w:rPr>
            </w:pPr>
            <w:r>
              <w:rPr>
                <w:rFonts w:ascii="Arial" w:cs="Arial" w:eastAsia="Arial" w:hAnsi="Arial"/>
                <w:sz w:val="22"/>
                <w:szCs w:val="22"/>
                <w:color w:val="auto"/>
              </w:rPr>
              <w:t>Interest expense</w:t>
            </w:r>
          </w:p>
        </w:tc>
        <w:tc>
          <w:tcPr>
            <w:tcW w:w="180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723</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19</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128</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870</w:t>
            </w:r>
          </w:p>
        </w:tc>
        <w:tc>
          <w:tcPr>
            <w:tcW w:w="0" w:type="dxa"/>
            <w:vAlign w:val="bottom"/>
          </w:tcPr>
          <w:p>
            <w:pPr>
              <w:spacing w:after="0"/>
              <w:rPr>
                <w:sz w:val="1"/>
                <w:szCs w:val="1"/>
                <w:color w:val="auto"/>
              </w:rPr>
            </w:pPr>
          </w:p>
        </w:tc>
      </w:tr>
      <w:tr>
        <w:trPr>
          <w:trHeight w:val="243"/>
        </w:trPr>
        <w:tc>
          <w:tcPr>
            <w:tcW w:w="4900" w:type="dxa"/>
            <w:vAlign w:val="bottom"/>
            <w:gridSpan w:val="2"/>
          </w:tcPr>
          <w:p>
            <w:pPr>
              <w:spacing w:after="0" w:line="243" w:lineRule="exact"/>
              <w:rPr>
                <w:sz w:val="20"/>
                <w:szCs w:val="20"/>
                <w:color w:val="auto"/>
              </w:rPr>
            </w:pPr>
            <w:r>
              <w:rPr>
                <w:rFonts w:ascii="Arial" w:cs="Arial" w:eastAsia="Arial" w:hAnsi="Arial"/>
                <w:sz w:val="22"/>
                <w:szCs w:val="22"/>
                <w:color w:val="auto"/>
              </w:rPr>
              <w:t>Assets</w:t>
            </w:r>
          </w:p>
        </w:tc>
        <w:tc>
          <w:tcPr>
            <w:tcW w:w="180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106,291</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2,100</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4,737</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113,128</w:t>
            </w:r>
          </w:p>
        </w:tc>
        <w:tc>
          <w:tcPr>
            <w:tcW w:w="0" w:type="dxa"/>
            <w:vAlign w:val="bottom"/>
          </w:tcPr>
          <w:p>
            <w:pPr>
              <w:spacing w:after="0"/>
              <w:rPr>
                <w:sz w:val="1"/>
                <w:szCs w:val="1"/>
                <w:color w:val="auto"/>
              </w:rPr>
            </w:pPr>
          </w:p>
        </w:tc>
      </w:tr>
      <w:tr>
        <w:trPr>
          <w:trHeight w:val="243"/>
        </w:trPr>
        <w:tc>
          <w:tcPr>
            <w:tcW w:w="4900" w:type="dxa"/>
            <w:vAlign w:val="bottom"/>
            <w:gridSpan w:val="2"/>
          </w:tcPr>
          <w:p>
            <w:pPr>
              <w:spacing w:after="0" w:line="243" w:lineRule="exact"/>
              <w:rPr>
                <w:sz w:val="20"/>
                <w:szCs w:val="20"/>
                <w:color w:val="auto"/>
              </w:rPr>
            </w:pPr>
            <w:r>
              <w:rPr>
                <w:rFonts w:ascii="Arial" w:cs="Arial" w:eastAsia="Arial" w:hAnsi="Arial"/>
                <w:sz w:val="22"/>
                <w:szCs w:val="22"/>
                <w:color w:val="auto"/>
              </w:rPr>
              <w:t>Long-term debt</w:t>
            </w:r>
          </w:p>
        </w:tc>
        <w:tc>
          <w:tcPr>
            <w:tcW w:w="180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26,033</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176</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1,747</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27,956</w:t>
            </w:r>
          </w:p>
        </w:tc>
        <w:tc>
          <w:tcPr>
            <w:tcW w:w="0" w:type="dxa"/>
            <w:vAlign w:val="bottom"/>
          </w:tcPr>
          <w:p>
            <w:pPr>
              <w:spacing w:after="0"/>
              <w:rPr>
                <w:sz w:val="1"/>
                <w:szCs w:val="1"/>
                <w:color w:val="auto"/>
              </w:rPr>
            </w:pPr>
          </w:p>
        </w:tc>
      </w:tr>
      <w:tr>
        <w:trPr>
          <w:trHeight w:val="275"/>
        </w:trPr>
        <w:tc>
          <w:tcPr>
            <w:tcW w:w="4900" w:type="dxa"/>
            <w:vAlign w:val="bottom"/>
            <w:gridSpan w:val="2"/>
          </w:tcPr>
          <w:p>
            <w:pPr>
              <w:spacing w:after="0"/>
              <w:rPr>
                <w:sz w:val="20"/>
                <w:szCs w:val="20"/>
                <w:color w:val="auto"/>
              </w:rPr>
            </w:pPr>
            <w:r>
              <w:rPr>
                <w:rFonts w:ascii="Arial" w:cs="Arial" w:eastAsia="Arial" w:hAnsi="Arial"/>
                <w:sz w:val="22"/>
                <w:szCs w:val="22"/>
                <w:color w:val="auto"/>
              </w:rPr>
              <w:t>Capital expenditures</w:t>
            </w:r>
          </w:p>
        </w:tc>
        <w:tc>
          <w:tcPr>
            <w:tcW w:w="1800" w:type="dxa"/>
            <w:vAlign w:val="bottom"/>
          </w:tcPr>
          <w:p>
            <w:pPr>
              <w:jc w:val="right"/>
              <w:ind w:right="292"/>
              <w:spacing w:after="0"/>
              <w:rPr>
                <w:sz w:val="20"/>
                <w:szCs w:val="20"/>
                <w:color w:val="auto"/>
              </w:rPr>
            </w:pPr>
            <w:r>
              <w:rPr>
                <w:rFonts w:ascii="Arial" w:cs="Arial" w:eastAsia="Arial" w:hAnsi="Arial"/>
                <w:sz w:val="22"/>
                <w:szCs w:val="22"/>
                <w:color w:val="auto"/>
              </w:rPr>
              <w:t>1,814</w:t>
            </w:r>
          </w:p>
        </w:tc>
        <w:tc>
          <w:tcPr>
            <w:tcW w:w="1200" w:type="dxa"/>
            <w:vAlign w:val="bottom"/>
          </w:tcPr>
          <w:p>
            <w:pPr>
              <w:jc w:val="right"/>
              <w:ind w:right="252"/>
              <w:spacing w:after="0"/>
              <w:rPr>
                <w:sz w:val="20"/>
                <w:szCs w:val="20"/>
                <w:color w:val="auto"/>
              </w:rPr>
            </w:pPr>
            <w:r>
              <w:rPr>
                <w:rFonts w:ascii="Arial" w:cs="Arial" w:eastAsia="Arial" w:hAnsi="Arial"/>
                <w:sz w:val="22"/>
                <w:szCs w:val="22"/>
                <w:color w:val="auto"/>
              </w:rPr>
              <w:t>12</w:t>
            </w:r>
          </w:p>
        </w:tc>
        <w:tc>
          <w:tcPr>
            <w:tcW w:w="1200" w:type="dxa"/>
            <w:vAlign w:val="bottom"/>
          </w:tcPr>
          <w:p>
            <w:pPr>
              <w:jc w:val="right"/>
              <w:ind w:right="252"/>
              <w:spacing w:after="0"/>
              <w:rPr>
                <w:sz w:val="20"/>
                <w:szCs w:val="20"/>
                <w:color w:val="auto"/>
              </w:rPr>
            </w:pPr>
            <w:r>
              <w:rPr>
                <w:rFonts w:ascii="Arial" w:cs="Arial" w:eastAsia="Arial" w:hAnsi="Arial"/>
                <w:sz w:val="22"/>
                <w:szCs w:val="22"/>
                <w:color w:val="auto"/>
              </w:rPr>
              <w:t>26</w:t>
            </w:r>
          </w:p>
        </w:tc>
        <w:tc>
          <w:tcPr>
            <w:tcW w:w="1040" w:type="dxa"/>
            <w:vAlign w:val="bottom"/>
          </w:tcPr>
          <w:p>
            <w:pPr>
              <w:jc w:val="right"/>
              <w:spacing w:after="0"/>
              <w:rPr>
                <w:sz w:val="20"/>
                <w:szCs w:val="20"/>
                <w:color w:val="auto"/>
              </w:rPr>
            </w:pPr>
            <w:r>
              <w:rPr>
                <w:rFonts w:ascii="Arial" w:cs="Arial" w:eastAsia="Arial" w:hAnsi="Arial"/>
                <w:sz w:val="22"/>
                <w:szCs w:val="22"/>
                <w:color w:val="auto"/>
              </w:rPr>
              <w:t>1,852</w:t>
            </w:r>
          </w:p>
        </w:tc>
        <w:tc>
          <w:tcPr>
            <w:tcW w:w="0" w:type="dxa"/>
            <w:vAlign w:val="bottom"/>
          </w:tcPr>
          <w:p>
            <w:pPr>
              <w:spacing w:after="0"/>
              <w:rPr>
                <w:sz w:val="1"/>
                <w:szCs w:val="1"/>
                <w:color w:val="auto"/>
              </w:rPr>
            </w:pPr>
          </w:p>
        </w:tc>
      </w:tr>
      <w:tr>
        <w:trPr>
          <w:trHeight w:val="436"/>
        </w:trPr>
        <w:tc>
          <w:tcPr>
            <w:tcW w:w="4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5"/>
              </w:rPr>
              <w:t>2001</w:t>
            </w:r>
          </w:p>
        </w:tc>
        <w:tc>
          <w:tcPr>
            <w:tcW w:w="4460" w:type="dxa"/>
            <w:vAlign w:val="bottom"/>
          </w:tcPr>
          <w:p>
            <w:pPr>
              <w:spacing w:after="0"/>
              <w:rPr>
                <w:sz w:val="24"/>
                <w:szCs w:val="24"/>
                <w:color w:val="auto"/>
              </w:rPr>
            </w:pPr>
          </w:p>
        </w:tc>
        <w:tc>
          <w:tcPr>
            <w:tcW w:w="1800" w:type="dxa"/>
            <w:vAlign w:val="bottom"/>
            <w:vMerge w:val="restart"/>
          </w:tcPr>
          <w:p>
            <w:pPr>
              <w:jc w:val="right"/>
              <w:ind w:right="292"/>
              <w:spacing w:after="0"/>
              <w:rPr>
                <w:sz w:val="20"/>
                <w:szCs w:val="20"/>
                <w:color w:val="auto"/>
              </w:rPr>
            </w:pPr>
            <w:r>
              <w:rPr>
                <w:rFonts w:ascii="Arial" w:cs="Arial" w:eastAsia="Arial" w:hAnsi="Arial"/>
                <w:sz w:val="22"/>
                <w:szCs w:val="22"/>
                <w:color w:val="auto"/>
              </w:rPr>
              <w:t>$5,323</w:t>
            </w:r>
          </w:p>
        </w:tc>
        <w:tc>
          <w:tcPr>
            <w:tcW w:w="1200" w:type="dxa"/>
            <w:vAlign w:val="bottom"/>
            <w:vMerge w:val="restart"/>
          </w:tcPr>
          <w:p>
            <w:pPr>
              <w:jc w:val="right"/>
              <w:ind w:right="252"/>
              <w:spacing w:after="0"/>
              <w:rPr>
                <w:sz w:val="20"/>
                <w:szCs w:val="20"/>
                <w:color w:val="auto"/>
              </w:rPr>
            </w:pPr>
            <w:r>
              <w:rPr>
                <w:rFonts w:ascii="Arial" w:cs="Arial" w:eastAsia="Arial" w:hAnsi="Arial"/>
                <w:sz w:val="22"/>
                <w:szCs w:val="22"/>
                <w:color w:val="auto"/>
              </w:rPr>
              <w:t>$398</w:t>
            </w:r>
          </w:p>
        </w:tc>
        <w:tc>
          <w:tcPr>
            <w:tcW w:w="1200" w:type="dxa"/>
            <w:vAlign w:val="bottom"/>
            <w:vMerge w:val="restart"/>
          </w:tcPr>
          <w:p>
            <w:pPr>
              <w:jc w:val="right"/>
              <w:ind w:right="252"/>
              <w:spacing w:after="0"/>
              <w:rPr>
                <w:sz w:val="20"/>
                <w:szCs w:val="20"/>
                <w:color w:val="auto"/>
              </w:rPr>
            </w:pPr>
            <w:r>
              <w:rPr>
                <w:rFonts w:ascii="Arial" w:cs="Arial" w:eastAsia="Arial" w:hAnsi="Arial"/>
                <w:sz w:val="22"/>
                <w:szCs w:val="22"/>
                <w:color w:val="auto"/>
              </w:rPr>
              <w:t>$216</w:t>
            </w:r>
          </w:p>
        </w:tc>
        <w:tc>
          <w:tcPr>
            <w:tcW w:w="1040" w:type="dxa"/>
            <w:vAlign w:val="bottom"/>
            <w:vMerge w:val="restart"/>
          </w:tcPr>
          <w:p>
            <w:pPr>
              <w:jc w:val="right"/>
              <w:spacing w:after="0"/>
              <w:rPr>
                <w:sz w:val="20"/>
                <w:szCs w:val="20"/>
                <w:color w:val="auto"/>
              </w:rPr>
            </w:pPr>
            <w:r>
              <w:rPr>
                <w:rFonts w:ascii="Arial" w:cs="Arial" w:eastAsia="Arial" w:hAnsi="Arial"/>
                <w:sz w:val="22"/>
                <w:szCs w:val="22"/>
                <w:color w:val="auto"/>
              </w:rPr>
              <w:t>$5,937</w:t>
            </w:r>
          </w:p>
        </w:tc>
        <w:tc>
          <w:tcPr>
            <w:tcW w:w="0" w:type="dxa"/>
            <w:vAlign w:val="bottom"/>
          </w:tcPr>
          <w:p>
            <w:pPr>
              <w:spacing w:after="0"/>
              <w:rPr>
                <w:sz w:val="1"/>
                <w:szCs w:val="1"/>
                <w:color w:val="auto"/>
              </w:rPr>
            </w:pPr>
          </w:p>
        </w:tc>
      </w:tr>
      <w:tr>
        <w:trPr>
          <w:trHeight w:val="242"/>
        </w:trPr>
        <w:tc>
          <w:tcPr>
            <w:tcW w:w="4900" w:type="dxa"/>
            <w:vAlign w:val="bottom"/>
            <w:gridSpan w:val="2"/>
          </w:tcPr>
          <w:p>
            <w:pPr>
              <w:spacing w:after="0" w:line="242" w:lineRule="exact"/>
              <w:rPr>
                <w:sz w:val="20"/>
                <w:szCs w:val="20"/>
                <w:color w:val="auto"/>
              </w:rPr>
            </w:pPr>
            <w:r>
              <w:rPr>
                <w:rFonts w:ascii="Arial" w:cs="Arial" w:eastAsia="Arial" w:hAnsi="Arial"/>
                <w:sz w:val="22"/>
                <w:szCs w:val="22"/>
                <w:color w:val="auto"/>
              </w:rPr>
              <w:t>Revenues (3)</w:t>
            </w:r>
          </w:p>
        </w:tc>
        <w:tc>
          <w:tcPr>
            <w:tcW w:w="180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spacing w:after="0" w:line="243" w:lineRule="exact"/>
              <w:rPr>
                <w:sz w:val="20"/>
                <w:szCs w:val="20"/>
                <w:color w:val="auto"/>
              </w:rPr>
            </w:pPr>
            <w:r>
              <w:rPr>
                <w:rFonts w:ascii="Arial" w:cs="Arial" w:eastAsia="Arial" w:hAnsi="Arial"/>
                <w:sz w:val="22"/>
                <w:szCs w:val="22"/>
                <w:color w:val="auto"/>
              </w:rPr>
              <w:t>Operating income (loss) before depreciation and</w:t>
            </w:r>
          </w:p>
        </w:tc>
        <w:tc>
          <w:tcPr>
            <w:tcW w:w="18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spacing w:after="0" w:line="243" w:lineRule="exact"/>
              <w:rPr>
                <w:sz w:val="20"/>
                <w:szCs w:val="20"/>
                <w:color w:val="auto"/>
              </w:rPr>
            </w:pPr>
            <w:r>
              <w:rPr>
                <w:rFonts w:ascii="Arial" w:cs="Arial" w:eastAsia="Arial" w:hAnsi="Arial"/>
                <w:sz w:val="22"/>
                <w:szCs w:val="22"/>
                <w:color w:val="auto"/>
              </w:rPr>
              <w:t>amortization (4)</w:t>
            </w:r>
          </w:p>
        </w:tc>
        <w:tc>
          <w:tcPr>
            <w:tcW w:w="180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2,054</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138</w:t>
            </w:r>
          </w:p>
        </w:tc>
        <w:tc>
          <w:tcPr>
            <w:tcW w:w="120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(244)</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1,948</w:t>
            </w:r>
          </w:p>
        </w:tc>
        <w:tc>
          <w:tcPr>
            <w:tcW w:w="0" w:type="dxa"/>
            <w:vAlign w:val="bottom"/>
          </w:tcPr>
          <w:p>
            <w:pPr>
              <w:spacing w:after="0"/>
              <w:rPr>
                <w:sz w:val="1"/>
                <w:szCs w:val="1"/>
                <w:color w:val="auto"/>
              </w:rPr>
            </w:pPr>
          </w:p>
        </w:tc>
      </w:tr>
      <w:tr>
        <w:trPr>
          <w:trHeight w:val="243"/>
        </w:trPr>
        <w:tc>
          <w:tcPr>
            <w:tcW w:w="4900" w:type="dxa"/>
            <w:vAlign w:val="bottom"/>
            <w:gridSpan w:val="2"/>
          </w:tcPr>
          <w:p>
            <w:pPr>
              <w:spacing w:after="0" w:line="243" w:lineRule="exact"/>
              <w:rPr>
                <w:sz w:val="20"/>
                <w:szCs w:val="20"/>
                <w:color w:val="auto"/>
              </w:rPr>
            </w:pPr>
            <w:r>
              <w:rPr>
                <w:rFonts w:ascii="Arial" w:cs="Arial" w:eastAsia="Arial" w:hAnsi="Arial"/>
                <w:sz w:val="22"/>
                <w:szCs w:val="22"/>
                <w:color w:val="auto"/>
              </w:rPr>
              <w:t>Depreciation and amortization</w:t>
            </w:r>
          </w:p>
        </w:tc>
        <w:tc>
          <w:tcPr>
            <w:tcW w:w="180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3,044</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103</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126</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3,273</w:t>
            </w:r>
          </w:p>
        </w:tc>
        <w:tc>
          <w:tcPr>
            <w:tcW w:w="0" w:type="dxa"/>
            <w:vAlign w:val="bottom"/>
          </w:tcPr>
          <w:p>
            <w:pPr>
              <w:spacing w:after="0"/>
              <w:rPr>
                <w:sz w:val="1"/>
                <w:szCs w:val="1"/>
                <w:color w:val="auto"/>
              </w:rPr>
            </w:pPr>
          </w:p>
        </w:tc>
      </w:tr>
      <w:tr>
        <w:trPr>
          <w:trHeight w:val="243"/>
        </w:trPr>
        <w:tc>
          <w:tcPr>
            <w:tcW w:w="4900" w:type="dxa"/>
            <w:vAlign w:val="bottom"/>
            <w:gridSpan w:val="2"/>
          </w:tcPr>
          <w:p>
            <w:pPr>
              <w:spacing w:after="0" w:line="243" w:lineRule="exact"/>
              <w:rPr>
                <w:sz w:val="20"/>
                <w:szCs w:val="20"/>
                <w:color w:val="auto"/>
              </w:rPr>
            </w:pPr>
            <w:r>
              <w:rPr>
                <w:rFonts w:ascii="Arial" w:cs="Arial" w:eastAsia="Arial" w:hAnsi="Arial"/>
                <w:sz w:val="22"/>
                <w:szCs w:val="22"/>
                <w:color w:val="auto"/>
              </w:rPr>
              <w:t>Operating income (loss)</w:t>
            </w:r>
          </w:p>
        </w:tc>
        <w:tc>
          <w:tcPr>
            <w:tcW w:w="1800" w:type="dxa"/>
            <w:vAlign w:val="bottom"/>
          </w:tcPr>
          <w:p>
            <w:pPr>
              <w:jc w:val="right"/>
              <w:ind w:right="212"/>
              <w:spacing w:after="0" w:line="243" w:lineRule="exact"/>
              <w:rPr>
                <w:sz w:val="20"/>
                <w:szCs w:val="20"/>
                <w:color w:val="auto"/>
              </w:rPr>
            </w:pPr>
            <w:r>
              <w:rPr>
                <w:rFonts w:ascii="Arial" w:cs="Arial" w:eastAsia="Arial" w:hAnsi="Arial"/>
                <w:sz w:val="22"/>
                <w:szCs w:val="22"/>
                <w:color w:val="auto"/>
              </w:rPr>
              <w:t>(990)</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35</w:t>
            </w:r>
          </w:p>
        </w:tc>
        <w:tc>
          <w:tcPr>
            <w:tcW w:w="120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(370)</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(1,325)</w:t>
            </w:r>
          </w:p>
        </w:tc>
        <w:tc>
          <w:tcPr>
            <w:tcW w:w="0" w:type="dxa"/>
            <w:vAlign w:val="bottom"/>
          </w:tcPr>
          <w:p>
            <w:pPr>
              <w:spacing w:after="0"/>
              <w:rPr>
                <w:sz w:val="1"/>
                <w:szCs w:val="1"/>
                <w:color w:val="auto"/>
              </w:rPr>
            </w:pPr>
          </w:p>
        </w:tc>
      </w:tr>
      <w:tr>
        <w:trPr>
          <w:trHeight w:val="243"/>
        </w:trPr>
        <w:tc>
          <w:tcPr>
            <w:tcW w:w="4900" w:type="dxa"/>
            <w:vAlign w:val="bottom"/>
            <w:gridSpan w:val="2"/>
          </w:tcPr>
          <w:p>
            <w:pPr>
              <w:spacing w:after="0" w:line="243" w:lineRule="exact"/>
              <w:rPr>
                <w:sz w:val="20"/>
                <w:szCs w:val="20"/>
                <w:color w:val="auto"/>
              </w:rPr>
            </w:pPr>
            <w:r>
              <w:rPr>
                <w:rFonts w:ascii="Arial" w:cs="Arial" w:eastAsia="Arial" w:hAnsi="Arial"/>
                <w:sz w:val="22"/>
                <w:szCs w:val="22"/>
                <w:color w:val="auto"/>
              </w:rPr>
              <w:t>Interest expense</w:t>
            </w:r>
          </w:p>
        </w:tc>
        <w:tc>
          <w:tcPr>
            <w:tcW w:w="180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546</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23</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139</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708</w:t>
            </w:r>
          </w:p>
        </w:tc>
        <w:tc>
          <w:tcPr>
            <w:tcW w:w="0" w:type="dxa"/>
            <w:vAlign w:val="bottom"/>
          </w:tcPr>
          <w:p>
            <w:pPr>
              <w:spacing w:after="0"/>
              <w:rPr>
                <w:sz w:val="1"/>
                <w:szCs w:val="1"/>
                <w:color w:val="auto"/>
              </w:rPr>
            </w:pPr>
          </w:p>
        </w:tc>
      </w:tr>
      <w:tr>
        <w:trPr>
          <w:trHeight w:val="243"/>
        </w:trPr>
        <w:tc>
          <w:tcPr>
            <w:tcW w:w="4900" w:type="dxa"/>
            <w:vAlign w:val="bottom"/>
            <w:gridSpan w:val="2"/>
          </w:tcPr>
          <w:p>
            <w:pPr>
              <w:spacing w:after="0" w:line="243" w:lineRule="exact"/>
              <w:rPr>
                <w:sz w:val="20"/>
                <w:szCs w:val="20"/>
                <w:color w:val="auto"/>
              </w:rPr>
            </w:pPr>
            <w:r>
              <w:rPr>
                <w:rFonts w:ascii="Arial" w:cs="Arial" w:eastAsia="Arial" w:hAnsi="Arial"/>
                <w:sz w:val="22"/>
                <w:szCs w:val="22"/>
                <w:color w:val="auto"/>
              </w:rPr>
              <w:t>Assets</w:t>
            </w:r>
          </w:p>
        </w:tc>
        <w:tc>
          <w:tcPr>
            <w:tcW w:w="180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29,085</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2,030</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7,146</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38,261</w:t>
            </w:r>
          </w:p>
        </w:tc>
        <w:tc>
          <w:tcPr>
            <w:tcW w:w="0" w:type="dxa"/>
            <w:vAlign w:val="bottom"/>
          </w:tcPr>
          <w:p>
            <w:pPr>
              <w:spacing w:after="0"/>
              <w:rPr>
                <w:sz w:val="1"/>
                <w:szCs w:val="1"/>
                <w:color w:val="auto"/>
              </w:rPr>
            </w:pPr>
          </w:p>
        </w:tc>
      </w:tr>
      <w:tr>
        <w:trPr>
          <w:trHeight w:val="243"/>
        </w:trPr>
        <w:tc>
          <w:tcPr>
            <w:tcW w:w="4900" w:type="dxa"/>
            <w:vAlign w:val="bottom"/>
            <w:gridSpan w:val="2"/>
          </w:tcPr>
          <w:p>
            <w:pPr>
              <w:spacing w:after="0" w:line="243" w:lineRule="exact"/>
              <w:rPr>
                <w:sz w:val="20"/>
                <w:szCs w:val="20"/>
                <w:color w:val="auto"/>
              </w:rPr>
            </w:pPr>
            <w:r>
              <w:rPr>
                <w:rFonts w:ascii="Arial" w:cs="Arial" w:eastAsia="Arial" w:hAnsi="Arial"/>
                <w:sz w:val="22"/>
                <w:szCs w:val="22"/>
                <w:color w:val="auto"/>
              </w:rPr>
              <w:t>Long-term debt</w:t>
            </w:r>
          </w:p>
        </w:tc>
        <w:tc>
          <w:tcPr>
            <w:tcW w:w="180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8,363</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213</w:t>
            </w:r>
          </w:p>
        </w:tc>
        <w:tc>
          <w:tcPr>
            <w:tcW w:w="12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3,103</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11,679</w:t>
            </w:r>
          </w:p>
        </w:tc>
        <w:tc>
          <w:tcPr>
            <w:tcW w:w="0" w:type="dxa"/>
            <w:vAlign w:val="bottom"/>
          </w:tcPr>
          <w:p>
            <w:pPr>
              <w:spacing w:after="0"/>
              <w:rPr>
                <w:sz w:val="1"/>
                <w:szCs w:val="1"/>
                <w:color w:val="auto"/>
              </w:rPr>
            </w:pPr>
          </w:p>
        </w:tc>
      </w:tr>
      <w:tr>
        <w:trPr>
          <w:trHeight w:val="275"/>
        </w:trPr>
        <w:tc>
          <w:tcPr>
            <w:tcW w:w="4900" w:type="dxa"/>
            <w:vAlign w:val="bottom"/>
            <w:gridSpan w:val="2"/>
          </w:tcPr>
          <w:p>
            <w:pPr>
              <w:spacing w:after="0"/>
              <w:rPr>
                <w:sz w:val="20"/>
                <w:szCs w:val="20"/>
                <w:color w:val="auto"/>
              </w:rPr>
            </w:pPr>
            <w:r>
              <w:rPr>
                <w:rFonts w:ascii="Arial" w:cs="Arial" w:eastAsia="Arial" w:hAnsi="Arial"/>
                <w:sz w:val="22"/>
                <w:szCs w:val="22"/>
                <w:color w:val="auto"/>
              </w:rPr>
              <w:t>Capital expenditures</w:t>
            </w:r>
          </w:p>
        </w:tc>
        <w:tc>
          <w:tcPr>
            <w:tcW w:w="1800" w:type="dxa"/>
            <w:vAlign w:val="bottom"/>
          </w:tcPr>
          <w:p>
            <w:pPr>
              <w:jc w:val="right"/>
              <w:ind w:right="292"/>
              <w:spacing w:after="0"/>
              <w:rPr>
                <w:sz w:val="20"/>
                <w:szCs w:val="20"/>
                <w:color w:val="auto"/>
              </w:rPr>
            </w:pPr>
            <w:r>
              <w:rPr>
                <w:rFonts w:ascii="Arial" w:cs="Arial" w:eastAsia="Arial" w:hAnsi="Arial"/>
                <w:sz w:val="22"/>
                <w:szCs w:val="22"/>
                <w:color w:val="auto"/>
              </w:rPr>
              <w:t>1,855</w:t>
            </w:r>
          </w:p>
        </w:tc>
        <w:tc>
          <w:tcPr>
            <w:tcW w:w="1200" w:type="dxa"/>
            <w:vAlign w:val="bottom"/>
          </w:tcPr>
          <w:p>
            <w:pPr>
              <w:jc w:val="right"/>
              <w:ind w:right="252"/>
              <w:spacing w:after="0"/>
              <w:rPr>
                <w:sz w:val="20"/>
                <w:szCs w:val="20"/>
                <w:color w:val="auto"/>
              </w:rPr>
            </w:pPr>
            <w:r>
              <w:rPr>
                <w:rFonts w:ascii="Arial" w:cs="Arial" w:eastAsia="Arial" w:hAnsi="Arial"/>
                <w:sz w:val="22"/>
                <w:szCs w:val="22"/>
                <w:color w:val="auto"/>
              </w:rPr>
              <w:t>6</w:t>
            </w:r>
          </w:p>
        </w:tc>
        <w:tc>
          <w:tcPr>
            <w:tcW w:w="1200" w:type="dxa"/>
            <w:vAlign w:val="bottom"/>
          </w:tcPr>
          <w:p>
            <w:pPr>
              <w:jc w:val="right"/>
              <w:ind w:right="252"/>
              <w:spacing w:after="0"/>
              <w:rPr>
                <w:sz w:val="20"/>
                <w:szCs w:val="20"/>
                <w:color w:val="auto"/>
              </w:rPr>
            </w:pPr>
            <w:r>
              <w:rPr>
                <w:rFonts w:ascii="Arial" w:cs="Arial" w:eastAsia="Arial" w:hAnsi="Arial"/>
                <w:sz w:val="22"/>
                <w:szCs w:val="22"/>
                <w:color w:val="auto"/>
              </w:rPr>
              <w:t>178</w:t>
            </w:r>
          </w:p>
        </w:tc>
        <w:tc>
          <w:tcPr>
            <w:tcW w:w="1040" w:type="dxa"/>
            <w:vAlign w:val="bottom"/>
          </w:tcPr>
          <w:p>
            <w:pPr>
              <w:jc w:val="right"/>
              <w:spacing w:after="0"/>
              <w:rPr>
                <w:sz w:val="20"/>
                <w:szCs w:val="20"/>
                <w:color w:val="auto"/>
              </w:rPr>
            </w:pPr>
            <w:r>
              <w:rPr>
                <w:rFonts w:ascii="Arial" w:cs="Arial" w:eastAsia="Arial" w:hAnsi="Arial"/>
                <w:sz w:val="22"/>
                <w:szCs w:val="22"/>
                <w:color w:val="auto"/>
              </w:rPr>
              <w:t>2,039</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920" w:right="20" w:hanging="453"/>
        <w:spacing w:after="0" w:line="250" w:lineRule="auto"/>
        <w:tabs>
          <w:tab w:leader="none" w:pos="92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Our regional programming networks Comcast SportsNet, Comcast SportsNet Mid-Atlantic, Comcast SportsNet Chicago, Cable Sports Southeast and CN8-The Comcast Network are included in our cable segment.</w:t>
      </w:r>
    </w:p>
    <w:p>
      <w:pPr>
        <w:spacing w:after="0" w:line="1" w:lineRule="exact"/>
        <w:rPr>
          <w:rFonts w:ascii="Arial" w:cs="Arial" w:eastAsia="Arial" w:hAnsi="Arial"/>
          <w:sz w:val="21"/>
          <w:szCs w:val="21"/>
          <w:color w:val="auto"/>
        </w:rPr>
      </w:pPr>
    </w:p>
    <w:p>
      <w:pPr>
        <w:ind w:left="920" w:right="180" w:hanging="453"/>
        <w:spacing w:after="0" w:line="308" w:lineRule="auto"/>
        <w:tabs>
          <w:tab w:leader="none" w:pos="92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Corporate and other includes corporate activities, elimination entries and all other businesses not presented in our cable or content segments. Assets included in this caption consist primarily of our investments (see Note 6).</w:t>
      </w:r>
    </w:p>
    <w:p>
      <w:pPr>
        <w:spacing w:after="0" w:line="123" w:lineRule="exact"/>
        <w:rPr>
          <w:rFonts w:ascii="Arial" w:cs="Arial" w:eastAsia="Arial" w:hAnsi="Arial"/>
          <w:sz w:val="19"/>
          <w:szCs w:val="19"/>
          <w:color w:val="auto"/>
        </w:rPr>
      </w:pPr>
    </w:p>
    <w:p>
      <w:pPr>
        <w:ind w:left="5600" w:hanging="120"/>
        <w:spacing w:after="0"/>
        <w:tabs>
          <w:tab w:leader="none" w:pos="560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920" w:right="560" w:hanging="453"/>
        <w:spacing w:after="0" w:line="239" w:lineRule="auto"/>
        <w:tabs>
          <w:tab w:leader="none" w:pos="92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Non-US revenues were not significant in any period. No single customer accounted for a significant amount of our revenue in any period.</w:t>
      </w:r>
    </w:p>
    <w:p>
      <w:pPr>
        <w:ind w:left="920" w:hanging="453"/>
        <w:spacing w:after="0" w:line="270" w:lineRule="auto"/>
        <w:tabs>
          <w:tab w:leader="none" w:pos="92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Operating income (loss) before depreciation and amortization is defined as operating income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This measure should not be considered as a substitute for operating income (loss), net income (loss), net cash provided by operating activities or other measures of performance or liquidity reported in accordance with generally accepted accounting principles.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ectPr>
          <w:pgSz w:w="11900" w:h="16904" w:orient="portrait"/>
          <w:cols w:equalWidth="0" w:num="1">
            <w:col w:w="11420"/>
          </w:cols>
          <w:pgMar w:left="240" w:top="89" w:right="239" w:bottom="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75"/>
        </w:trPr>
        <w:tc>
          <w:tcPr>
            <w:tcW w:w="5960" w:type="dxa"/>
            <w:vAlign w:val="bottom"/>
            <w:gridSpan w:val="5"/>
          </w:tcPr>
          <w:p>
            <w:pPr>
              <w:spacing w:after="0"/>
              <w:rPr>
                <w:sz w:val="20"/>
                <w:szCs w:val="20"/>
                <w:color w:val="auto"/>
              </w:rPr>
            </w:pPr>
            <w:r>
              <w:rPr>
                <w:rFonts w:ascii="Arial" w:cs="Arial" w:eastAsia="Arial" w:hAnsi="Arial"/>
                <w:sz w:val="22"/>
                <w:szCs w:val="22"/>
                <w:color w:val="auto"/>
                <w:w w:val="97"/>
              </w:rPr>
              <w:t>15.  QUARTERLY FINANCIAL INFORMATION (UNAUDITED)</w:t>
            </w: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4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22"/>
                <w:szCs w:val="22"/>
                <w:color w:val="auto"/>
                <w:w w:val="93"/>
              </w:rPr>
              <w:t>First</w:t>
            </w:r>
          </w:p>
        </w:tc>
        <w:tc>
          <w:tcPr>
            <w:tcW w:w="1060" w:type="dxa"/>
            <w:vAlign w:val="bottom"/>
            <w:gridSpan w:val="2"/>
          </w:tcPr>
          <w:p>
            <w:pPr>
              <w:jc w:val="right"/>
              <w:ind w:right="400"/>
              <w:spacing w:after="0"/>
              <w:rPr>
                <w:sz w:val="20"/>
                <w:szCs w:val="20"/>
                <w:color w:val="auto"/>
              </w:rPr>
            </w:pPr>
            <w:r>
              <w:rPr>
                <w:rFonts w:ascii="Arial" w:cs="Arial" w:eastAsia="Arial" w:hAnsi="Arial"/>
                <w:sz w:val="22"/>
                <w:szCs w:val="22"/>
                <w:color w:val="auto"/>
                <w:w w:val="85"/>
              </w:rPr>
              <w:t>Second</w:t>
            </w:r>
          </w:p>
        </w:tc>
        <w:tc>
          <w:tcPr>
            <w:tcW w:w="1140" w:type="dxa"/>
            <w:vAlign w:val="bottom"/>
            <w:gridSpan w:val="2"/>
          </w:tcPr>
          <w:p>
            <w:pPr>
              <w:jc w:val="center"/>
              <w:ind w:right="340"/>
              <w:spacing w:after="0"/>
              <w:rPr>
                <w:sz w:val="20"/>
                <w:szCs w:val="20"/>
                <w:color w:val="auto"/>
              </w:rPr>
            </w:pPr>
            <w:r>
              <w:rPr>
                <w:rFonts w:ascii="Arial" w:cs="Arial" w:eastAsia="Arial" w:hAnsi="Arial"/>
                <w:sz w:val="22"/>
                <w:szCs w:val="22"/>
                <w:color w:val="auto"/>
                <w:w w:val="95"/>
              </w:rPr>
              <w:t>Third</w:t>
            </w:r>
          </w:p>
        </w:tc>
        <w:tc>
          <w:tcPr>
            <w:tcW w:w="1100" w:type="dxa"/>
            <w:vAlign w:val="bottom"/>
            <w:gridSpan w:val="2"/>
          </w:tcPr>
          <w:p>
            <w:pPr>
              <w:jc w:val="right"/>
              <w:ind w:right="420"/>
              <w:spacing w:after="0"/>
              <w:rPr>
                <w:sz w:val="20"/>
                <w:szCs w:val="20"/>
                <w:color w:val="auto"/>
              </w:rPr>
            </w:pPr>
            <w:r>
              <w:rPr>
                <w:rFonts w:ascii="Arial" w:cs="Arial" w:eastAsia="Arial" w:hAnsi="Arial"/>
                <w:sz w:val="22"/>
                <w:szCs w:val="22"/>
                <w:color w:val="auto"/>
              </w:rPr>
              <w:t>Fourth</w:t>
            </w:r>
          </w:p>
        </w:tc>
        <w:tc>
          <w:tcPr>
            <w:tcW w:w="880" w:type="dxa"/>
            <w:vAlign w:val="bottom"/>
            <w:gridSpan w:val="2"/>
          </w:tcPr>
          <w:p>
            <w:pPr>
              <w:jc w:val="right"/>
              <w:ind w:right="260"/>
              <w:spacing w:after="0"/>
              <w:rPr>
                <w:sz w:val="20"/>
                <w:szCs w:val="20"/>
                <w:color w:val="auto"/>
              </w:rPr>
            </w:pPr>
            <w:r>
              <w:rPr>
                <w:rFonts w:ascii="Arial" w:cs="Arial" w:eastAsia="Arial" w:hAnsi="Arial"/>
                <w:sz w:val="22"/>
                <w:szCs w:val="22"/>
                <w:color w:val="auto"/>
              </w:rPr>
              <w:t>Total</w:t>
            </w:r>
          </w:p>
        </w:tc>
        <w:tc>
          <w:tcPr>
            <w:tcW w:w="0" w:type="dxa"/>
            <w:vAlign w:val="bottom"/>
          </w:tcPr>
          <w:p>
            <w:pPr>
              <w:spacing w:after="0"/>
              <w:rPr>
                <w:sz w:val="1"/>
                <w:szCs w:val="1"/>
                <w:color w:val="auto"/>
              </w:rPr>
            </w:pPr>
          </w:p>
        </w:tc>
      </w:tr>
      <w:tr>
        <w:trPr>
          <w:trHeight w:val="275"/>
        </w:trPr>
        <w:tc>
          <w:tcPr>
            <w:tcW w:w="44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22"/>
                <w:szCs w:val="22"/>
                <w:color w:val="auto"/>
                <w:w w:val="88"/>
              </w:rPr>
              <w:t>Quarter</w:t>
            </w:r>
          </w:p>
        </w:tc>
        <w:tc>
          <w:tcPr>
            <w:tcW w:w="1060" w:type="dxa"/>
            <w:vAlign w:val="bottom"/>
            <w:gridSpan w:val="2"/>
          </w:tcPr>
          <w:p>
            <w:pPr>
              <w:jc w:val="right"/>
              <w:ind w:right="400"/>
              <w:spacing w:after="0"/>
              <w:rPr>
                <w:sz w:val="20"/>
                <w:szCs w:val="20"/>
                <w:color w:val="auto"/>
              </w:rPr>
            </w:pPr>
            <w:r>
              <w:rPr>
                <w:rFonts w:ascii="Arial" w:cs="Arial" w:eastAsia="Arial" w:hAnsi="Arial"/>
                <w:sz w:val="22"/>
                <w:szCs w:val="22"/>
                <w:color w:val="auto"/>
                <w:w w:val="85"/>
              </w:rPr>
              <w:t>Quarter</w:t>
            </w:r>
          </w:p>
        </w:tc>
        <w:tc>
          <w:tcPr>
            <w:tcW w:w="1140" w:type="dxa"/>
            <w:vAlign w:val="bottom"/>
            <w:gridSpan w:val="2"/>
          </w:tcPr>
          <w:p>
            <w:pPr>
              <w:jc w:val="center"/>
              <w:ind w:right="320"/>
              <w:spacing w:after="0"/>
              <w:rPr>
                <w:sz w:val="20"/>
                <w:szCs w:val="20"/>
                <w:color w:val="auto"/>
              </w:rPr>
            </w:pPr>
            <w:r>
              <w:rPr>
                <w:rFonts w:ascii="Arial" w:cs="Arial" w:eastAsia="Arial" w:hAnsi="Arial"/>
                <w:sz w:val="22"/>
                <w:szCs w:val="22"/>
                <w:color w:val="auto"/>
                <w:w w:val="88"/>
              </w:rPr>
              <w:t>Quarter</w:t>
            </w:r>
          </w:p>
        </w:tc>
        <w:tc>
          <w:tcPr>
            <w:tcW w:w="1100" w:type="dxa"/>
            <w:vAlign w:val="bottom"/>
            <w:gridSpan w:val="2"/>
          </w:tcPr>
          <w:p>
            <w:pPr>
              <w:jc w:val="right"/>
              <w:ind w:right="380"/>
              <w:spacing w:after="0"/>
              <w:rPr>
                <w:sz w:val="20"/>
                <w:szCs w:val="20"/>
                <w:color w:val="auto"/>
              </w:rPr>
            </w:pPr>
            <w:r>
              <w:rPr>
                <w:rFonts w:ascii="Arial" w:cs="Arial" w:eastAsia="Arial" w:hAnsi="Arial"/>
                <w:sz w:val="22"/>
                <w:szCs w:val="22"/>
                <w:color w:val="auto"/>
                <w:w w:val="93"/>
              </w:rPr>
              <w:t>Quarter</w:t>
            </w:r>
          </w:p>
        </w:tc>
        <w:tc>
          <w:tcPr>
            <w:tcW w:w="880" w:type="dxa"/>
            <w:vAlign w:val="bottom"/>
            <w:gridSpan w:val="2"/>
          </w:tcPr>
          <w:p>
            <w:pPr>
              <w:jc w:val="right"/>
              <w:ind w:right="280"/>
              <w:spacing w:after="0"/>
              <w:rPr>
                <w:sz w:val="20"/>
                <w:szCs w:val="20"/>
                <w:color w:val="auto"/>
              </w:rPr>
            </w:pPr>
            <w:r>
              <w:rPr>
                <w:rFonts w:ascii="Arial" w:cs="Arial" w:eastAsia="Arial" w:hAnsi="Arial"/>
                <w:sz w:val="22"/>
                <w:szCs w:val="22"/>
                <w:color w:val="auto"/>
              </w:rPr>
              <w:t>Year</w:t>
            </w:r>
          </w:p>
        </w:tc>
        <w:tc>
          <w:tcPr>
            <w:tcW w:w="0" w:type="dxa"/>
            <w:vAlign w:val="bottom"/>
          </w:tcPr>
          <w:p>
            <w:pPr>
              <w:spacing w:after="0"/>
              <w:rPr>
                <w:sz w:val="1"/>
                <w:szCs w:val="1"/>
                <w:color w:val="auto"/>
              </w:rPr>
            </w:pPr>
          </w:p>
        </w:tc>
      </w:tr>
      <w:tr>
        <w:trPr>
          <w:trHeight w:val="98"/>
        </w:trPr>
        <w:tc>
          <w:tcPr>
            <w:tcW w:w="4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gridSpan w:val="2"/>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440" w:type="dxa"/>
            <w:vAlign w:val="bottom"/>
            <w:vMerge w:val="restart"/>
          </w:tcPr>
          <w:p>
            <w:pPr>
              <w:spacing w:after="0"/>
              <w:rPr>
                <w:sz w:val="20"/>
                <w:szCs w:val="20"/>
                <w:color w:val="auto"/>
              </w:rPr>
            </w:pPr>
            <w:r>
              <w:rPr>
                <w:rFonts w:ascii="Arial" w:cs="Arial" w:eastAsia="Arial" w:hAnsi="Arial"/>
                <w:sz w:val="22"/>
                <w:szCs w:val="22"/>
                <w:color w:val="auto"/>
                <w:w w:val="85"/>
              </w:rPr>
              <w:t>2003</w:t>
            </w:r>
          </w:p>
        </w:tc>
        <w:tc>
          <w:tcPr>
            <w:tcW w:w="4300" w:type="dxa"/>
            <w:vAlign w:val="bottom"/>
          </w:tcPr>
          <w:p>
            <w:pPr>
              <w:spacing w:after="0"/>
              <w:rPr>
                <w:sz w:val="24"/>
                <w:szCs w:val="24"/>
                <w:color w:val="auto"/>
              </w:rPr>
            </w:pPr>
          </w:p>
        </w:tc>
        <w:tc>
          <w:tcPr>
            <w:tcW w:w="4520" w:type="dxa"/>
            <w:vAlign w:val="bottom"/>
            <w:gridSpan w:val="9"/>
          </w:tcPr>
          <w:p>
            <w:pPr>
              <w:jc w:val="center"/>
              <w:ind w:left="712"/>
              <w:spacing w:after="0"/>
              <w:rPr>
                <w:sz w:val="20"/>
                <w:szCs w:val="20"/>
                <w:color w:val="auto"/>
              </w:rPr>
            </w:pPr>
            <w:r>
              <w:rPr>
                <w:rFonts w:ascii="Arial" w:cs="Arial" w:eastAsia="Arial" w:hAnsi="Arial"/>
                <w:sz w:val="22"/>
                <w:szCs w:val="22"/>
                <w:color w:val="auto"/>
                <w:w w:val="90"/>
              </w:rPr>
              <w:t>(Dollars in millions, except per share data)</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40" w:type="dxa"/>
            <w:vAlign w:val="bottom"/>
            <w:tcBorders>
              <w:bottom w:val="single" w:sz="8" w:color="auto"/>
            </w:tcBorders>
            <w:vMerge w:val="continue"/>
          </w:tcPr>
          <w:p>
            <w:pPr>
              <w:spacing w:after="0"/>
              <w:rPr>
                <w:sz w:val="16"/>
                <w:szCs w:val="16"/>
                <w:color w:val="auto"/>
              </w:rPr>
            </w:pPr>
          </w:p>
        </w:tc>
        <w:tc>
          <w:tcPr>
            <w:tcW w:w="4300" w:type="dxa"/>
            <w:vAlign w:val="bottom"/>
          </w:tcPr>
          <w:p>
            <w:pPr>
              <w:spacing w:after="0"/>
              <w:rPr>
                <w:sz w:val="16"/>
                <w:szCs w:val="16"/>
                <w:color w:val="auto"/>
              </w:rPr>
            </w:pP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22"/>
                <w:szCs w:val="22"/>
                <w:color w:val="auto"/>
              </w:rPr>
              <w:t>$4,466</w:t>
            </w:r>
          </w:p>
        </w:tc>
        <w:tc>
          <w:tcPr>
            <w:tcW w:w="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22"/>
                <w:szCs w:val="22"/>
                <w:color w:val="auto"/>
              </w:rPr>
              <w:t>$4,594</w:t>
            </w:r>
          </w:p>
        </w:tc>
        <w:tc>
          <w:tcPr>
            <w:tcW w:w="3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22"/>
                <w:szCs w:val="22"/>
                <w:color w:val="auto"/>
              </w:rPr>
              <w:t>$4,546</w:t>
            </w:r>
          </w:p>
        </w:tc>
        <w:tc>
          <w:tcPr>
            <w:tcW w:w="3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22"/>
                <w:szCs w:val="22"/>
                <w:color w:val="auto"/>
              </w:rPr>
              <w:t>$4,742</w:t>
            </w:r>
          </w:p>
        </w:tc>
        <w:tc>
          <w:tcPr>
            <w:tcW w:w="3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22"/>
                <w:szCs w:val="22"/>
                <w:color w:val="auto"/>
                <w:w w:val="98"/>
              </w:rPr>
              <w:t>$18,348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740" w:type="dxa"/>
            <w:vAlign w:val="bottom"/>
            <w:gridSpan w:val="2"/>
          </w:tcPr>
          <w:p>
            <w:pPr>
              <w:spacing w:after="0" w:line="242" w:lineRule="exact"/>
              <w:rPr>
                <w:sz w:val="20"/>
                <w:szCs w:val="20"/>
                <w:color w:val="auto"/>
              </w:rPr>
            </w:pPr>
            <w:r>
              <w:rPr>
                <w:rFonts w:ascii="Arial" w:cs="Arial" w:eastAsia="Arial" w:hAnsi="Arial"/>
                <w:sz w:val="22"/>
                <w:szCs w:val="22"/>
                <w:color w:val="auto"/>
              </w:rPr>
              <w:t>Revenues</w:t>
            </w:r>
          </w:p>
        </w:tc>
        <w:tc>
          <w:tcPr>
            <w:tcW w:w="11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line="243" w:lineRule="exact"/>
              <w:rPr>
                <w:sz w:val="20"/>
                <w:szCs w:val="20"/>
                <w:color w:val="auto"/>
              </w:rPr>
            </w:pPr>
            <w:r>
              <w:rPr>
                <w:rFonts w:ascii="Arial" w:cs="Arial" w:eastAsia="Arial" w:hAnsi="Arial"/>
                <w:sz w:val="22"/>
                <w:szCs w:val="22"/>
                <w:color w:val="auto"/>
              </w:rPr>
              <w:t>Operating income (1)</w:t>
            </w:r>
          </w:p>
        </w:tc>
        <w:tc>
          <w:tcPr>
            <w:tcW w:w="11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294</w:t>
            </w:r>
          </w:p>
        </w:tc>
        <w:tc>
          <w:tcPr>
            <w:tcW w:w="8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425</w:t>
            </w:r>
          </w:p>
        </w:tc>
        <w:tc>
          <w:tcPr>
            <w:tcW w:w="3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493</w:t>
            </w:r>
          </w:p>
        </w:tc>
        <w:tc>
          <w:tcPr>
            <w:tcW w:w="32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742</w:t>
            </w: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1,954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line="243" w:lineRule="exact"/>
              <w:rPr>
                <w:sz w:val="20"/>
                <w:szCs w:val="20"/>
                <w:color w:val="auto"/>
              </w:rPr>
            </w:pPr>
            <w:r>
              <w:rPr>
                <w:rFonts w:ascii="Arial" w:cs="Arial" w:eastAsia="Arial" w:hAnsi="Arial"/>
                <w:sz w:val="22"/>
                <w:szCs w:val="22"/>
                <w:color w:val="auto"/>
              </w:rPr>
              <w:t>Income (loss) from continuing operations</w:t>
            </w:r>
          </w:p>
        </w:tc>
        <w:tc>
          <w:tcPr>
            <w:tcW w:w="11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(355)</w:t>
            </w:r>
          </w:p>
        </w:tc>
        <w:tc>
          <w:tcPr>
            <w:tcW w:w="80" w:type="dxa"/>
            <w:vAlign w:val="bottom"/>
          </w:tcPr>
          <w:p>
            <w:pPr>
              <w:spacing w:after="0"/>
              <w:rPr>
                <w:sz w:val="21"/>
                <w:szCs w:val="21"/>
                <w:color w:val="auto"/>
              </w:rPr>
            </w:pPr>
          </w:p>
        </w:tc>
        <w:tc>
          <w:tcPr>
            <w:tcW w:w="106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(93)</w:t>
            </w:r>
          </w:p>
        </w:tc>
        <w:tc>
          <w:tcPr>
            <w:tcW w:w="11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(153)</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383</w:t>
            </w:r>
          </w:p>
        </w:tc>
        <w:tc>
          <w:tcPr>
            <w:tcW w:w="300" w:type="dxa"/>
            <w:vAlign w:val="bottom"/>
          </w:tcPr>
          <w:p>
            <w:pPr>
              <w:spacing w:after="0"/>
              <w:rPr>
                <w:sz w:val="21"/>
                <w:szCs w:val="21"/>
                <w:color w:val="auto"/>
              </w:rPr>
            </w:pP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(218)</w:t>
            </w: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line="243" w:lineRule="exact"/>
              <w:rPr>
                <w:sz w:val="20"/>
                <w:szCs w:val="20"/>
                <w:color w:val="auto"/>
              </w:rPr>
            </w:pPr>
            <w:r>
              <w:rPr>
                <w:rFonts w:ascii="Arial" w:cs="Arial" w:eastAsia="Arial" w:hAnsi="Arial"/>
                <w:sz w:val="22"/>
                <w:szCs w:val="22"/>
                <w:color w:val="auto"/>
              </w:rPr>
              <w:t>Income from discontinued operations (2)</w:t>
            </w:r>
          </w:p>
        </w:tc>
        <w:tc>
          <w:tcPr>
            <w:tcW w:w="11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58</w:t>
            </w:r>
          </w:p>
        </w:tc>
        <w:tc>
          <w:tcPr>
            <w:tcW w:w="8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c>
          <w:tcPr>
            <w:tcW w:w="3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168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line="243" w:lineRule="exact"/>
              <w:rPr>
                <w:sz w:val="20"/>
                <w:szCs w:val="20"/>
                <w:color w:val="auto"/>
              </w:rPr>
            </w:pPr>
            <w:r>
              <w:rPr>
                <w:rFonts w:ascii="Arial" w:cs="Arial" w:eastAsia="Arial" w:hAnsi="Arial"/>
                <w:sz w:val="22"/>
                <w:szCs w:val="22"/>
                <w:color w:val="auto"/>
              </w:rPr>
              <w:t>Gain on discontinued operations</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3,290</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3,290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line="243" w:lineRule="exact"/>
              <w:rPr>
                <w:sz w:val="20"/>
                <w:szCs w:val="20"/>
                <w:color w:val="auto"/>
              </w:rPr>
            </w:pPr>
            <w:r>
              <w:rPr>
                <w:rFonts w:ascii="Arial" w:cs="Arial" w:eastAsia="Arial" w:hAnsi="Arial"/>
                <w:sz w:val="22"/>
                <w:szCs w:val="22"/>
                <w:color w:val="auto"/>
              </w:rPr>
              <w:t>Net income (loss)</w:t>
            </w:r>
          </w:p>
        </w:tc>
        <w:tc>
          <w:tcPr>
            <w:tcW w:w="11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(297)</w:t>
            </w:r>
          </w:p>
        </w:tc>
        <w:tc>
          <w:tcPr>
            <w:tcW w:w="80" w:type="dxa"/>
            <w:vAlign w:val="bottom"/>
          </w:tcPr>
          <w:p>
            <w:pPr>
              <w:spacing w:after="0"/>
              <w:rPr>
                <w:sz w:val="21"/>
                <w:szCs w:val="21"/>
                <w:color w:val="auto"/>
              </w:rPr>
            </w:pPr>
          </w:p>
        </w:tc>
        <w:tc>
          <w:tcPr>
            <w:tcW w:w="106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(22)</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3,176</w:t>
            </w:r>
          </w:p>
        </w:tc>
        <w:tc>
          <w:tcPr>
            <w:tcW w:w="32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383</w:t>
            </w: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3,240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line="243" w:lineRule="exact"/>
              <w:rPr>
                <w:sz w:val="20"/>
                <w:szCs w:val="20"/>
                <w:color w:val="auto"/>
              </w:rPr>
            </w:pPr>
            <w:r>
              <w:rPr>
                <w:rFonts w:ascii="Arial" w:cs="Arial" w:eastAsia="Arial" w:hAnsi="Arial"/>
                <w:sz w:val="22"/>
                <w:szCs w:val="22"/>
                <w:color w:val="auto"/>
              </w:rPr>
              <w:t>Basic earnings (loss) for common</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stockholders per common share</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Income (loss) from continuing operations</w:t>
            </w:r>
          </w:p>
        </w:tc>
        <w:tc>
          <w:tcPr>
            <w:tcW w:w="11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(0.16)</w:t>
            </w:r>
          </w:p>
        </w:tc>
        <w:tc>
          <w:tcPr>
            <w:tcW w:w="80" w:type="dxa"/>
            <w:vAlign w:val="bottom"/>
          </w:tcPr>
          <w:p>
            <w:pPr>
              <w:spacing w:after="0"/>
              <w:rPr>
                <w:sz w:val="21"/>
                <w:szCs w:val="21"/>
                <w:color w:val="auto"/>
              </w:rPr>
            </w:pPr>
          </w:p>
        </w:tc>
        <w:tc>
          <w:tcPr>
            <w:tcW w:w="106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(0.04)</w:t>
            </w:r>
          </w:p>
        </w:tc>
        <w:tc>
          <w:tcPr>
            <w:tcW w:w="11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(0.07)</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0.17</w:t>
            </w:r>
          </w:p>
        </w:tc>
        <w:tc>
          <w:tcPr>
            <w:tcW w:w="300" w:type="dxa"/>
            <w:vAlign w:val="bottom"/>
          </w:tcPr>
          <w:p>
            <w:pPr>
              <w:spacing w:after="0"/>
              <w:rPr>
                <w:sz w:val="21"/>
                <w:szCs w:val="21"/>
                <w:color w:val="auto"/>
              </w:rPr>
            </w:pP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(0.10)</w:t>
            </w:r>
          </w:p>
        </w:tc>
        <w:tc>
          <w:tcPr>
            <w:tcW w:w="0" w:type="dxa"/>
            <w:vAlign w:val="bottom"/>
          </w:tcPr>
          <w:p>
            <w:pPr>
              <w:spacing w:after="0"/>
              <w:rPr>
                <w:sz w:val="1"/>
                <w:szCs w:val="1"/>
                <w:color w:val="auto"/>
              </w:rPr>
            </w:pPr>
          </w:p>
        </w:tc>
      </w:tr>
      <w:tr>
        <w:trPr>
          <w:trHeight w:val="243"/>
        </w:trPr>
        <w:tc>
          <w:tcPr>
            <w:tcW w:w="47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Income from discontinued operations (2)</w:t>
            </w:r>
          </w:p>
        </w:tc>
        <w:tc>
          <w:tcPr>
            <w:tcW w:w="11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0.03</w:t>
            </w:r>
          </w:p>
        </w:tc>
        <w:tc>
          <w:tcPr>
            <w:tcW w:w="8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0.03</w:t>
            </w:r>
          </w:p>
        </w:tc>
        <w:tc>
          <w:tcPr>
            <w:tcW w:w="3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0.02</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0.08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line="243" w:lineRule="exact"/>
              <w:rPr>
                <w:sz w:val="20"/>
                <w:szCs w:val="20"/>
                <w:color w:val="auto"/>
              </w:rPr>
            </w:pPr>
            <w:r>
              <w:rPr>
                <w:rFonts w:ascii="Arial" w:cs="Arial" w:eastAsia="Arial" w:hAnsi="Arial"/>
                <w:sz w:val="22"/>
                <w:szCs w:val="22"/>
                <w:color w:val="auto"/>
              </w:rPr>
              <w:t>Gain on discontinued operations</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1.46</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1.46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Net income (loss)</w:t>
            </w:r>
          </w:p>
        </w:tc>
        <w:tc>
          <w:tcPr>
            <w:tcW w:w="11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(0.13)</w:t>
            </w:r>
          </w:p>
        </w:tc>
        <w:tc>
          <w:tcPr>
            <w:tcW w:w="80" w:type="dxa"/>
            <w:vAlign w:val="bottom"/>
          </w:tcPr>
          <w:p>
            <w:pPr>
              <w:spacing w:after="0"/>
              <w:rPr>
                <w:sz w:val="21"/>
                <w:szCs w:val="21"/>
                <w:color w:val="auto"/>
              </w:rPr>
            </w:pPr>
          </w:p>
        </w:tc>
        <w:tc>
          <w:tcPr>
            <w:tcW w:w="106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(0.01)</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1.41</w:t>
            </w:r>
          </w:p>
        </w:tc>
        <w:tc>
          <w:tcPr>
            <w:tcW w:w="32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0.17</w:t>
            </w: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1.44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line="243" w:lineRule="exact"/>
              <w:rPr>
                <w:sz w:val="20"/>
                <w:szCs w:val="20"/>
                <w:color w:val="auto"/>
              </w:rPr>
            </w:pPr>
            <w:r>
              <w:rPr>
                <w:rFonts w:ascii="Arial" w:cs="Arial" w:eastAsia="Arial" w:hAnsi="Arial"/>
                <w:sz w:val="22"/>
                <w:szCs w:val="22"/>
                <w:color w:val="auto"/>
              </w:rPr>
              <w:t>Diluted earnings (loss) for common</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stockholders per common share</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Income (loss) from continuing operations</w:t>
            </w:r>
          </w:p>
        </w:tc>
        <w:tc>
          <w:tcPr>
            <w:tcW w:w="11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(0.16)</w:t>
            </w:r>
          </w:p>
        </w:tc>
        <w:tc>
          <w:tcPr>
            <w:tcW w:w="80" w:type="dxa"/>
            <w:vAlign w:val="bottom"/>
          </w:tcPr>
          <w:p>
            <w:pPr>
              <w:spacing w:after="0"/>
              <w:rPr>
                <w:sz w:val="21"/>
                <w:szCs w:val="21"/>
                <w:color w:val="auto"/>
              </w:rPr>
            </w:pPr>
          </w:p>
        </w:tc>
        <w:tc>
          <w:tcPr>
            <w:tcW w:w="106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(0.04)</w:t>
            </w:r>
          </w:p>
        </w:tc>
        <w:tc>
          <w:tcPr>
            <w:tcW w:w="11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(0.07)</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0.17</w:t>
            </w:r>
          </w:p>
        </w:tc>
        <w:tc>
          <w:tcPr>
            <w:tcW w:w="300" w:type="dxa"/>
            <w:vAlign w:val="bottom"/>
          </w:tcPr>
          <w:p>
            <w:pPr>
              <w:spacing w:after="0"/>
              <w:rPr>
                <w:sz w:val="21"/>
                <w:szCs w:val="21"/>
                <w:color w:val="auto"/>
              </w:rPr>
            </w:pP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(0.10)</w:t>
            </w:r>
          </w:p>
        </w:tc>
        <w:tc>
          <w:tcPr>
            <w:tcW w:w="0" w:type="dxa"/>
            <w:vAlign w:val="bottom"/>
          </w:tcPr>
          <w:p>
            <w:pPr>
              <w:spacing w:after="0"/>
              <w:rPr>
                <w:sz w:val="1"/>
                <w:szCs w:val="1"/>
                <w:color w:val="auto"/>
              </w:rPr>
            </w:pPr>
          </w:p>
        </w:tc>
      </w:tr>
      <w:tr>
        <w:trPr>
          <w:trHeight w:val="243"/>
        </w:trPr>
        <w:tc>
          <w:tcPr>
            <w:tcW w:w="47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Income from discontinued operations (2)</w:t>
            </w:r>
          </w:p>
        </w:tc>
        <w:tc>
          <w:tcPr>
            <w:tcW w:w="11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0.03</w:t>
            </w:r>
          </w:p>
        </w:tc>
        <w:tc>
          <w:tcPr>
            <w:tcW w:w="8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0.03</w:t>
            </w:r>
          </w:p>
        </w:tc>
        <w:tc>
          <w:tcPr>
            <w:tcW w:w="3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0.02</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0.08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Gain on discontinued operations</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1.46</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1.46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Net income (loss)</w:t>
            </w:r>
          </w:p>
        </w:tc>
        <w:tc>
          <w:tcPr>
            <w:tcW w:w="11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(0.13)</w:t>
            </w:r>
          </w:p>
        </w:tc>
        <w:tc>
          <w:tcPr>
            <w:tcW w:w="80" w:type="dxa"/>
            <w:vAlign w:val="bottom"/>
          </w:tcPr>
          <w:p>
            <w:pPr>
              <w:spacing w:after="0"/>
              <w:rPr>
                <w:sz w:val="21"/>
                <w:szCs w:val="21"/>
                <w:color w:val="auto"/>
              </w:rPr>
            </w:pPr>
          </w:p>
        </w:tc>
        <w:tc>
          <w:tcPr>
            <w:tcW w:w="106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(0.01)</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1.41</w:t>
            </w:r>
          </w:p>
        </w:tc>
        <w:tc>
          <w:tcPr>
            <w:tcW w:w="32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0.17</w:t>
            </w: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1.44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line="243" w:lineRule="exact"/>
              <w:rPr>
                <w:sz w:val="20"/>
                <w:szCs w:val="20"/>
                <w:color w:val="auto"/>
              </w:rPr>
            </w:pPr>
            <w:r>
              <w:rPr>
                <w:rFonts w:ascii="Arial" w:cs="Arial" w:eastAsia="Arial" w:hAnsi="Arial"/>
                <w:sz w:val="22"/>
                <w:szCs w:val="22"/>
                <w:color w:val="auto"/>
              </w:rPr>
              <w:t>Operating income before depreciation and</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740" w:type="dxa"/>
            <w:vAlign w:val="bottom"/>
            <w:gridSpan w:val="2"/>
          </w:tcPr>
          <w:p>
            <w:pPr>
              <w:ind w:left="180"/>
              <w:spacing w:after="0"/>
              <w:rPr>
                <w:sz w:val="20"/>
                <w:szCs w:val="20"/>
                <w:color w:val="auto"/>
              </w:rPr>
            </w:pPr>
            <w:r>
              <w:rPr>
                <w:rFonts w:ascii="Arial" w:cs="Arial" w:eastAsia="Arial" w:hAnsi="Arial"/>
                <w:sz w:val="22"/>
                <w:szCs w:val="22"/>
                <w:color w:val="auto"/>
              </w:rPr>
              <w:t>amortization (3)</w:t>
            </w:r>
          </w:p>
        </w:tc>
        <w:tc>
          <w:tcPr>
            <w:tcW w:w="1140" w:type="dxa"/>
            <w:vAlign w:val="bottom"/>
            <w:gridSpan w:val="2"/>
          </w:tcPr>
          <w:p>
            <w:pPr>
              <w:jc w:val="right"/>
              <w:ind w:right="300"/>
              <w:spacing w:after="0"/>
              <w:rPr>
                <w:sz w:val="20"/>
                <w:szCs w:val="20"/>
                <w:color w:val="auto"/>
              </w:rPr>
            </w:pPr>
            <w:r>
              <w:rPr>
                <w:rFonts w:ascii="Arial" w:cs="Arial" w:eastAsia="Arial" w:hAnsi="Arial"/>
                <w:sz w:val="22"/>
                <w:szCs w:val="22"/>
                <w:color w:val="auto"/>
              </w:rPr>
              <w:t>1,428</w:t>
            </w:r>
          </w:p>
        </w:tc>
        <w:tc>
          <w:tcPr>
            <w:tcW w:w="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2"/>
                <w:szCs w:val="22"/>
                <w:color w:val="auto"/>
              </w:rPr>
              <w:t>1,612</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1,632</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1,720</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6,392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6"/>
        </w:trPr>
        <w:tc>
          <w:tcPr>
            <w:tcW w:w="4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5"/>
              </w:rPr>
              <w:t>2002</w:t>
            </w:r>
          </w:p>
        </w:tc>
        <w:tc>
          <w:tcPr>
            <w:tcW w:w="4300" w:type="dxa"/>
            <w:vAlign w:val="bottom"/>
          </w:tcPr>
          <w:p>
            <w:pPr>
              <w:spacing w:after="0"/>
              <w:rPr>
                <w:sz w:val="24"/>
                <w:szCs w:val="24"/>
                <w:color w:val="auto"/>
              </w:rPr>
            </w:pP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22"/>
                <w:szCs w:val="22"/>
                <w:color w:val="auto"/>
              </w:rPr>
              <w:t>$1,684</w:t>
            </w:r>
          </w:p>
        </w:tc>
        <w:tc>
          <w:tcPr>
            <w:tcW w:w="8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22"/>
                <w:szCs w:val="22"/>
                <w:color w:val="auto"/>
              </w:rPr>
              <w:t>$1,720</w:t>
            </w:r>
          </w:p>
        </w:tc>
        <w:tc>
          <w:tcPr>
            <w:tcW w:w="32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22"/>
                <w:szCs w:val="22"/>
                <w:color w:val="auto"/>
              </w:rPr>
              <w:t>$1,698</w:t>
            </w:r>
          </w:p>
        </w:tc>
        <w:tc>
          <w:tcPr>
            <w:tcW w:w="32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22"/>
                <w:szCs w:val="22"/>
                <w:color w:val="auto"/>
              </w:rPr>
              <w:t>$3,000</w:t>
            </w:r>
          </w:p>
        </w:tc>
        <w:tc>
          <w:tcPr>
            <w:tcW w:w="30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22"/>
                <w:szCs w:val="22"/>
                <w:color w:val="auto"/>
              </w:rPr>
              <w:t>$8,102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740" w:type="dxa"/>
            <w:vAlign w:val="bottom"/>
            <w:gridSpan w:val="2"/>
          </w:tcPr>
          <w:p>
            <w:pPr>
              <w:spacing w:after="0" w:line="242" w:lineRule="exact"/>
              <w:rPr>
                <w:sz w:val="20"/>
                <w:szCs w:val="20"/>
                <w:color w:val="auto"/>
              </w:rPr>
            </w:pPr>
            <w:r>
              <w:rPr>
                <w:rFonts w:ascii="Arial" w:cs="Arial" w:eastAsia="Arial" w:hAnsi="Arial"/>
                <w:sz w:val="22"/>
                <w:szCs w:val="22"/>
                <w:color w:val="auto"/>
              </w:rPr>
              <w:t>Revenues</w:t>
            </w:r>
          </w:p>
        </w:tc>
        <w:tc>
          <w:tcPr>
            <w:tcW w:w="11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line="243" w:lineRule="exact"/>
              <w:rPr>
                <w:sz w:val="20"/>
                <w:szCs w:val="20"/>
                <w:color w:val="auto"/>
              </w:rPr>
            </w:pPr>
            <w:r>
              <w:rPr>
                <w:rFonts w:ascii="Arial" w:cs="Arial" w:eastAsia="Arial" w:hAnsi="Arial"/>
                <w:sz w:val="22"/>
                <w:szCs w:val="22"/>
                <w:color w:val="auto"/>
              </w:rPr>
              <w:t>Operating income</w:t>
            </w:r>
          </w:p>
        </w:tc>
        <w:tc>
          <w:tcPr>
            <w:tcW w:w="11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256</w:t>
            </w:r>
          </w:p>
        </w:tc>
        <w:tc>
          <w:tcPr>
            <w:tcW w:w="8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313</w:t>
            </w:r>
          </w:p>
        </w:tc>
        <w:tc>
          <w:tcPr>
            <w:tcW w:w="3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271</w:t>
            </w:r>
          </w:p>
        </w:tc>
        <w:tc>
          <w:tcPr>
            <w:tcW w:w="32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921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line="243" w:lineRule="exact"/>
              <w:rPr>
                <w:sz w:val="20"/>
                <w:szCs w:val="20"/>
                <w:color w:val="auto"/>
              </w:rPr>
            </w:pPr>
            <w:r>
              <w:rPr>
                <w:rFonts w:ascii="Arial" w:cs="Arial" w:eastAsia="Arial" w:hAnsi="Arial"/>
                <w:sz w:val="22"/>
                <w:szCs w:val="22"/>
                <w:color w:val="auto"/>
              </w:rPr>
              <w:t>Income (loss) from continuing operations</w:t>
            </w:r>
          </w:p>
        </w:tc>
        <w:tc>
          <w:tcPr>
            <w:tcW w:w="11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(135)</w:t>
            </w:r>
          </w:p>
        </w:tc>
        <w:tc>
          <w:tcPr>
            <w:tcW w:w="80" w:type="dxa"/>
            <w:vAlign w:val="bottom"/>
          </w:tcPr>
          <w:p>
            <w:pPr>
              <w:spacing w:after="0"/>
              <w:rPr>
                <w:sz w:val="21"/>
                <w:szCs w:val="21"/>
                <w:color w:val="auto"/>
              </w:rPr>
            </w:pPr>
          </w:p>
        </w:tc>
        <w:tc>
          <w:tcPr>
            <w:tcW w:w="106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(253)</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c>
          <w:tcPr>
            <w:tcW w:w="320" w:type="dxa"/>
            <w:vAlign w:val="bottom"/>
          </w:tcPr>
          <w:p>
            <w:pPr>
              <w:spacing w:after="0"/>
              <w:rPr>
                <w:sz w:val="21"/>
                <w:szCs w:val="21"/>
                <w:color w:val="auto"/>
              </w:rPr>
            </w:pPr>
          </w:p>
        </w:tc>
        <w:tc>
          <w:tcPr>
            <w:tcW w:w="11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(105)</w:t>
            </w: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(469)</w:t>
            </w: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line="243" w:lineRule="exact"/>
              <w:rPr>
                <w:sz w:val="20"/>
                <w:szCs w:val="20"/>
                <w:color w:val="auto"/>
              </w:rPr>
            </w:pPr>
            <w:r>
              <w:rPr>
                <w:rFonts w:ascii="Arial" w:cs="Arial" w:eastAsia="Arial" w:hAnsi="Arial"/>
                <w:sz w:val="22"/>
                <w:szCs w:val="22"/>
                <w:color w:val="auto"/>
              </w:rPr>
              <w:t>Income from discontinued operations (2)</w:t>
            </w:r>
          </w:p>
        </w:tc>
        <w:tc>
          <w:tcPr>
            <w:tcW w:w="11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46</w:t>
            </w:r>
          </w:p>
        </w:tc>
        <w:tc>
          <w:tcPr>
            <w:tcW w:w="8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c>
          <w:tcPr>
            <w:tcW w:w="3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c>
          <w:tcPr>
            <w:tcW w:w="32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195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line="243" w:lineRule="exact"/>
              <w:rPr>
                <w:sz w:val="20"/>
                <w:szCs w:val="20"/>
                <w:color w:val="auto"/>
              </w:rPr>
            </w:pPr>
            <w:r>
              <w:rPr>
                <w:rFonts w:ascii="Arial" w:cs="Arial" w:eastAsia="Arial" w:hAnsi="Arial"/>
                <w:sz w:val="22"/>
                <w:szCs w:val="22"/>
                <w:color w:val="auto"/>
              </w:rPr>
              <w:t>Net income (loss)</w:t>
            </w:r>
          </w:p>
        </w:tc>
        <w:tc>
          <w:tcPr>
            <w:tcW w:w="11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(89)</w:t>
            </w:r>
          </w:p>
        </w:tc>
        <w:tc>
          <w:tcPr>
            <w:tcW w:w="80" w:type="dxa"/>
            <w:vAlign w:val="bottom"/>
          </w:tcPr>
          <w:p>
            <w:pPr>
              <w:spacing w:after="0"/>
              <w:rPr>
                <w:sz w:val="21"/>
                <w:szCs w:val="21"/>
                <w:color w:val="auto"/>
              </w:rPr>
            </w:pPr>
          </w:p>
        </w:tc>
        <w:tc>
          <w:tcPr>
            <w:tcW w:w="106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(210)</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c>
          <w:tcPr>
            <w:tcW w:w="320" w:type="dxa"/>
            <w:vAlign w:val="bottom"/>
          </w:tcPr>
          <w:p>
            <w:pPr>
              <w:spacing w:after="0"/>
              <w:rPr>
                <w:sz w:val="21"/>
                <w:szCs w:val="21"/>
                <w:color w:val="auto"/>
              </w:rPr>
            </w:pPr>
          </w:p>
        </w:tc>
        <w:tc>
          <w:tcPr>
            <w:tcW w:w="11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(51)</w:t>
            </w: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(274)</w:t>
            </w: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line="243" w:lineRule="exact"/>
              <w:rPr>
                <w:sz w:val="20"/>
                <w:szCs w:val="20"/>
                <w:color w:val="auto"/>
              </w:rPr>
            </w:pPr>
            <w:r>
              <w:rPr>
                <w:rFonts w:ascii="Arial" w:cs="Arial" w:eastAsia="Arial" w:hAnsi="Arial"/>
                <w:sz w:val="22"/>
                <w:szCs w:val="22"/>
                <w:color w:val="auto"/>
              </w:rPr>
              <w:t>Basic earnings (loss) for common</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stockholders per common share</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Income (loss) from continuing operations</w:t>
            </w:r>
          </w:p>
        </w:tc>
        <w:tc>
          <w:tcPr>
            <w:tcW w:w="11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(0.14)</w:t>
            </w:r>
          </w:p>
        </w:tc>
        <w:tc>
          <w:tcPr>
            <w:tcW w:w="80" w:type="dxa"/>
            <w:vAlign w:val="bottom"/>
          </w:tcPr>
          <w:p>
            <w:pPr>
              <w:spacing w:after="0"/>
              <w:rPr>
                <w:sz w:val="21"/>
                <w:szCs w:val="21"/>
                <w:color w:val="auto"/>
              </w:rPr>
            </w:pPr>
          </w:p>
        </w:tc>
        <w:tc>
          <w:tcPr>
            <w:tcW w:w="106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(0.27)</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0.03</w:t>
            </w:r>
          </w:p>
        </w:tc>
        <w:tc>
          <w:tcPr>
            <w:tcW w:w="320" w:type="dxa"/>
            <w:vAlign w:val="bottom"/>
          </w:tcPr>
          <w:p>
            <w:pPr>
              <w:spacing w:after="0"/>
              <w:rPr>
                <w:sz w:val="21"/>
                <w:szCs w:val="21"/>
                <w:color w:val="auto"/>
              </w:rPr>
            </w:pPr>
          </w:p>
        </w:tc>
        <w:tc>
          <w:tcPr>
            <w:tcW w:w="11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(0.07)</w:t>
            </w: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(0.42)</w:t>
            </w:r>
          </w:p>
        </w:tc>
        <w:tc>
          <w:tcPr>
            <w:tcW w:w="0" w:type="dxa"/>
            <w:vAlign w:val="bottom"/>
          </w:tcPr>
          <w:p>
            <w:pPr>
              <w:spacing w:after="0"/>
              <w:rPr>
                <w:sz w:val="1"/>
                <w:szCs w:val="1"/>
                <w:color w:val="auto"/>
              </w:rPr>
            </w:pPr>
          </w:p>
        </w:tc>
      </w:tr>
      <w:tr>
        <w:trPr>
          <w:trHeight w:val="243"/>
        </w:trPr>
        <w:tc>
          <w:tcPr>
            <w:tcW w:w="47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Income from discontinued operations (2)</w:t>
            </w:r>
          </w:p>
        </w:tc>
        <w:tc>
          <w:tcPr>
            <w:tcW w:w="11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0.05</w:t>
            </w:r>
          </w:p>
        </w:tc>
        <w:tc>
          <w:tcPr>
            <w:tcW w:w="8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0.05</w:t>
            </w:r>
          </w:p>
        </w:tc>
        <w:tc>
          <w:tcPr>
            <w:tcW w:w="3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0.05</w:t>
            </w:r>
          </w:p>
        </w:tc>
        <w:tc>
          <w:tcPr>
            <w:tcW w:w="32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0.04</w:t>
            </w: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0.17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Net income (loss)</w:t>
            </w:r>
          </w:p>
        </w:tc>
        <w:tc>
          <w:tcPr>
            <w:tcW w:w="11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(0.09)</w:t>
            </w:r>
          </w:p>
        </w:tc>
        <w:tc>
          <w:tcPr>
            <w:tcW w:w="80" w:type="dxa"/>
            <w:vAlign w:val="bottom"/>
          </w:tcPr>
          <w:p>
            <w:pPr>
              <w:spacing w:after="0"/>
              <w:rPr>
                <w:sz w:val="21"/>
                <w:szCs w:val="21"/>
                <w:color w:val="auto"/>
              </w:rPr>
            </w:pPr>
          </w:p>
        </w:tc>
        <w:tc>
          <w:tcPr>
            <w:tcW w:w="106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(0.22)</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0.08</w:t>
            </w:r>
          </w:p>
        </w:tc>
        <w:tc>
          <w:tcPr>
            <w:tcW w:w="320" w:type="dxa"/>
            <w:vAlign w:val="bottom"/>
          </w:tcPr>
          <w:p>
            <w:pPr>
              <w:spacing w:after="0"/>
              <w:rPr>
                <w:sz w:val="21"/>
                <w:szCs w:val="21"/>
                <w:color w:val="auto"/>
              </w:rPr>
            </w:pPr>
          </w:p>
        </w:tc>
        <w:tc>
          <w:tcPr>
            <w:tcW w:w="11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(0.03)</w:t>
            </w: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(0.25)</w:t>
            </w: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line="243" w:lineRule="exact"/>
              <w:rPr>
                <w:sz w:val="20"/>
                <w:szCs w:val="20"/>
                <w:color w:val="auto"/>
              </w:rPr>
            </w:pPr>
            <w:r>
              <w:rPr>
                <w:rFonts w:ascii="Arial" w:cs="Arial" w:eastAsia="Arial" w:hAnsi="Arial"/>
                <w:sz w:val="22"/>
                <w:szCs w:val="22"/>
                <w:color w:val="auto"/>
              </w:rPr>
              <w:t>Diluted earnings (loss) for common</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stockholders per common share</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Income (loss) from continuing operations</w:t>
            </w:r>
          </w:p>
        </w:tc>
        <w:tc>
          <w:tcPr>
            <w:tcW w:w="11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(0.14)</w:t>
            </w:r>
          </w:p>
        </w:tc>
        <w:tc>
          <w:tcPr>
            <w:tcW w:w="80" w:type="dxa"/>
            <w:vAlign w:val="bottom"/>
          </w:tcPr>
          <w:p>
            <w:pPr>
              <w:spacing w:after="0"/>
              <w:rPr>
                <w:sz w:val="21"/>
                <w:szCs w:val="21"/>
                <w:color w:val="auto"/>
              </w:rPr>
            </w:pPr>
          </w:p>
        </w:tc>
        <w:tc>
          <w:tcPr>
            <w:tcW w:w="106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(0.27)</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0.03</w:t>
            </w:r>
          </w:p>
        </w:tc>
        <w:tc>
          <w:tcPr>
            <w:tcW w:w="320" w:type="dxa"/>
            <w:vAlign w:val="bottom"/>
          </w:tcPr>
          <w:p>
            <w:pPr>
              <w:spacing w:after="0"/>
              <w:rPr>
                <w:sz w:val="21"/>
                <w:szCs w:val="21"/>
                <w:color w:val="auto"/>
              </w:rPr>
            </w:pPr>
          </w:p>
        </w:tc>
        <w:tc>
          <w:tcPr>
            <w:tcW w:w="11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(0.07)</w:t>
            </w: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(0.42)</w:t>
            </w:r>
          </w:p>
        </w:tc>
        <w:tc>
          <w:tcPr>
            <w:tcW w:w="0" w:type="dxa"/>
            <w:vAlign w:val="bottom"/>
          </w:tcPr>
          <w:p>
            <w:pPr>
              <w:spacing w:after="0"/>
              <w:rPr>
                <w:sz w:val="1"/>
                <w:szCs w:val="1"/>
                <w:color w:val="auto"/>
              </w:rPr>
            </w:pPr>
          </w:p>
        </w:tc>
      </w:tr>
      <w:tr>
        <w:trPr>
          <w:trHeight w:val="243"/>
        </w:trPr>
        <w:tc>
          <w:tcPr>
            <w:tcW w:w="47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Income from discontinued operations (2)</w:t>
            </w:r>
          </w:p>
        </w:tc>
        <w:tc>
          <w:tcPr>
            <w:tcW w:w="11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0.05</w:t>
            </w:r>
          </w:p>
        </w:tc>
        <w:tc>
          <w:tcPr>
            <w:tcW w:w="8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0.05</w:t>
            </w:r>
          </w:p>
        </w:tc>
        <w:tc>
          <w:tcPr>
            <w:tcW w:w="3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0.05</w:t>
            </w:r>
          </w:p>
        </w:tc>
        <w:tc>
          <w:tcPr>
            <w:tcW w:w="32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0.04</w:t>
            </w: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0.17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Net income (loss)</w:t>
            </w:r>
          </w:p>
        </w:tc>
        <w:tc>
          <w:tcPr>
            <w:tcW w:w="11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(0.09)</w:t>
            </w:r>
          </w:p>
        </w:tc>
        <w:tc>
          <w:tcPr>
            <w:tcW w:w="80" w:type="dxa"/>
            <w:vAlign w:val="bottom"/>
          </w:tcPr>
          <w:p>
            <w:pPr>
              <w:spacing w:after="0"/>
              <w:rPr>
                <w:sz w:val="21"/>
                <w:szCs w:val="21"/>
                <w:color w:val="auto"/>
              </w:rPr>
            </w:pPr>
          </w:p>
        </w:tc>
        <w:tc>
          <w:tcPr>
            <w:tcW w:w="106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(0.22)</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0.08</w:t>
            </w:r>
          </w:p>
        </w:tc>
        <w:tc>
          <w:tcPr>
            <w:tcW w:w="320" w:type="dxa"/>
            <w:vAlign w:val="bottom"/>
          </w:tcPr>
          <w:p>
            <w:pPr>
              <w:spacing w:after="0"/>
              <w:rPr>
                <w:sz w:val="21"/>
                <w:szCs w:val="21"/>
                <w:color w:val="auto"/>
              </w:rPr>
            </w:pPr>
          </w:p>
        </w:tc>
        <w:tc>
          <w:tcPr>
            <w:tcW w:w="11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(0.03)</w:t>
            </w:r>
          </w:p>
        </w:tc>
        <w:tc>
          <w:tcPr>
            <w:tcW w:w="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(0.25)</w:t>
            </w: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line="243" w:lineRule="exact"/>
              <w:rPr>
                <w:sz w:val="20"/>
                <w:szCs w:val="20"/>
                <w:color w:val="auto"/>
              </w:rPr>
            </w:pPr>
            <w:r>
              <w:rPr>
                <w:rFonts w:ascii="Arial" w:cs="Arial" w:eastAsia="Arial" w:hAnsi="Arial"/>
                <w:sz w:val="22"/>
                <w:szCs w:val="22"/>
                <w:color w:val="auto"/>
              </w:rPr>
              <w:t>Operating income before depreciation and</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amortization (3)</w:t>
            </w:r>
          </w:p>
        </w:tc>
        <w:tc>
          <w:tcPr>
            <w:tcW w:w="11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616</w:t>
            </w:r>
          </w:p>
        </w:tc>
        <w:tc>
          <w:tcPr>
            <w:tcW w:w="80" w:type="dxa"/>
            <w:vAlign w:val="bottom"/>
          </w:tcPr>
          <w:p>
            <w:pPr>
              <w:spacing w:after="0"/>
              <w:rPr>
                <w:sz w:val="21"/>
                <w:szCs w:val="21"/>
                <w:color w:val="auto"/>
              </w:rPr>
            </w:pP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673</w:t>
            </w:r>
          </w:p>
        </w:tc>
        <w:tc>
          <w:tcPr>
            <w:tcW w:w="32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642</w:t>
            </w:r>
          </w:p>
        </w:tc>
        <w:tc>
          <w:tcPr>
            <w:tcW w:w="32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905</w:t>
            </w: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2,836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740" w:type="dxa"/>
            <w:vAlign w:val="bottom"/>
            <w:gridSpan w:val="2"/>
          </w:tcPr>
          <w:p>
            <w:pPr>
              <w:spacing w:after="0"/>
              <w:rPr>
                <w:sz w:val="20"/>
                <w:szCs w:val="20"/>
                <w:color w:val="auto"/>
              </w:rPr>
            </w:pPr>
            <w:r>
              <w:rPr>
                <w:rFonts w:ascii="Arial" w:cs="Arial" w:eastAsia="Arial" w:hAnsi="Arial"/>
                <w:sz w:val="22"/>
                <w:szCs w:val="22"/>
                <w:color w:val="auto"/>
              </w:rPr>
              <w:t>______________</w:t>
            </w: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460" w:right="80" w:hanging="452"/>
        <w:spacing w:after="0" w:line="230" w:lineRule="auto"/>
        <w:tabs>
          <w:tab w:leader="none" w:pos="46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In the fourth quarter of 2003, we reduced our intangible assets as a result of obtaining updated valuation reports related to the Broadband acquisition. Accordingly, fourth quarter operating income includes a reduction in amortization expense of approximately $115 million related to prior quarters.</w:t>
      </w:r>
    </w:p>
    <w:p>
      <w:pPr>
        <w:spacing w:after="0" w:line="2" w:lineRule="exact"/>
        <w:rPr>
          <w:rFonts w:ascii="Arial" w:cs="Arial" w:eastAsia="Arial" w:hAnsi="Arial"/>
          <w:sz w:val="22"/>
          <w:szCs w:val="22"/>
          <w:color w:val="auto"/>
        </w:rPr>
      </w:pPr>
    </w:p>
    <w:p>
      <w:pPr>
        <w:ind w:left="460" w:right="580" w:hanging="452"/>
        <w:spacing w:after="0" w:line="230" w:lineRule="auto"/>
        <w:tabs>
          <w:tab w:leader="none" w:pos="46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In September 2003, we sold our interest in QVC to Liberty Media. QVC is presented as a discontinued operation for all periods presented.</w:t>
      </w:r>
    </w:p>
    <w:p>
      <w:pPr>
        <w:spacing w:after="0" w:line="1" w:lineRule="exact"/>
        <w:rPr>
          <w:rFonts w:ascii="Arial" w:cs="Arial" w:eastAsia="Arial" w:hAnsi="Arial"/>
          <w:sz w:val="22"/>
          <w:szCs w:val="22"/>
          <w:color w:val="auto"/>
        </w:rPr>
      </w:pPr>
    </w:p>
    <w:p>
      <w:pPr>
        <w:ind w:left="460" w:hanging="452"/>
        <w:spacing w:after="0"/>
        <w:tabs>
          <w:tab w:leader="none" w:pos="46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xml:space="preserve">See </w:t>
      </w:r>
      <w:hyperlink w:anchor="page95">
        <w:r>
          <w:rPr>
            <w:rFonts w:ascii="Arial" w:cs="Arial" w:eastAsia="Arial" w:hAnsi="Arial"/>
            <w:sz w:val="22"/>
            <w:szCs w:val="22"/>
            <w:u w:val="single" w:color="auto"/>
            <w:color w:val="0000EE"/>
          </w:rPr>
          <w:t>Note 14</w:t>
        </w:r>
      </w:hyperlink>
      <w:r>
        <w:rPr>
          <w:rFonts w:ascii="Arial" w:cs="Arial" w:eastAsia="Arial" w:hAnsi="Arial"/>
          <w:sz w:val="22"/>
          <w:szCs w:val="22"/>
          <w:color w:val="auto"/>
        </w:rPr>
        <w:t xml:space="preserve">, </w:t>
      </w:r>
      <w:hyperlink w:anchor="page71">
        <w:r>
          <w:rPr>
            <w:rFonts w:ascii="Arial" w:cs="Arial" w:eastAsia="Arial" w:hAnsi="Arial"/>
            <w:sz w:val="22"/>
            <w:szCs w:val="22"/>
            <w:u w:val="single" w:color="auto"/>
            <w:color w:val="0000EE"/>
          </w:rPr>
          <w:t>note 3</w:t>
        </w:r>
      </w:hyperlink>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ind w:left="5600" w:hanging="120"/>
        <w:spacing w:after="0"/>
        <w:tabs>
          <w:tab w:leader="none" w:pos="5600" w:val="left"/>
        </w:tabs>
        <w:numPr>
          <w:ilvl w:val="1"/>
          <w:numId w:val="122"/>
        </w:numPr>
        <w:rPr>
          <w:rFonts w:ascii="Arial" w:cs="Arial" w:eastAsia="Arial" w:hAnsi="Arial"/>
          <w:sz w:val="22"/>
          <w:szCs w:val="22"/>
          <w:color w:val="auto"/>
        </w:rPr>
      </w:pPr>
      <w:r>
        <w:rPr>
          <w:rFonts w:ascii="Arial" w:cs="Arial" w:eastAsia="Arial" w:hAnsi="Arial"/>
          <w:sz w:val="22"/>
          <w:szCs w:val="22"/>
          <w:color w:val="auto"/>
        </w:rPr>
        <w:t>45 -</w:t>
      </w:r>
    </w:p>
    <w:p>
      <w:pPr>
        <w:spacing w:after="0" w:line="20" w:lineRule="exact"/>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rFonts w:ascii="Arial" w:cs="Arial" w:eastAsia="Arial" w:hAnsi="Arial"/>
          <w:sz w:val="22"/>
          <w:szCs w:val="22"/>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rFonts w:ascii="Arial" w:cs="Arial" w:eastAsia="Arial" w:hAnsi="Arial"/>
          <w:sz w:val="22"/>
          <w:szCs w:val="22"/>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rFonts w:ascii="Arial" w:cs="Arial" w:eastAsia="Arial" w:hAnsi="Arial"/>
          <w:sz w:val="22"/>
          <w:szCs w:val="22"/>
          <w:color w:val="auto"/>
        </w:rPr>
      </w:pPr>
    </w:p>
    <w:p>
      <w:pPr>
        <w:ind w:left="460" w:hanging="452"/>
        <w:spacing w:after="0"/>
        <w:tabs>
          <w:tab w:leader="none" w:pos="46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CONDENSED CONSOLIDATING FINANCIAL INFORMATION</w:t>
      </w:r>
    </w:p>
    <w:p>
      <w:pPr>
        <w:spacing w:after="0" w:line="233" w:lineRule="exact"/>
        <w:rPr>
          <w:rFonts w:ascii="Arial" w:cs="Arial" w:eastAsia="Arial" w:hAnsi="Arial"/>
          <w:sz w:val="22"/>
          <w:szCs w:val="22"/>
          <w:color w:val="auto"/>
        </w:rPr>
      </w:pPr>
    </w:p>
    <w:p>
      <w:pPr>
        <w:ind w:left="460"/>
        <w:spacing w:after="0" w:line="287" w:lineRule="auto"/>
        <w:rPr>
          <w:rFonts w:ascii="Arial" w:cs="Arial" w:eastAsia="Arial" w:hAnsi="Arial"/>
          <w:sz w:val="22"/>
          <w:szCs w:val="22"/>
          <w:color w:val="auto"/>
        </w:rPr>
      </w:pPr>
      <w:r>
        <w:rPr>
          <w:rFonts w:ascii="Arial" w:cs="Arial" w:eastAsia="Arial" w:hAnsi="Arial"/>
          <w:sz w:val="19"/>
          <w:szCs w:val="19"/>
          <w:color w:val="auto"/>
        </w:rPr>
        <w:t>In November 2002, in order to simplify our capital structure, we and four of our cable holding company subsidiaries, Comcast Cable Communications, LLC (“CCCL”), Comcast Cable Communications Holdings, Inc. (“CCCH”), Comcast MO Group, Inc. (“Comcast MO Group”), and Comcast Cable Holdings, LLC (“CCH”), fully and unconditionally guaranteed each other’s debt securities. On March 12, 2003, Comcast MO of Delaware, LLC (“Comcast MO of Delaware”) was added to the cross-</w:t>
      </w:r>
    </w:p>
    <w:p>
      <w:pPr>
        <w:sectPr>
          <w:pgSz w:w="11900" w:h="16838" w:orient="portrait"/>
          <w:cols w:equalWidth="0" w:num="1">
            <w:col w:w="11380"/>
          </w:cols>
          <w:pgMar w:left="240" w:top="118" w:right="279" w:bottom="0" w:gutter="0" w:footer="0" w:header="0"/>
        </w:sectPr>
      </w:pPr>
    </w:p>
    <w:bookmarkStart w:id="97" w:name="page98"/>
    <w:bookmarkEnd w:id="97"/>
    <w:p>
      <w:pPr>
        <w:ind w:left="460"/>
        <w:spacing w:after="0" w:line="298" w:lineRule="auto"/>
        <w:rPr>
          <w:rFonts w:ascii="Arial" w:cs="Arial" w:eastAsia="Arial" w:hAnsi="Arial"/>
          <w:sz w:val="19"/>
          <w:szCs w:val="19"/>
          <w:color w:val="auto"/>
        </w:rPr>
      </w:pPr>
      <w:r>
        <w:rPr>
          <w:rFonts w:ascii="Arial" w:cs="Arial" w:eastAsia="Arial" w:hAnsi="Arial"/>
          <w:sz w:val="19"/>
          <w:szCs w:val="19"/>
          <w:color w:val="auto"/>
        </w:rPr>
        <w:t xml:space="preserve">guarantee structure (see </w:t>
      </w:r>
      <w:hyperlink w:anchor="page83">
        <w:r>
          <w:rPr>
            <w:rFonts w:ascii="Arial" w:cs="Arial" w:eastAsia="Arial" w:hAnsi="Arial"/>
            <w:sz w:val="19"/>
            <w:szCs w:val="19"/>
            <w:u w:val="single" w:color="auto"/>
            <w:color w:val="0000EE"/>
          </w:rPr>
          <w:t>Note 8</w:t>
        </w:r>
      </w:hyperlink>
      <w:r>
        <w:rPr>
          <w:rFonts w:ascii="Arial" w:cs="Arial" w:eastAsia="Arial" w:hAnsi="Arial"/>
          <w:sz w:val="19"/>
          <w:szCs w:val="19"/>
          <w:color w:val="auto"/>
        </w:rPr>
        <w:t>). Comcast MO Group and CCH (as of December 31, 2002) and Comcast MO Group, CCH and Comcast MO of Delaware (as of December 31, 2003 and for the year ended December 31, 2003) are collectively referred to as the “Combined CCHMO Parents.” Our condensed consolidating financial information is as follows (in millions):</w:t>
      </w:r>
    </w:p>
    <w:p>
      <w:pPr>
        <w:spacing w:after="0" w:line="159" w:lineRule="exact"/>
        <w:rPr>
          <w:sz w:val="20"/>
          <w:szCs w:val="20"/>
          <w:color w:val="auto"/>
        </w:rPr>
      </w:pPr>
    </w:p>
    <w:p>
      <w:pPr>
        <w:jc w:val="center"/>
        <w:ind w:right="1040"/>
        <w:spacing w:after="0"/>
        <w:rPr>
          <w:sz w:val="20"/>
          <w:szCs w:val="20"/>
          <w:color w:val="auto"/>
        </w:rPr>
      </w:pPr>
      <w:r>
        <w:rPr>
          <w:rFonts w:ascii="Arial" w:cs="Arial" w:eastAsia="Arial" w:hAnsi="Arial"/>
          <w:sz w:val="22"/>
          <w:szCs w:val="22"/>
          <w:color w:val="auto"/>
        </w:rPr>
        <w:t>Comcast Corporation</w:t>
      </w:r>
    </w:p>
    <w:p>
      <w:pPr>
        <w:jc w:val="center"/>
        <w:ind w:right="1040"/>
        <w:spacing w:after="0" w:line="238" w:lineRule="auto"/>
        <w:rPr>
          <w:sz w:val="20"/>
          <w:szCs w:val="20"/>
          <w:color w:val="auto"/>
        </w:rPr>
      </w:pPr>
      <w:r>
        <w:rPr>
          <w:rFonts w:ascii="Arial" w:cs="Arial" w:eastAsia="Arial" w:hAnsi="Arial"/>
          <w:sz w:val="22"/>
          <w:szCs w:val="22"/>
          <w:color w:val="auto"/>
        </w:rPr>
        <w:t>Condensed Consolidating Balance Sheet</w:t>
      </w:r>
    </w:p>
    <w:p>
      <w:pPr>
        <w:jc w:val="center"/>
        <w:ind w:right="1040"/>
        <w:spacing w:after="0"/>
        <w:rPr>
          <w:sz w:val="20"/>
          <w:szCs w:val="20"/>
          <w:color w:val="auto"/>
        </w:rPr>
      </w:pPr>
      <w:r>
        <w:rPr>
          <w:rFonts w:ascii="Arial" w:cs="Arial" w:eastAsia="Arial" w:hAnsi="Arial"/>
          <w:sz w:val="22"/>
          <w:szCs w:val="22"/>
          <w:color w:val="auto"/>
        </w:rPr>
        <w:t>As of December 31, 2003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Elimination</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w w:val="87"/>
              </w:rPr>
              <w:t>Combined</w:t>
            </w:r>
          </w:p>
        </w:tc>
        <w:tc>
          <w:tcPr>
            <w:tcW w:w="18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Non-</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Consolidated</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0"/>
              </w:rPr>
              <w:t>Comcast</w:t>
            </w:r>
          </w:p>
        </w:tc>
        <w:tc>
          <w:tcPr>
            <w:tcW w:w="18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CCCL</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CCCH</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9"/>
              </w:rPr>
              <w:t>CCHMO</w:t>
            </w:r>
          </w:p>
        </w:tc>
        <w:tc>
          <w:tcPr>
            <w:tcW w:w="18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Guarantor</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Consolidation</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Comcast</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Parent</w:t>
            </w:r>
          </w:p>
        </w:tc>
        <w:tc>
          <w:tcPr>
            <w:tcW w:w="18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Parent</w:t>
            </w: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Parent</w:t>
            </w:r>
          </w:p>
        </w:tc>
        <w:tc>
          <w:tcPr>
            <w:tcW w:w="18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w w:val="96"/>
              </w:rPr>
              <w:t>Parents</w:t>
            </w:r>
          </w:p>
        </w:tc>
        <w:tc>
          <w:tcPr>
            <w:tcW w:w="180" w:type="dxa"/>
            <w:vAlign w:val="bottom"/>
          </w:tcPr>
          <w:p>
            <w:pPr>
              <w:spacing w:after="0"/>
              <w:rPr>
                <w:sz w:val="19"/>
                <w:szCs w:val="19"/>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Subsidiaries</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Adjustments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Corporation</w:t>
            </w:r>
          </w:p>
        </w:tc>
        <w:tc>
          <w:tcPr>
            <w:tcW w:w="0" w:type="dxa"/>
            <w:vAlign w:val="bottom"/>
          </w:tcPr>
          <w:p>
            <w:pPr>
              <w:spacing w:after="0"/>
              <w:rPr>
                <w:sz w:val="1"/>
                <w:szCs w:val="1"/>
                <w:color w:val="auto"/>
              </w:rPr>
            </w:pPr>
          </w:p>
        </w:tc>
      </w:tr>
      <w:tr>
        <w:trPr>
          <w:trHeight w:val="110"/>
        </w:trPr>
        <w:tc>
          <w:tcPr>
            <w:tcW w:w="3240" w:type="dxa"/>
            <w:vAlign w:val="bottom"/>
            <w:gridSpan w:val="4"/>
            <w:vMerge w:val="restart"/>
          </w:tcPr>
          <w:p>
            <w:pPr>
              <w:spacing w:after="0"/>
              <w:rPr>
                <w:sz w:val="20"/>
                <w:szCs w:val="20"/>
                <w:color w:val="auto"/>
              </w:rPr>
            </w:pPr>
            <w:r>
              <w:rPr>
                <w:rFonts w:ascii="Arial" w:cs="Arial" w:eastAsia="Arial" w:hAnsi="Arial"/>
                <w:sz w:val="22"/>
                <w:szCs w:val="22"/>
                <w:color w:val="auto"/>
              </w:rPr>
              <w:t>ASSETS</w:t>
            </w:r>
          </w:p>
        </w:tc>
        <w:tc>
          <w:tcPr>
            <w:tcW w:w="1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3240" w:type="dxa"/>
            <w:vAlign w:val="bottom"/>
            <w:gridSpan w:val="4"/>
            <w:vMerge w:val="continue"/>
          </w:tcPr>
          <w:p>
            <w:pPr>
              <w:spacing w:after="0"/>
              <w:rPr>
                <w:sz w:val="24"/>
                <w:szCs w:val="24"/>
                <w:color w:val="auto"/>
              </w:rPr>
            </w:pPr>
          </w:p>
        </w:tc>
        <w:tc>
          <w:tcPr>
            <w:tcW w:w="820" w:type="dxa"/>
            <w:vAlign w:val="bottom"/>
            <w:gridSpan w:val="2"/>
            <w:vMerge w:val="restart"/>
          </w:tcPr>
          <w:p>
            <w:pPr>
              <w:jc w:val="right"/>
              <w:ind w:right="512"/>
              <w:spacing w:after="0"/>
              <w:rPr>
                <w:sz w:val="20"/>
                <w:szCs w:val="20"/>
                <w:color w:val="auto"/>
              </w:rPr>
            </w:pPr>
            <w:r>
              <w:rPr>
                <w:rFonts w:ascii="Arial" w:cs="Arial" w:eastAsia="Arial" w:hAnsi="Arial"/>
                <w:sz w:val="22"/>
                <w:szCs w:val="22"/>
                <w:color w:val="auto"/>
              </w:rPr>
              <w:t>$</w:t>
            </w:r>
          </w:p>
        </w:tc>
        <w:tc>
          <w:tcPr>
            <w:tcW w:w="900" w:type="dxa"/>
            <w:vAlign w:val="bottom"/>
            <w:gridSpan w:val="2"/>
            <w:vMerge w:val="restart"/>
          </w:tcPr>
          <w:p>
            <w:pPr>
              <w:jc w:val="right"/>
              <w:ind w:right="532"/>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c>
          <w:tcPr>
            <w:tcW w:w="720" w:type="dxa"/>
            <w:vAlign w:val="bottom"/>
            <w:vMerge w:val="restart"/>
          </w:tcPr>
          <w:p>
            <w:pPr>
              <w:jc w:val="right"/>
              <w:ind w:right="495"/>
              <w:spacing w:after="0"/>
              <w:rPr>
                <w:sz w:val="20"/>
                <w:szCs w:val="20"/>
                <w:color w:val="auto"/>
              </w:rPr>
            </w:pPr>
            <w:r>
              <w:rPr>
                <w:rFonts w:ascii="Arial" w:cs="Arial" w:eastAsia="Arial" w:hAnsi="Arial"/>
                <w:sz w:val="22"/>
                <w:szCs w:val="22"/>
                <w:color w:val="auto"/>
                <w:w w:val="81"/>
              </w:rPr>
              <w:t>$</w:t>
            </w:r>
          </w:p>
        </w:tc>
        <w:tc>
          <w:tcPr>
            <w:tcW w:w="920" w:type="dxa"/>
            <w:vAlign w:val="bottom"/>
            <w:gridSpan w:val="2"/>
            <w:vMerge w:val="restart"/>
          </w:tcPr>
          <w:p>
            <w:pPr>
              <w:ind w:left="180"/>
              <w:spacing w:after="0"/>
              <w:rPr>
                <w:sz w:val="20"/>
                <w:szCs w:val="20"/>
                <w:color w:val="auto"/>
              </w:rPr>
            </w:pPr>
            <w:r>
              <w:rPr>
                <w:rFonts w:ascii="Arial" w:cs="Arial" w:eastAsia="Arial" w:hAnsi="Arial"/>
                <w:sz w:val="22"/>
                <w:szCs w:val="22"/>
                <w:color w:val="auto"/>
              </w:rPr>
              <w:t>$</w:t>
            </w:r>
          </w:p>
        </w:tc>
        <w:tc>
          <w:tcPr>
            <w:tcW w:w="1220" w:type="dxa"/>
            <w:vAlign w:val="bottom"/>
            <w:gridSpan w:val="3"/>
            <w:vMerge w:val="restart"/>
          </w:tcPr>
          <w:p>
            <w:pPr>
              <w:jc w:val="right"/>
              <w:ind w:right="180"/>
              <w:spacing w:after="0"/>
              <w:rPr>
                <w:sz w:val="20"/>
                <w:szCs w:val="20"/>
                <w:color w:val="auto"/>
              </w:rPr>
            </w:pPr>
            <w:r>
              <w:rPr>
                <w:rFonts w:ascii="Arial" w:cs="Arial" w:eastAsia="Arial" w:hAnsi="Arial"/>
                <w:sz w:val="22"/>
                <w:szCs w:val="22"/>
                <w:color w:val="auto"/>
              </w:rPr>
              <w:t>$1,550</w:t>
            </w:r>
          </w:p>
        </w:tc>
        <w:tc>
          <w:tcPr>
            <w:tcW w:w="980" w:type="dxa"/>
            <w:vAlign w:val="bottom"/>
            <w:vMerge w:val="restart"/>
          </w:tcPr>
          <w:p>
            <w:pPr>
              <w:jc w:val="right"/>
              <w:ind w:right="781"/>
              <w:spacing w:after="0"/>
              <w:rPr>
                <w:sz w:val="20"/>
                <w:szCs w:val="20"/>
                <w:color w:val="auto"/>
              </w:rPr>
            </w:pPr>
            <w:r>
              <w:rPr>
                <w:rFonts w:ascii="Arial" w:cs="Arial" w:eastAsia="Arial" w:hAnsi="Arial"/>
                <w:sz w:val="19"/>
                <w:szCs w:val="19"/>
                <w:color w:val="auto"/>
                <w:w w:val="75"/>
              </w:rPr>
              <w:t>$</w:t>
            </w:r>
          </w:p>
        </w:tc>
        <w:tc>
          <w:tcPr>
            <w:tcW w:w="20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22"/>
                <w:szCs w:val="22"/>
                <w:color w:val="auto"/>
              </w:rPr>
              <w:t>$1,550</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240" w:type="dxa"/>
            <w:vAlign w:val="bottom"/>
            <w:gridSpan w:val="4"/>
          </w:tcPr>
          <w:p>
            <w:pPr>
              <w:ind w:left="180"/>
              <w:spacing w:after="0" w:line="242" w:lineRule="exact"/>
              <w:rPr>
                <w:sz w:val="20"/>
                <w:szCs w:val="20"/>
                <w:color w:val="auto"/>
              </w:rPr>
            </w:pPr>
            <w:r>
              <w:rPr>
                <w:rFonts w:ascii="Arial" w:cs="Arial" w:eastAsia="Arial" w:hAnsi="Arial"/>
                <w:sz w:val="22"/>
                <w:szCs w:val="22"/>
                <w:color w:val="auto"/>
              </w:rPr>
              <w:t>Cash and cash equivalents</w:t>
            </w:r>
          </w:p>
        </w:tc>
        <w:tc>
          <w:tcPr>
            <w:tcW w:w="820" w:type="dxa"/>
            <w:vAlign w:val="bottom"/>
            <w:gridSpan w:val="2"/>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220" w:type="dxa"/>
            <w:vAlign w:val="bottom"/>
            <w:gridSpan w:val="3"/>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Investments</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50</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2,443</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2,493</w:t>
            </w:r>
          </w:p>
        </w:tc>
        <w:tc>
          <w:tcPr>
            <w:tcW w:w="0" w:type="dxa"/>
            <w:vAlign w:val="bottom"/>
          </w:tcPr>
          <w:p>
            <w:pPr>
              <w:spacing w:after="0"/>
              <w:rPr>
                <w:sz w:val="1"/>
                <w:szCs w:val="1"/>
                <w:color w:val="auto"/>
              </w:rPr>
            </w:pPr>
          </w:p>
        </w:tc>
      </w:tr>
      <w:tr>
        <w:trPr>
          <w:trHeight w:val="243"/>
        </w:trPr>
        <w:tc>
          <w:tcPr>
            <w:tcW w:w="324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Accounts receivable, net</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907</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907</w:t>
            </w:r>
          </w:p>
        </w:tc>
        <w:tc>
          <w:tcPr>
            <w:tcW w:w="0" w:type="dxa"/>
            <w:vAlign w:val="bottom"/>
          </w:tcPr>
          <w:p>
            <w:pPr>
              <w:spacing w:after="0"/>
              <w:rPr>
                <w:sz w:val="1"/>
                <w:szCs w:val="1"/>
                <w:color w:val="auto"/>
              </w:rPr>
            </w:pPr>
          </w:p>
        </w:tc>
      </w:tr>
      <w:tr>
        <w:trPr>
          <w:trHeight w:val="275"/>
        </w:trPr>
        <w:tc>
          <w:tcPr>
            <w:tcW w:w="3240" w:type="dxa"/>
            <w:vAlign w:val="bottom"/>
            <w:gridSpan w:val="4"/>
          </w:tcPr>
          <w:p>
            <w:pPr>
              <w:ind w:left="180"/>
              <w:spacing w:after="0"/>
              <w:rPr>
                <w:sz w:val="20"/>
                <w:szCs w:val="20"/>
                <w:color w:val="auto"/>
              </w:rPr>
            </w:pPr>
            <w:r>
              <w:rPr>
                <w:rFonts w:ascii="Arial" w:cs="Arial" w:eastAsia="Arial" w:hAnsi="Arial"/>
                <w:sz w:val="22"/>
                <w:szCs w:val="22"/>
                <w:color w:val="auto"/>
              </w:rPr>
              <w:t>Other current assets</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15</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438</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453</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240" w:type="dxa"/>
            <w:vAlign w:val="bottom"/>
            <w:gridSpan w:val="4"/>
          </w:tcPr>
          <w:p>
            <w:pPr>
              <w:ind w:left="280"/>
              <w:spacing w:after="0"/>
              <w:rPr>
                <w:sz w:val="20"/>
                <w:szCs w:val="20"/>
                <w:color w:val="auto"/>
              </w:rPr>
            </w:pPr>
            <w:r>
              <w:rPr>
                <w:rFonts w:ascii="Arial" w:cs="Arial" w:eastAsia="Arial" w:hAnsi="Arial"/>
                <w:sz w:val="22"/>
                <w:szCs w:val="22"/>
                <w:color w:val="auto"/>
              </w:rPr>
              <w:t>Total current assets</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65</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5,338</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5,403</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240" w:type="dxa"/>
            <w:vAlign w:val="bottom"/>
            <w:gridSpan w:val="4"/>
          </w:tcPr>
          <w:p>
            <w:pPr>
              <w:ind w:left="180"/>
              <w:spacing w:after="0"/>
              <w:rPr>
                <w:sz w:val="20"/>
                <w:szCs w:val="20"/>
                <w:color w:val="auto"/>
              </w:rPr>
            </w:pPr>
            <w:r>
              <w:rPr>
                <w:rFonts w:ascii="Arial" w:cs="Arial" w:eastAsia="Arial" w:hAnsi="Arial"/>
                <w:sz w:val="22"/>
                <w:szCs w:val="22"/>
                <w:color w:val="auto"/>
              </w:rPr>
              <w:t>INVESTMENTS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14,818</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14,818</w:t>
            </w:r>
          </w:p>
        </w:tc>
        <w:tc>
          <w:tcPr>
            <w:tcW w:w="0" w:type="dxa"/>
            <w:vAlign w:val="bottom"/>
          </w:tcPr>
          <w:p>
            <w:pPr>
              <w:spacing w:after="0"/>
              <w:rPr>
                <w:sz w:val="1"/>
                <w:szCs w:val="1"/>
                <w:color w:val="auto"/>
              </w:rPr>
            </w:pPr>
          </w:p>
        </w:tc>
      </w:tr>
      <w:tr>
        <w:trPr>
          <w:trHeight w:val="243"/>
        </w:trPr>
        <w:tc>
          <w:tcPr>
            <w:tcW w:w="32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INVESTMENTS IN AND</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4"/>
          </w:tcPr>
          <w:p>
            <w:pPr>
              <w:spacing w:after="0" w:line="243" w:lineRule="exact"/>
              <w:rPr>
                <w:sz w:val="20"/>
                <w:szCs w:val="20"/>
                <w:color w:val="auto"/>
              </w:rPr>
            </w:pPr>
            <w:r>
              <w:rPr>
                <w:rFonts w:ascii="Arial" w:cs="Arial" w:eastAsia="Arial" w:hAnsi="Arial"/>
                <w:sz w:val="22"/>
                <w:szCs w:val="22"/>
                <w:color w:val="auto"/>
              </w:rPr>
              <w:t>AMOUNTS DUE</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FROM SUBSIDIARIES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4"/>
          </w:tcPr>
          <w:p>
            <w:pPr>
              <w:spacing w:after="0" w:line="243" w:lineRule="exact"/>
              <w:rPr>
                <w:sz w:val="20"/>
                <w:szCs w:val="20"/>
                <w:color w:val="auto"/>
              </w:rPr>
            </w:pPr>
            <w:r>
              <w:rPr>
                <w:rFonts w:ascii="Arial" w:cs="Arial" w:eastAsia="Arial" w:hAnsi="Arial"/>
                <w:sz w:val="22"/>
                <w:szCs w:val="22"/>
                <w:color w:val="auto"/>
              </w:rPr>
              <w:t>ELIMINATED</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UPON CONSOLIDATION</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46,268</w:t>
            </w:r>
          </w:p>
        </w:tc>
        <w:tc>
          <w:tcPr>
            <w:tcW w:w="1060" w:type="dxa"/>
            <w:vAlign w:val="bottom"/>
            <w:gridSpan w:val="3"/>
          </w:tcPr>
          <w:p>
            <w:pPr>
              <w:jc w:val="right"/>
              <w:ind w:right="160"/>
              <w:spacing w:after="0" w:line="243" w:lineRule="exact"/>
              <w:rPr>
                <w:sz w:val="20"/>
                <w:szCs w:val="20"/>
                <w:color w:val="auto"/>
              </w:rPr>
            </w:pPr>
            <w:r>
              <w:rPr>
                <w:rFonts w:ascii="Arial" w:cs="Arial" w:eastAsia="Arial" w:hAnsi="Arial"/>
                <w:sz w:val="22"/>
                <w:szCs w:val="22"/>
                <w:color w:val="auto"/>
              </w:rPr>
              <w:t>26,643</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33,138</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39,919</w:t>
            </w: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19,678</w:t>
            </w: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(165,646)</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4"/>
          </w:tcPr>
          <w:p>
            <w:pPr>
              <w:ind w:left="180"/>
              <w:spacing w:after="0" w:line="243" w:lineRule="exact"/>
              <w:rPr>
                <w:sz w:val="20"/>
                <w:szCs w:val="20"/>
                <w:color w:val="auto"/>
              </w:rPr>
            </w:pPr>
            <w:r>
              <w:rPr>
                <w:rFonts w:ascii="Arial" w:cs="Arial" w:eastAsia="Arial" w:hAnsi="Arial"/>
                <w:sz w:val="22"/>
                <w:szCs w:val="22"/>
                <w:color w:val="auto"/>
                <w:w w:val="96"/>
              </w:rPr>
              <w:t>PROPERTY AND EQUIPMENT,</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4"/>
          </w:tcPr>
          <w:p>
            <w:pPr>
              <w:spacing w:after="0" w:line="243" w:lineRule="exact"/>
              <w:rPr>
                <w:sz w:val="20"/>
                <w:szCs w:val="20"/>
                <w:color w:val="auto"/>
              </w:rPr>
            </w:pPr>
            <w:r>
              <w:rPr>
                <w:rFonts w:ascii="Arial" w:cs="Arial" w:eastAsia="Arial" w:hAnsi="Arial"/>
                <w:sz w:val="22"/>
                <w:szCs w:val="22"/>
                <w:color w:val="auto"/>
              </w:rPr>
              <w:t>net</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18,462</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18,473</w:t>
            </w:r>
          </w:p>
        </w:tc>
        <w:tc>
          <w:tcPr>
            <w:tcW w:w="0" w:type="dxa"/>
            <w:vAlign w:val="bottom"/>
          </w:tcPr>
          <w:p>
            <w:pPr>
              <w:spacing w:after="0"/>
              <w:rPr>
                <w:sz w:val="1"/>
                <w:szCs w:val="1"/>
                <w:color w:val="auto"/>
              </w:rPr>
            </w:pPr>
          </w:p>
        </w:tc>
      </w:tr>
      <w:tr>
        <w:trPr>
          <w:trHeight w:val="243"/>
        </w:trPr>
        <w:tc>
          <w:tcPr>
            <w:tcW w:w="32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FRANCHISE RIGHTS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51,050</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51,050</w:t>
            </w:r>
          </w:p>
        </w:tc>
        <w:tc>
          <w:tcPr>
            <w:tcW w:w="0" w:type="dxa"/>
            <w:vAlign w:val="bottom"/>
          </w:tcPr>
          <w:p>
            <w:pPr>
              <w:spacing w:after="0"/>
              <w:rPr>
                <w:sz w:val="1"/>
                <w:szCs w:val="1"/>
                <w:color w:val="auto"/>
              </w:rPr>
            </w:pPr>
          </w:p>
        </w:tc>
      </w:tr>
      <w:tr>
        <w:trPr>
          <w:trHeight w:val="243"/>
        </w:trPr>
        <w:tc>
          <w:tcPr>
            <w:tcW w:w="32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GOODWILL</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14,841</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14,841</w:t>
            </w:r>
          </w:p>
        </w:tc>
        <w:tc>
          <w:tcPr>
            <w:tcW w:w="0" w:type="dxa"/>
            <w:vAlign w:val="bottom"/>
          </w:tcPr>
          <w:p>
            <w:pPr>
              <w:spacing w:after="0"/>
              <w:rPr>
                <w:sz w:val="1"/>
                <w:szCs w:val="1"/>
                <w:color w:val="auto"/>
              </w:rPr>
            </w:pPr>
          </w:p>
        </w:tc>
      </w:tr>
      <w:tr>
        <w:trPr>
          <w:trHeight w:val="243"/>
        </w:trPr>
        <w:tc>
          <w:tcPr>
            <w:tcW w:w="3240" w:type="dxa"/>
            <w:vAlign w:val="bottom"/>
            <w:gridSpan w:val="4"/>
          </w:tcPr>
          <w:p>
            <w:pPr>
              <w:ind w:left="180"/>
              <w:spacing w:after="0" w:line="243" w:lineRule="exact"/>
              <w:rPr>
                <w:sz w:val="20"/>
                <w:szCs w:val="20"/>
                <w:color w:val="auto"/>
              </w:rPr>
            </w:pPr>
            <w:r>
              <w:rPr>
                <w:rFonts w:ascii="Arial" w:cs="Arial" w:eastAsia="Arial" w:hAnsi="Arial"/>
                <w:sz w:val="22"/>
                <w:szCs w:val="22"/>
                <w:color w:val="auto"/>
                <w:w w:val="97"/>
              </w:rPr>
              <w:t>OTHER INTANGIBLE ASSETS,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4"/>
          </w:tcPr>
          <w:p>
            <w:pPr>
              <w:spacing w:after="0" w:line="243" w:lineRule="exact"/>
              <w:rPr>
                <w:sz w:val="20"/>
                <w:szCs w:val="20"/>
                <w:color w:val="auto"/>
              </w:rPr>
            </w:pPr>
            <w:r>
              <w:rPr>
                <w:rFonts w:ascii="Arial" w:cs="Arial" w:eastAsia="Arial" w:hAnsi="Arial"/>
                <w:sz w:val="22"/>
                <w:szCs w:val="22"/>
                <w:color w:val="auto"/>
              </w:rPr>
              <w:t>net</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3,859</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3,859</w:t>
            </w:r>
          </w:p>
        </w:tc>
        <w:tc>
          <w:tcPr>
            <w:tcW w:w="0" w:type="dxa"/>
            <w:vAlign w:val="bottom"/>
          </w:tcPr>
          <w:p>
            <w:pPr>
              <w:spacing w:after="0"/>
              <w:rPr>
                <w:sz w:val="1"/>
                <w:szCs w:val="1"/>
                <w:color w:val="auto"/>
              </w:rPr>
            </w:pPr>
          </w:p>
        </w:tc>
      </w:tr>
      <w:tr>
        <w:trPr>
          <w:trHeight w:val="243"/>
        </w:trPr>
        <w:tc>
          <w:tcPr>
            <w:tcW w:w="32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OTHER NONCURRENT</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240" w:type="dxa"/>
            <w:vAlign w:val="bottom"/>
            <w:gridSpan w:val="4"/>
          </w:tcPr>
          <w:p>
            <w:pPr>
              <w:spacing w:after="0"/>
              <w:rPr>
                <w:sz w:val="20"/>
                <w:szCs w:val="20"/>
                <w:color w:val="auto"/>
              </w:rPr>
            </w:pPr>
            <w:r>
              <w:rPr>
                <w:rFonts w:ascii="Arial" w:cs="Arial" w:eastAsia="Arial" w:hAnsi="Arial"/>
                <w:sz w:val="22"/>
                <w:szCs w:val="22"/>
                <w:color w:val="auto"/>
              </w:rPr>
              <w:t>ASSETS, net</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87</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43</w:t>
            </w:r>
          </w:p>
        </w:tc>
        <w:tc>
          <w:tcPr>
            <w:tcW w:w="720" w:type="dxa"/>
            <w:vAlign w:val="bottom"/>
          </w:tcPr>
          <w:p>
            <w:pPr>
              <w:jc w:val="right"/>
              <w:spacing w:after="0"/>
              <w:rPr>
                <w:sz w:val="20"/>
                <w:szCs w:val="20"/>
                <w:color w:val="auto"/>
              </w:rPr>
            </w:pPr>
            <w:r>
              <w:rPr>
                <w:rFonts w:ascii="Arial" w:cs="Arial" w:eastAsia="Arial" w:hAnsi="Arial"/>
                <w:sz w:val="22"/>
                <w:szCs w:val="22"/>
                <w:color w:val="auto"/>
              </w:rPr>
              <w:t>30</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555</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715</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240" w:type="dxa"/>
            <w:vAlign w:val="bottom"/>
            <w:gridSpan w:val="4"/>
          </w:tcPr>
          <w:p>
            <w:pPr>
              <w:ind w:left="280"/>
              <w:spacing w:after="0"/>
              <w:rPr>
                <w:sz w:val="20"/>
                <w:szCs w:val="20"/>
                <w:color w:val="auto"/>
              </w:rPr>
            </w:pPr>
            <w:r>
              <w:rPr>
                <w:rFonts w:ascii="Arial" w:cs="Arial" w:eastAsia="Arial" w:hAnsi="Arial"/>
                <w:sz w:val="22"/>
                <w:szCs w:val="22"/>
                <w:color w:val="auto"/>
              </w:rPr>
              <w:t>Total Assets</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$46,427</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$26,686</w:t>
            </w:r>
          </w:p>
        </w:tc>
        <w:tc>
          <w:tcPr>
            <w:tcW w:w="720" w:type="dxa"/>
            <w:vAlign w:val="bottom"/>
          </w:tcPr>
          <w:p>
            <w:pPr>
              <w:jc w:val="right"/>
              <w:spacing w:after="0"/>
              <w:rPr>
                <w:sz w:val="20"/>
                <w:szCs w:val="20"/>
                <w:color w:val="auto"/>
              </w:rPr>
            </w:pPr>
            <w:r>
              <w:rPr>
                <w:rFonts w:ascii="Arial" w:cs="Arial" w:eastAsia="Arial" w:hAnsi="Arial"/>
                <w:sz w:val="22"/>
                <w:szCs w:val="22"/>
                <w:color w:val="auto"/>
                <w:w w:val="87"/>
              </w:rPr>
              <w:t>$33,172</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$39,919</w:t>
            </w: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$128,601</w:t>
            </w: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($165,646)</w:t>
            </w:r>
          </w:p>
        </w:tc>
        <w:tc>
          <w:tcPr>
            <w:tcW w:w="920" w:type="dxa"/>
            <w:vAlign w:val="bottom"/>
          </w:tcPr>
          <w:p>
            <w:pPr>
              <w:jc w:val="right"/>
              <w:spacing w:after="0"/>
              <w:rPr>
                <w:sz w:val="20"/>
                <w:szCs w:val="20"/>
                <w:color w:val="auto"/>
              </w:rPr>
            </w:pPr>
            <w:r>
              <w:rPr>
                <w:rFonts w:ascii="Arial" w:cs="Arial" w:eastAsia="Arial" w:hAnsi="Arial"/>
                <w:sz w:val="22"/>
                <w:szCs w:val="22"/>
                <w:color w:val="auto"/>
                <w:w w:val="98"/>
              </w:rPr>
              <w:t>$109,159</w:t>
            </w:r>
          </w:p>
        </w:tc>
        <w:tc>
          <w:tcPr>
            <w:tcW w:w="0" w:type="dxa"/>
            <w:vAlign w:val="bottom"/>
          </w:tcPr>
          <w:p>
            <w:pPr>
              <w:spacing w:after="0"/>
              <w:rPr>
                <w:sz w:val="1"/>
                <w:szCs w:val="1"/>
                <w:color w:val="auto"/>
              </w:rPr>
            </w:pPr>
          </w:p>
        </w:tc>
      </w:tr>
      <w:tr>
        <w:trPr>
          <w:trHeight w:val="108"/>
        </w:trPr>
        <w:tc>
          <w:tcPr>
            <w:tcW w:w="3240" w:type="dxa"/>
            <w:vAlign w:val="bottom"/>
            <w:gridSpan w:val="4"/>
            <w:vMerge w:val="restart"/>
          </w:tcPr>
          <w:p>
            <w:pPr>
              <w:spacing w:after="0"/>
              <w:rPr>
                <w:sz w:val="20"/>
                <w:szCs w:val="20"/>
                <w:color w:val="auto"/>
              </w:rPr>
            </w:pPr>
            <w:r>
              <w:rPr>
                <w:rFonts w:ascii="Arial" w:cs="Arial" w:eastAsia="Arial" w:hAnsi="Arial"/>
                <w:sz w:val="22"/>
                <w:szCs w:val="22"/>
                <w:color w:val="auto"/>
              </w:rPr>
              <w:t>LIABILITIES AND</w:t>
            </w:r>
          </w:p>
        </w:tc>
        <w:tc>
          <w:tcPr>
            <w:tcW w:w="1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50"/>
        </w:trPr>
        <w:tc>
          <w:tcPr>
            <w:tcW w:w="324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6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gridSpan w:val="4"/>
          </w:tcPr>
          <w:p>
            <w:pPr>
              <w:spacing w:after="0" w:line="223" w:lineRule="exact"/>
              <w:rPr>
                <w:sz w:val="20"/>
                <w:szCs w:val="20"/>
                <w:color w:val="auto"/>
              </w:rPr>
            </w:pPr>
            <w:r>
              <w:rPr>
                <w:rFonts w:ascii="Arial" w:cs="Arial" w:eastAsia="Arial" w:hAnsi="Arial"/>
                <w:sz w:val="22"/>
                <w:szCs w:val="22"/>
                <w:color w:val="auto"/>
              </w:rPr>
              <w:t>STOCKHOLDERS' EQUITY</w:t>
            </w:r>
          </w:p>
        </w:tc>
        <w:tc>
          <w:tcPr>
            <w:tcW w:w="820" w:type="dxa"/>
            <w:vAlign w:val="bottom"/>
            <w:gridSpan w:val="2"/>
            <w:vMerge w:val="restart"/>
          </w:tcPr>
          <w:p>
            <w:pPr>
              <w:jc w:val="right"/>
              <w:ind w:right="512"/>
              <w:spacing w:after="0"/>
              <w:rPr>
                <w:sz w:val="20"/>
                <w:szCs w:val="20"/>
                <w:color w:val="auto"/>
              </w:rPr>
            </w:pPr>
            <w:r>
              <w:rPr>
                <w:rFonts w:ascii="Arial" w:cs="Arial" w:eastAsia="Arial" w:hAnsi="Arial"/>
                <w:sz w:val="22"/>
                <w:szCs w:val="22"/>
                <w:color w:val="auto"/>
              </w:rPr>
              <w:t>$</w:t>
            </w:r>
          </w:p>
        </w:tc>
        <w:tc>
          <w:tcPr>
            <w:tcW w:w="900" w:type="dxa"/>
            <w:vAlign w:val="bottom"/>
            <w:gridSpan w:val="2"/>
            <w:vMerge w:val="restart"/>
          </w:tcPr>
          <w:p>
            <w:pPr>
              <w:jc w:val="right"/>
              <w:ind w:right="532"/>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19"/>
                <w:szCs w:val="19"/>
                <w:color w:val="auto"/>
              </w:rPr>
            </w:pPr>
          </w:p>
        </w:tc>
        <w:tc>
          <w:tcPr>
            <w:tcW w:w="720" w:type="dxa"/>
            <w:vAlign w:val="bottom"/>
            <w:vMerge w:val="restart"/>
          </w:tcPr>
          <w:p>
            <w:pPr>
              <w:jc w:val="right"/>
              <w:ind w:right="495"/>
              <w:spacing w:after="0"/>
              <w:rPr>
                <w:sz w:val="20"/>
                <w:szCs w:val="20"/>
                <w:color w:val="auto"/>
              </w:rPr>
            </w:pPr>
            <w:r>
              <w:rPr>
                <w:rFonts w:ascii="Arial" w:cs="Arial" w:eastAsia="Arial" w:hAnsi="Arial"/>
                <w:sz w:val="22"/>
                <w:szCs w:val="22"/>
                <w:color w:val="auto"/>
                <w:w w:val="81"/>
              </w:rPr>
              <w:t>$</w:t>
            </w:r>
          </w:p>
        </w:tc>
        <w:tc>
          <w:tcPr>
            <w:tcW w:w="920" w:type="dxa"/>
            <w:vAlign w:val="bottom"/>
            <w:gridSpan w:val="2"/>
            <w:vMerge w:val="restart"/>
          </w:tcPr>
          <w:p>
            <w:pPr>
              <w:ind w:left="180"/>
              <w:spacing w:after="0"/>
              <w:rPr>
                <w:sz w:val="20"/>
                <w:szCs w:val="20"/>
                <w:color w:val="auto"/>
              </w:rPr>
            </w:pPr>
            <w:r>
              <w:rPr>
                <w:rFonts w:ascii="Arial" w:cs="Arial" w:eastAsia="Arial" w:hAnsi="Arial"/>
                <w:sz w:val="22"/>
                <w:szCs w:val="22"/>
                <w:color w:val="auto"/>
              </w:rPr>
              <w:t>$</w:t>
            </w:r>
          </w:p>
        </w:tc>
        <w:tc>
          <w:tcPr>
            <w:tcW w:w="1220" w:type="dxa"/>
            <w:vAlign w:val="bottom"/>
            <w:gridSpan w:val="3"/>
            <w:vMerge w:val="restart"/>
          </w:tcPr>
          <w:p>
            <w:pPr>
              <w:jc w:val="right"/>
              <w:ind w:right="180"/>
              <w:spacing w:after="0"/>
              <w:rPr>
                <w:sz w:val="20"/>
                <w:szCs w:val="20"/>
                <w:color w:val="auto"/>
              </w:rPr>
            </w:pPr>
            <w:r>
              <w:rPr>
                <w:rFonts w:ascii="Arial" w:cs="Arial" w:eastAsia="Arial" w:hAnsi="Arial"/>
                <w:sz w:val="22"/>
                <w:szCs w:val="22"/>
                <w:color w:val="auto"/>
              </w:rPr>
              <w:t>$1,251</w:t>
            </w:r>
          </w:p>
        </w:tc>
        <w:tc>
          <w:tcPr>
            <w:tcW w:w="980" w:type="dxa"/>
            <w:vAlign w:val="bottom"/>
            <w:vMerge w:val="restart"/>
          </w:tcPr>
          <w:p>
            <w:pPr>
              <w:jc w:val="right"/>
              <w:ind w:right="781"/>
              <w:spacing w:after="0"/>
              <w:rPr>
                <w:sz w:val="20"/>
                <w:szCs w:val="20"/>
                <w:color w:val="auto"/>
              </w:rPr>
            </w:pPr>
            <w:r>
              <w:rPr>
                <w:rFonts w:ascii="Arial" w:cs="Arial" w:eastAsia="Arial" w:hAnsi="Arial"/>
                <w:sz w:val="19"/>
                <w:szCs w:val="19"/>
                <w:color w:val="auto"/>
                <w:w w:val="75"/>
              </w:rPr>
              <w:t>$</w:t>
            </w:r>
          </w:p>
        </w:tc>
        <w:tc>
          <w:tcPr>
            <w:tcW w:w="2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22"/>
                <w:szCs w:val="22"/>
                <w:color w:val="auto"/>
              </w:rPr>
              <w:t>$1,251</w:t>
            </w:r>
          </w:p>
        </w:tc>
        <w:tc>
          <w:tcPr>
            <w:tcW w:w="0" w:type="dxa"/>
            <w:vAlign w:val="bottom"/>
          </w:tcPr>
          <w:p>
            <w:pPr>
              <w:spacing w:after="0"/>
              <w:rPr>
                <w:sz w:val="1"/>
                <w:szCs w:val="1"/>
                <w:color w:val="auto"/>
              </w:rPr>
            </w:pPr>
          </w:p>
        </w:tc>
      </w:tr>
      <w:tr>
        <w:trPr>
          <w:trHeight w:val="242"/>
        </w:trPr>
        <w:tc>
          <w:tcPr>
            <w:tcW w:w="2600" w:type="dxa"/>
            <w:vAlign w:val="bottom"/>
            <w:tcBorders>
              <w:top w:val="single" w:sz="8" w:color="auto"/>
            </w:tcBorders>
            <w:gridSpan w:val="3"/>
          </w:tcPr>
          <w:p>
            <w:pPr>
              <w:ind w:left="160"/>
              <w:spacing w:after="0" w:line="242" w:lineRule="exact"/>
              <w:rPr>
                <w:sz w:val="20"/>
                <w:szCs w:val="20"/>
                <w:color w:val="auto"/>
              </w:rPr>
            </w:pPr>
            <w:r>
              <w:rPr>
                <w:rFonts w:ascii="Arial" w:cs="Arial" w:eastAsia="Arial" w:hAnsi="Arial"/>
                <w:sz w:val="22"/>
                <w:szCs w:val="22"/>
                <w:color w:val="auto"/>
              </w:rPr>
              <w:t>Accounts payable</w:t>
            </w:r>
          </w:p>
        </w:tc>
        <w:tc>
          <w:tcPr>
            <w:tcW w:w="640" w:type="dxa"/>
            <w:vAlign w:val="bottom"/>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220" w:type="dxa"/>
            <w:vAlign w:val="bottom"/>
            <w:gridSpan w:val="3"/>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Accrued expenses and other</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4"/>
          </w:tcPr>
          <w:p>
            <w:pPr>
              <w:spacing w:after="0" w:line="243" w:lineRule="exact"/>
              <w:rPr>
                <w:sz w:val="20"/>
                <w:szCs w:val="20"/>
                <w:color w:val="auto"/>
              </w:rPr>
            </w:pPr>
            <w:r>
              <w:rPr>
                <w:rFonts w:ascii="Arial" w:cs="Arial" w:eastAsia="Arial" w:hAnsi="Arial"/>
                <w:sz w:val="22"/>
                <w:szCs w:val="22"/>
                <w:color w:val="auto"/>
              </w:rPr>
              <w:t>current</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4"/>
          </w:tcPr>
          <w:p>
            <w:pPr>
              <w:ind w:left="220"/>
              <w:spacing w:after="0" w:line="243" w:lineRule="exact"/>
              <w:rPr>
                <w:sz w:val="20"/>
                <w:szCs w:val="20"/>
                <w:color w:val="auto"/>
              </w:rPr>
            </w:pPr>
            <w:r>
              <w:rPr>
                <w:rFonts w:ascii="Arial" w:cs="Arial" w:eastAsia="Arial" w:hAnsi="Arial"/>
                <w:sz w:val="22"/>
                <w:szCs w:val="22"/>
                <w:color w:val="auto"/>
              </w:rPr>
              <w:t>liabilities</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391</w:t>
            </w:r>
          </w:p>
        </w:tc>
        <w:tc>
          <w:tcPr>
            <w:tcW w:w="1060" w:type="dxa"/>
            <w:vAlign w:val="bottom"/>
            <w:gridSpan w:val="3"/>
          </w:tcPr>
          <w:p>
            <w:pPr>
              <w:jc w:val="right"/>
              <w:ind w:right="160"/>
              <w:spacing w:after="0" w:line="243" w:lineRule="exact"/>
              <w:rPr>
                <w:sz w:val="20"/>
                <w:szCs w:val="20"/>
                <w:color w:val="auto"/>
              </w:rPr>
            </w:pPr>
            <w:r>
              <w:rPr>
                <w:rFonts w:ascii="Arial" w:cs="Arial" w:eastAsia="Arial" w:hAnsi="Arial"/>
                <w:sz w:val="22"/>
                <w:szCs w:val="22"/>
                <w:color w:val="auto"/>
              </w:rPr>
              <w:t>99</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316</w:t>
            </w: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3,681</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4,563</w:t>
            </w:r>
          </w:p>
        </w:tc>
        <w:tc>
          <w:tcPr>
            <w:tcW w:w="0" w:type="dxa"/>
            <w:vAlign w:val="bottom"/>
          </w:tcPr>
          <w:p>
            <w:pPr>
              <w:spacing w:after="0"/>
              <w:rPr>
                <w:sz w:val="1"/>
                <w:szCs w:val="1"/>
                <w:color w:val="auto"/>
              </w:rPr>
            </w:pPr>
          </w:p>
        </w:tc>
      </w:tr>
      <w:tr>
        <w:trPr>
          <w:trHeight w:val="243"/>
        </w:trPr>
        <w:tc>
          <w:tcPr>
            <w:tcW w:w="32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Deferred income taxes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679</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679</w:t>
            </w:r>
          </w:p>
        </w:tc>
        <w:tc>
          <w:tcPr>
            <w:tcW w:w="0" w:type="dxa"/>
            <w:vAlign w:val="bottom"/>
          </w:tcPr>
          <w:p>
            <w:pPr>
              <w:spacing w:after="0"/>
              <w:rPr>
                <w:sz w:val="1"/>
                <w:szCs w:val="1"/>
                <w:color w:val="auto"/>
              </w:rPr>
            </w:pPr>
          </w:p>
        </w:tc>
      </w:tr>
      <w:tr>
        <w:trPr>
          <w:trHeight w:val="275"/>
        </w:trPr>
        <w:tc>
          <w:tcPr>
            <w:tcW w:w="3240" w:type="dxa"/>
            <w:vAlign w:val="bottom"/>
            <w:gridSpan w:val="4"/>
          </w:tcPr>
          <w:p>
            <w:pPr>
              <w:ind w:left="180"/>
              <w:spacing w:after="0"/>
              <w:rPr>
                <w:sz w:val="20"/>
                <w:szCs w:val="20"/>
                <w:color w:val="auto"/>
              </w:rPr>
            </w:pPr>
            <w:r>
              <w:rPr>
                <w:rFonts w:ascii="Arial" w:cs="Arial" w:eastAsia="Arial" w:hAnsi="Arial"/>
                <w:sz w:val="22"/>
                <w:szCs w:val="22"/>
                <w:color w:val="auto"/>
                <w:w w:val="95"/>
              </w:rPr>
              <w:t>Current portion of long-term debt</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303</w:t>
            </w:r>
          </w:p>
        </w:tc>
        <w:tc>
          <w:tcPr>
            <w:tcW w:w="72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314</w:t>
            </w: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2,544</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3,161</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240" w:type="dxa"/>
            <w:vAlign w:val="bottom"/>
            <w:gridSpan w:val="4"/>
          </w:tcPr>
          <w:p>
            <w:pPr>
              <w:ind w:left="280"/>
              <w:spacing w:after="0"/>
              <w:rPr>
                <w:sz w:val="20"/>
                <w:szCs w:val="20"/>
                <w:color w:val="auto"/>
              </w:rPr>
            </w:pPr>
            <w:r>
              <w:rPr>
                <w:rFonts w:ascii="Arial" w:cs="Arial" w:eastAsia="Arial" w:hAnsi="Arial"/>
                <w:sz w:val="22"/>
                <w:szCs w:val="22"/>
                <w:color w:val="auto"/>
              </w:rPr>
              <w:t>Total current liabilities</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391</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402</w:t>
            </w:r>
          </w:p>
        </w:tc>
        <w:tc>
          <w:tcPr>
            <w:tcW w:w="720" w:type="dxa"/>
            <w:vAlign w:val="bottom"/>
          </w:tcPr>
          <w:p>
            <w:pPr>
              <w:jc w:val="right"/>
              <w:spacing w:after="0"/>
              <w:rPr>
                <w:sz w:val="20"/>
                <w:szCs w:val="20"/>
                <w:color w:val="auto"/>
              </w:rPr>
            </w:pPr>
            <w:r>
              <w:rPr>
                <w:rFonts w:ascii="Arial" w:cs="Arial" w:eastAsia="Arial" w:hAnsi="Arial"/>
                <w:sz w:val="22"/>
                <w:szCs w:val="22"/>
                <w:color w:val="auto"/>
              </w:rPr>
              <w:t>76</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630</w:t>
            </w: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8,155</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9,654</w:t>
            </w:r>
          </w:p>
        </w:tc>
        <w:tc>
          <w:tcPr>
            <w:tcW w:w="0" w:type="dxa"/>
            <w:vAlign w:val="bottom"/>
          </w:tcPr>
          <w:p>
            <w:pPr>
              <w:spacing w:after="0"/>
              <w:rPr>
                <w:sz w:val="1"/>
                <w:szCs w:val="1"/>
                <w:color w:val="auto"/>
              </w:rPr>
            </w:pPr>
          </w:p>
        </w:tc>
      </w:tr>
      <w:tr>
        <w:trPr>
          <w:trHeight w:val="98"/>
        </w:trPr>
        <w:tc>
          <w:tcPr>
            <w:tcW w:w="3240" w:type="dxa"/>
            <w:vAlign w:val="bottom"/>
            <w:gridSpan w:val="4"/>
            <w:vMerge w:val="restart"/>
          </w:tcPr>
          <w:p>
            <w:pPr>
              <w:ind w:left="180"/>
              <w:spacing w:after="0"/>
              <w:rPr>
                <w:sz w:val="20"/>
                <w:szCs w:val="20"/>
                <w:color w:val="auto"/>
              </w:rPr>
            </w:pPr>
            <w:r>
              <w:rPr>
                <w:rFonts w:ascii="Arial" w:cs="Arial" w:eastAsia="Arial" w:hAnsi="Arial"/>
                <w:sz w:val="22"/>
                <w:szCs w:val="22"/>
                <w:color w:val="auto"/>
                <w:w w:val="94"/>
              </w:rPr>
              <w:t>LONG-TERM DEBT, less current</w:t>
            </w:r>
          </w:p>
        </w:tc>
        <w:tc>
          <w:tcPr>
            <w:tcW w:w="1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24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40" w:type="dxa"/>
            <w:vAlign w:val="bottom"/>
            <w:gridSpan w:val="4"/>
          </w:tcPr>
          <w:p>
            <w:pPr>
              <w:spacing w:after="0" w:line="243" w:lineRule="exact"/>
              <w:rPr>
                <w:sz w:val="20"/>
                <w:szCs w:val="20"/>
                <w:color w:val="auto"/>
              </w:rPr>
            </w:pPr>
            <w:r>
              <w:rPr>
                <w:rFonts w:ascii="Arial" w:cs="Arial" w:eastAsia="Arial" w:hAnsi="Arial"/>
                <w:sz w:val="22"/>
                <w:szCs w:val="22"/>
                <w:color w:val="auto"/>
              </w:rPr>
              <w:t>portion</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3,994</w:t>
            </w:r>
          </w:p>
        </w:tc>
        <w:tc>
          <w:tcPr>
            <w:tcW w:w="1060" w:type="dxa"/>
            <w:vAlign w:val="bottom"/>
            <w:gridSpan w:val="3"/>
          </w:tcPr>
          <w:p>
            <w:pPr>
              <w:jc w:val="right"/>
              <w:ind w:right="160"/>
              <w:spacing w:after="0" w:line="243" w:lineRule="exact"/>
              <w:rPr>
                <w:sz w:val="20"/>
                <w:szCs w:val="20"/>
                <w:color w:val="auto"/>
              </w:rPr>
            </w:pPr>
            <w:r>
              <w:rPr>
                <w:rFonts w:ascii="Arial" w:cs="Arial" w:eastAsia="Arial" w:hAnsi="Arial"/>
                <w:sz w:val="22"/>
                <w:szCs w:val="22"/>
                <w:color w:val="auto"/>
              </w:rPr>
              <w:t>6,606</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3,498</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6,151</w:t>
            </w: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3,586</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23,835</w:t>
            </w:r>
          </w:p>
        </w:tc>
        <w:tc>
          <w:tcPr>
            <w:tcW w:w="0" w:type="dxa"/>
            <w:vAlign w:val="bottom"/>
          </w:tcPr>
          <w:p>
            <w:pPr>
              <w:spacing w:after="0"/>
              <w:rPr>
                <w:sz w:val="1"/>
                <w:szCs w:val="1"/>
                <w:color w:val="auto"/>
              </w:rPr>
            </w:pPr>
          </w:p>
        </w:tc>
      </w:tr>
      <w:tr>
        <w:trPr>
          <w:trHeight w:val="243"/>
        </w:trPr>
        <w:tc>
          <w:tcPr>
            <w:tcW w:w="32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DEFERRED INCOME TAXES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25,900</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25,900</w:t>
            </w:r>
          </w:p>
        </w:tc>
        <w:tc>
          <w:tcPr>
            <w:tcW w:w="0" w:type="dxa"/>
            <w:vAlign w:val="bottom"/>
          </w:tcPr>
          <w:p>
            <w:pPr>
              <w:spacing w:after="0"/>
              <w:rPr>
                <w:sz w:val="1"/>
                <w:szCs w:val="1"/>
                <w:color w:val="auto"/>
              </w:rPr>
            </w:pPr>
          </w:p>
        </w:tc>
      </w:tr>
      <w:tr>
        <w:trPr>
          <w:trHeight w:val="243"/>
        </w:trPr>
        <w:tc>
          <w:tcPr>
            <w:tcW w:w="32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OTHER NONCURRENT</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gridSpan w:val="4"/>
          </w:tcPr>
          <w:p>
            <w:pPr>
              <w:spacing w:after="0" w:line="243" w:lineRule="exact"/>
              <w:rPr>
                <w:sz w:val="20"/>
                <w:szCs w:val="20"/>
                <w:color w:val="auto"/>
              </w:rPr>
            </w:pPr>
            <w:r>
              <w:rPr>
                <w:rFonts w:ascii="Arial" w:cs="Arial" w:eastAsia="Arial" w:hAnsi="Arial"/>
                <w:sz w:val="22"/>
                <w:szCs w:val="22"/>
                <w:color w:val="auto"/>
              </w:rPr>
              <w:t>LIABILITIES</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380</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gridSpan w:val="3"/>
          </w:tcPr>
          <w:p>
            <w:pPr>
              <w:jc w:val="right"/>
              <w:ind w:right="180"/>
              <w:spacing w:after="0" w:line="243" w:lineRule="exact"/>
              <w:rPr>
                <w:sz w:val="20"/>
                <w:szCs w:val="20"/>
                <w:color w:val="auto"/>
              </w:rPr>
            </w:pPr>
            <w:r>
              <w:rPr>
                <w:rFonts w:ascii="Arial" w:cs="Arial" w:eastAsia="Arial" w:hAnsi="Arial"/>
                <w:sz w:val="22"/>
                <w:szCs w:val="22"/>
                <w:color w:val="auto"/>
              </w:rPr>
              <w:t>7,436</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7,816</w:t>
            </w:r>
          </w:p>
        </w:tc>
        <w:tc>
          <w:tcPr>
            <w:tcW w:w="0" w:type="dxa"/>
            <w:vAlign w:val="bottom"/>
          </w:tcPr>
          <w:p>
            <w:pPr>
              <w:spacing w:after="0"/>
              <w:rPr>
                <w:sz w:val="1"/>
                <w:szCs w:val="1"/>
                <w:color w:val="auto"/>
              </w:rPr>
            </w:pPr>
          </w:p>
        </w:tc>
      </w:tr>
      <w:tr>
        <w:trPr>
          <w:trHeight w:val="275"/>
        </w:trPr>
        <w:tc>
          <w:tcPr>
            <w:tcW w:w="3240" w:type="dxa"/>
            <w:vAlign w:val="bottom"/>
            <w:gridSpan w:val="4"/>
          </w:tcPr>
          <w:p>
            <w:pPr>
              <w:ind w:left="180"/>
              <w:spacing w:after="0"/>
              <w:rPr>
                <w:sz w:val="20"/>
                <w:szCs w:val="20"/>
                <w:color w:val="auto"/>
              </w:rPr>
            </w:pPr>
            <w:r>
              <w:rPr>
                <w:rFonts w:ascii="Arial" w:cs="Arial" w:eastAsia="Arial" w:hAnsi="Arial"/>
                <w:sz w:val="22"/>
                <w:szCs w:val="22"/>
                <w:color w:val="auto"/>
              </w:rPr>
              <w:t>MINORITY INTEREST</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292</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292</w:t>
            </w:r>
          </w:p>
        </w:tc>
        <w:tc>
          <w:tcPr>
            <w:tcW w:w="0" w:type="dxa"/>
            <w:vAlign w:val="bottom"/>
          </w:tcPr>
          <w:p>
            <w:pPr>
              <w:spacing w:after="0"/>
              <w:rPr>
                <w:sz w:val="1"/>
                <w:szCs w:val="1"/>
                <w:color w:val="auto"/>
              </w:rPr>
            </w:pPr>
          </w:p>
        </w:tc>
      </w:tr>
      <w:tr>
        <w:trPr>
          <w:trHeight w:val="455"/>
        </w:trPr>
        <w:tc>
          <w:tcPr>
            <w:tcW w:w="3240" w:type="dxa"/>
            <w:vAlign w:val="bottom"/>
            <w:gridSpan w:val="4"/>
          </w:tcPr>
          <w:p>
            <w:pPr>
              <w:spacing w:after="0"/>
              <w:rPr>
                <w:sz w:val="20"/>
                <w:szCs w:val="20"/>
                <w:color w:val="auto"/>
              </w:rPr>
            </w:pPr>
            <w:r>
              <w:rPr>
                <w:rFonts w:ascii="Arial" w:cs="Arial" w:eastAsia="Arial" w:hAnsi="Arial"/>
                <w:sz w:val="22"/>
                <w:szCs w:val="22"/>
                <w:color w:val="auto"/>
              </w:rPr>
              <w:t>STOCKHOLDERS' EQUITY</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Common stock</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25</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75"/>
        </w:trPr>
        <w:tc>
          <w:tcPr>
            <w:tcW w:w="3240" w:type="dxa"/>
            <w:vAlign w:val="bottom"/>
            <w:gridSpan w:val="4"/>
          </w:tcPr>
          <w:p>
            <w:pPr>
              <w:ind w:left="180"/>
              <w:spacing w:after="0"/>
              <w:rPr>
                <w:sz w:val="20"/>
                <w:szCs w:val="20"/>
                <w:color w:val="auto"/>
              </w:rPr>
            </w:pPr>
            <w:r>
              <w:rPr>
                <w:rFonts w:ascii="Arial" w:cs="Arial" w:eastAsia="Arial" w:hAnsi="Arial"/>
                <w:sz w:val="22"/>
                <w:szCs w:val="22"/>
                <w:color w:val="auto"/>
              </w:rPr>
              <w:t>Other stockholders' equity</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41,637</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19,678</w:t>
            </w:r>
          </w:p>
        </w:tc>
        <w:tc>
          <w:tcPr>
            <w:tcW w:w="720" w:type="dxa"/>
            <w:vAlign w:val="bottom"/>
          </w:tcPr>
          <w:p>
            <w:pPr>
              <w:jc w:val="right"/>
              <w:spacing w:after="0"/>
              <w:rPr>
                <w:sz w:val="20"/>
                <w:szCs w:val="20"/>
                <w:color w:val="auto"/>
              </w:rPr>
            </w:pPr>
            <w:r>
              <w:rPr>
                <w:rFonts w:ascii="Arial" w:cs="Arial" w:eastAsia="Arial" w:hAnsi="Arial"/>
                <w:sz w:val="22"/>
                <w:szCs w:val="22"/>
                <w:color w:val="auto"/>
              </w:rPr>
              <w:t>29,598</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33,138</w:t>
            </w: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83,232</w:t>
            </w: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(165,646)</w:t>
            </w:r>
          </w:p>
        </w:tc>
        <w:tc>
          <w:tcPr>
            <w:tcW w:w="920" w:type="dxa"/>
            <w:vAlign w:val="bottom"/>
          </w:tcPr>
          <w:p>
            <w:pPr>
              <w:jc w:val="right"/>
              <w:spacing w:after="0"/>
              <w:rPr>
                <w:sz w:val="20"/>
                <w:szCs w:val="20"/>
                <w:color w:val="auto"/>
              </w:rPr>
            </w:pPr>
            <w:r>
              <w:rPr>
                <w:rFonts w:ascii="Arial" w:cs="Arial" w:eastAsia="Arial" w:hAnsi="Arial"/>
                <w:sz w:val="22"/>
                <w:szCs w:val="22"/>
                <w:color w:val="auto"/>
              </w:rPr>
              <w:t>41,637</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240" w:type="dxa"/>
            <w:vAlign w:val="bottom"/>
            <w:gridSpan w:val="4"/>
          </w:tcPr>
          <w:p>
            <w:pPr>
              <w:ind w:left="280"/>
              <w:spacing w:after="0"/>
              <w:rPr>
                <w:sz w:val="20"/>
                <w:szCs w:val="20"/>
                <w:color w:val="auto"/>
              </w:rPr>
            </w:pPr>
            <w:r>
              <w:rPr>
                <w:rFonts w:ascii="Arial" w:cs="Arial" w:eastAsia="Arial" w:hAnsi="Arial"/>
                <w:sz w:val="22"/>
                <w:szCs w:val="22"/>
                <w:color w:val="auto"/>
              </w:rPr>
              <w:t>Total Stockholders' Equity</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41,662</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19,678</w:t>
            </w:r>
          </w:p>
        </w:tc>
        <w:tc>
          <w:tcPr>
            <w:tcW w:w="720" w:type="dxa"/>
            <w:vAlign w:val="bottom"/>
          </w:tcPr>
          <w:p>
            <w:pPr>
              <w:jc w:val="right"/>
              <w:spacing w:after="0"/>
              <w:rPr>
                <w:sz w:val="20"/>
                <w:szCs w:val="20"/>
                <w:color w:val="auto"/>
              </w:rPr>
            </w:pPr>
            <w:r>
              <w:rPr>
                <w:rFonts w:ascii="Arial" w:cs="Arial" w:eastAsia="Arial" w:hAnsi="Arial"/>
                <w:sz w:val="22"/>
                <w:szCs w:val="22"/>
                <w:color w:val="auto"/>
              </w:rPr>
              <w:t>29,598</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33,138</w:t>
            </w: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83,232</w:t>
            </w: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(165,646)</w:t>
            </w:r>
          </w:p>
        </w:tc>
        <w:tc>
          <w:tcPr>
            <w:tcW w:w="920" w:type="dxa"/>
            <w:vAlign w:val="bottom"/>
          </w:tcPr>
          <w:p>
            <w:pPr>
              <w:jc w:val="right"/>
              <w:spacing w:after="0"/>
              <w:rPr>
                <w:sz w:val="20"/>
                <w:szCs w:val="20"/>
                <w:color w:val="auto"/>
              </w:rPr>
            </w:pPr>
            <w:r>
              <w:rPr>
                <w:rFonts w:ascii="Arial" w:cs="Arial" w:eastAsia="Arial" w:hAnsi="Arial"/>
                <w:sz w:val="22"/>
                <w:szCs w:val="22"/>
                <w:color w:val="auto"/>
              </w:rPr>
              <w:t>41,662</w:t>
            </w:r>
          </w:p>
        </w:tc>
        <w:tc>
          <w:tcPr>
            <w:tcW w:w="0" w:type="dxa"/>
            <w:vAlign w:val="bottom"/>
          </w:tcPr>
          <w:p>
            <w:pPr>
              <w:spacing w:after="0"/>
              <w:rPr>
                <w:sz w:val="1"/>
                <w:szCs w:val="1"/>
                <w:color w:val="auto"/>
              </w:rPr>
            </w:pPr>
          </w:p>
        </w:tc>
      </w:tr>
      <w:tr>
        <w:trPr>
          <w:trHeight w:val="98"/>
        </w:trPr>
        <w:tc>
          <w:tcPr>
            <w:tcW w:w="3240" w:type="dxa"/>
            <w:vAlign w:val="bottom"/>
            <w:gridSpan w:val="4"/>
            <w:vMerge w:val="restart"/>
          </w:tcPr>
          <w:p>
            <w:pPr>
              <w:ind w:left="280"/>
              <w:spacing w:after="0"/>
              <w:rPr>
                <w:sz w:val="20"/>
                <w:szCs w:val="20"/>
                <w:color w:val="auto"/>
              </w:rPr>
            </w:pPr>
            <w:r>
              <w:rPr>
                <w:rFonts w:ascii="Arial" w:cs="Arial" w:eastAsia="Arial" w:hAnsi="Arial"/>
                <w:sz w:val="22"/>
                <w:szCs w:val="22"/>
                <w:color w:val="auto"/>
              </w:rPr>
              <w:t>Total Liabilities and</w:t>
            </w:r>
          </w:p>
        </w:tc>
        <w:tc>
          <w:tcPr>
            <w:tcW w:w="1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24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40" w:type="dxa"/>
            <w:vAlign w:val="bottom"/>
            <w:gridSpan w:val="4"/>
          </w:tcPr>
          <w:p>
            <w:pPr>
              <w:spacing w:after="0" w:line="243" w:lineRule="exact"/>
              <w:rPr>
                <w:sz w:val="20"/>
                <w:szCs w:val="20"/>
                <w:color w:val="auto"/>
              </w:rPr>
            </w:pPr>
            <w:r>
              <w:rPr>
                <w:rFonts w:ascii="Arial" w:cs="Arial" w:eastAsia="Arial" w:hAnsi="Arial"/>
                <w:sz w:val="22"/>
                <w:szCs w:val="22"/>
                <w:color w:val="auto"/>
              </w:rPr>
              <w:t>Stockholders'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240" w:type="dxa"/>
            <w:vAlign w:val="bottom"/>
            <w:gridSpan w:val="4"/>
          </w:tcPr>
          <w:p>
            <w:pPr>
              <w:ind w:left="380"/>
              <w:spacing w:after="0"/>
              <w:rPr>
                <w:sz w:val="20"/>
                <w:szCs w:val="20"/>
                <w:color w:val="auto"/>
              </w:rPr>
            </w:pPr>
            <w:r>
              <w:rPr>
                <w:rFonts w:ascii="Arial" w:cs="Arial" w:eastAsia="Arial" w:hAnsi="Arial"/>
                <w:sz w:val="22"/>
                <w:szCs w:val="22"/>
                <w:color w:val="auto"/>
              </w:rPr>
              <w:t>Equity</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$46,427</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$26,686</w:t>
            </w:r>
          </w:p>
        </w:tc>
        <w:tc>
          <w:tcPr>
            <w:tcW w:w="720" w:type="dxa"/>
            <w:vAlign w:val="bottom"/>
          </w:tcPr>
          <w:p>
            <w:pPr>
              <w:jc w:val="right"/>
              <w:spacing w:after="0"/>
              <w:rPr>
                <w:sz w:val="20"/>
                <w:szCs w:val="20"/>
                <w:color w:val="auto"/>
              </w:rPr>
            </w:pPr>
            <w:r>
              <w:rPr>
                <w:rFonts w:ascii="Arial" w:cs="Arial" w:eastAsia="Arial" w:hAnsi="Arial"/>
                <w:sz w:val="22"/>
                <w:szCs w:val="22"/>
                <w:color w:val="auto"/>
                <w:w w:val="87"/>
              </w:rPr>
              <w:t>$33,172</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$39,919</w:t>
            </w: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$128,601</w:t>
            </w: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($165,646)</w:t>
            </w:r>
          </w:p>
        </w:tc>
        <w:tc>
          <w:tcPr>
            <w:tcW w:w="920" w:type="dxa"/>
            <w:vAlign w:val="bottom"/>
          </w:tcPr>
          <w:p>
            <w:pPr>
              <w:jc w:val="right"/>
              <w:spacing w:after="0"/>
              <w:rPr>
                <w:sz w:val="20"/>
                <w:szCs w:val="20"/>
                <w:color w:val="auto"/>
              </w:rPr>
            </w:pPr>
            <w:r>
              <w:rPr>
                <w:rFonts w:ascii="Arial" w:cs="Arial" w:eastAsia="Arial" w:hAnsi="Arial"/>
                <w:sz w:val="22"/>
                <w:szCs w:val="22"/>
                <w:color w:val="auto"/>
                <w:w w:val="98"/>
              </w:rPr>
              <w:t>$109,159</w:t>
            </w: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-4456430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-4456430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-4456430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-4456430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-4456430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-4456430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-4456430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-4456430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-4456430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-4456430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-4456430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-4456430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-4456430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-4456430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-14605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-14605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-14605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-14605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-14605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-14605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-14605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-14605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-14605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-14605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-14605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-14605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-14605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20"/>
          </w:cols>
          <w:pgMar w:left="240" w:top="118" w:right="339" w:bottom="0" w:gutter="0" w:footer="0" w:header="0"/>
        </w:sectPr>
      </w:pP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- 46 -</w:t>
      </w:r>
    </w:p>
    <w:p>
      <w:pPr>
        <w:sectPr>
          <w:pgSz w:w="11900" w:h="16838" w:orient="portrait"/>
          <w:cols w:equalWidth="0" w:num="1">
            <w:col w:w="11320"/>
          </w:cols>
          <w:pgMar w:left="240" w:top="118" w:right="339" w:bottom="0" w:gutter="0" w:footer="0" w:header="0"/>
          <w:type w:val="continuous"/>
        </w:sectPr>
      </w:pPr>
    </w:p>
    <w:bookmarkStart w:id="98" w:name="page99"/>
    <w:bookmarkEnd w:id="98"/>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Comcast Corporation</w:t>
      </w:r>
    </w:p>
    <w:p>
      <w:pPr>
        <w:jc w:val="center"/>
        <w:ind w:right="-60"/>
        <w:spacing w:after="0" w:line="238" w:lineRule="auto"/>
        <w:rPr>
          <w:sz w:val="20"/>
          <w:szCs w:val="20"/>
          <w:color w:val="auto"/>
        </w:rPr>
      </w:pPr>
      <w:r>
        <w:rPr>
          <w:rFonts w:ascii="Arial" w:cs="Arial" w:eastAsia="Arial" w:hAnsi="Arial"/>
          <w:sz w:val="22"/>
          <w:szCs w:val="22"/>
          <w:color w:val="auto"/>
        </w:rPr>
        <w:t>Condensed Consolidating Balance Sheet</w:t>
      </w:r>
    </w:p>
    <w:p>
      <w:pPr>
        <w:jc w:val="center"/>
        <w:ind w:right="-60"/>
        <w:spacing w:after="0"/>
        <w:rPr>
          <w:sz w:val="20"/>
          <w:szCs w:val="20"/>
          <w:color w:val="auto"/>
        </w:rPr>
      </w:pPr>
      <w:r>
        <w:rPr>
          <w:rFonts w:ascii="Arial" w:cs="Arial" w:eastAsia="Arial" w:hAnsi="Arial"/>
          <w:sz w:val="22"/>
          <w:szCs w:val="22"/>
          <w:color w:val="auto"/>
        </w:rPr>
        <w:t>As of December 31, 2002</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Elimination</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Combined</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Non-</w:t>
            </w:r>
          </w:p>
        </w:tc>
        <w:tc>
          <w:tcPr>
            <w:tcW w:w="16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79"/>
              </w:rPr>
              <w:t>and</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Consolidated</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Comcast</w:t>
            </w:r>
          </w:p>
        </w:tc>
        <w:tc>
          <w:tcPr>
            <w:tcW w:w="8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CCCL</w:t>
            </w:r>
          </w:p>
        </w:tc>
        <w:tc>
          <w:tcPr>
            <w:tcW w:w="18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CCCH</w:t>
            </w:r>
          </w:p>
        </w:tc>
        <w:tc>
          <w:tcPr>
            <w:tcW w:w="18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CCHMO</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Guarantor</w:t>
            </w:r>
          </w:p>
        </w:tc>
        <w:tc>
          <w:tcPr>
            <w:tcW w:w="16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Consolidation</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Comcast</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8"/>
                <w:szCs w:val="18"/>
                <w:color w:val="auto"/>
                <w:w w:val="82"/>
              </w:rPr>
              <w:t>Parent</w:t>
            </w:r>
          </w:p>
        </w:tc>
        <w:tc>
          <w:tcPr>
            <w:tcW w:w="8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Parent</w:t>
            </w:r>
          </w:p>
        </w:tc>
        <w:tc>
          <w:tcPr>
            <w:tcW w:w="18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Parent</w:t>
            </w:r>
          </w:p>
        </w:tc>
        <w:tc>
          <w:tcPr>
            <w:tcW w:w="180" w:type="dxa"/>
            <w:vAlign w:val="bottom"/>
          </w:tcPr>
          <w:p>
            <w:pPr>
              <w:spacing w:after="0"/>
              <w:rPr>
                <w:sz w:val="19"/>
                <w:szCs w:val="19"/>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83"/>
              </w:rPr>
              <w:t>Parents</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Subsidiaries</w:t>
            </w:r>
          </w:p>
        </w:tc>
        <w:tc>
          <w:tcPr>
            <w:tcW w:w="160" w:type="dxa"/>
            <w:vAlign w:val="bottom"/>
          </w:tcPr>
          <w:p>
            <w:pPr>
              <w:spacing w:after="0"/>
              <w:rPr>
                <w:sz w:val="19"/>
                <w:szCs w:val="19"/>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Adjustments</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Corporation</w:t>
            </w:r>
          </w:p>
        </w:tc>
        <w:tc>
          <w:tcPr>
            <w:tcW w:w="0" w:type="dxa"/>
            <w:vAlign w:val="bottom"/>
          </w:tcPr>
          <w:p>
            <w:pPr>
              <w:spacing w:after="0"/>
              <w:rPr>
                <w:sz w:val="1"/>
                <w:szCs w:val="1"/>
                <w:color w:val="auto"/>
              </w:rPr>
            </w:pPr>
          </w:p>
        </w:tc>
      </w:tr>
      <w:tr>
        <w:trPr>
          <w:trHeight w:val="110"/>
        </w:trPr>
        <w:tc>
          <w:tcPr>
            <w:tcW w:w="3360" w:type="dxa"/>
            <w:vAlign w:val="bottom"/>
            <w:gridSpan w:val="4"/>
            <w:vMerge w:val="restart"/>
          </w:tcPr>
          <w:p>
            <w:pPr>
              <w:spacing w:after="0"/>
              <w:rPr>
                <w:sz w:val="20"/>
                <w:szCs w:val="20"/>
                <w:color w:val="auto"/>
              </w:rPr>
            </w:pPr>
            <w:r>
              <w:rPr>
                <w:rFonts w:ascii="Arial" w:cs="Arial" w:eastAsia="Arial" w:hAnsi="Arial"/>
                <w:sz w:val="22"/>
                <w:szCs w:val="22"/>
                <w:color w:val="auto"/>
              </w:rPr>
              <w:t>ASSETS</w:t>
            </w:r>
          </w:p>
        </w:tc>
        <w:tc>
          <w:tcPr>
            <w:tcW w:w="7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3360" w:type="dxa"/>
            <w:vAlign w:val="bottom"/>
            <w:gridSpan w:val="4"/>
            <w:vMerge w:val="continue"/>
          </w:tcPr>
          <w:p>
            <w:pPr>
              <w:spacing w:after="0"/>
              <w:rPr>
                <w:sz w:val="24"/>
                <w:szCs w:val="24"/>
                <w:color w:val="auto"/>
              </w:rPr>
            </w:pPr>
          </w:p>
        </w:tc>
        <w:tc>
          <w:tcPr>
            <w:tcW w:w="720" w:type="dxa"/>
            <w:vAlign w:val="bottom"/>
            <w:vMerge w:val="restart"/>
          </w:tcPr>
          <w:p>
            <w:pPr>
              <w:jc w:val="right"/>
              <w:ind w:right="516"/>
              <w:spacing w:after="0"/>
              <w:rPr>
                <w:sz w:val="20"/>
                <w:szCs w:val="20"/>
                <w:color w:val="auto"/>
              </w:rPr>
            </w:pPr>
            <w:r>
              <w:rPr>
                <w:rFonts w:ascii="Arial" w:cs="Arial" w:eastAsia="Arial" w:hAnsi="Arial"/>
                <w:sz w:val="19"/>
                <w:szCs w:val="19"/>
                <w:color w:val="auto"/>
                <w:w w:val="75"/>
              </w:rPr>
              <w:t>$</w:t>
            </w:r>
          </w:p>
        </w:tc>
        <w:tc>
          <w:tcPr>
            <w:tcW w:w="80" w:type="dxa"/>
            <w:vAlign w:val="bottom"/>
          </w:tcPr>
          <w:p>
            <w:pPr>
              <w:spacing w:after="0"/>
              <w:rPr>
                <w:sz w:val="24"/>
                <w:szCs w:val="24"/>
                <w:color w:val="auto"/>
              </w:rPr>
            </w:pPr>
          </w:p>
        </w:tc>
        <w:tc>
          <w:tcPr>
            <w:tcW w:w="800" w:type="dxa"/>
            <w:vAlign w:val="bottom"/>
            <w:gridSpan w:val="2"/>
            <w:vMerge w:val="restart"/>
          </w:tcPr>
          <w:p>
            <w:pPr>
              <w:jc w:val="right"/>
              <w:ind w:right="512"/>
              <w:spacing w:after="0"/>
              <w:rPr>
                <w:sz w:val="20"/>
                <w:szCs w:val="20"/>
                <w:color w:val="auto"/>
              </w:rPr>
            </w:pPr>
            <w:r>
              <w:rPr>
                <w:rFonts w:ascii="Arial" w:cs="Arial" w:eastAsia="Arial" w:hAnsi="Arial"/>
                <w:sz w:val="22"/>
                <w:szCs w:val="22"/>
                <w:color w:val="auto"/>
              </w:rPr>
              <w:t>$</w:t>
            </w:r>
          </w:p>
        </w:tc>
        <w:tc>
          <w:tcPr>
            <w:tcW w:w="900" w:type="dxa"/>
            <w:vAlign w:val="bottom"/>
            <w:gridSpan w:val="2"/>
            <w:vMerge w:val="restart"/>
          </w:tcPr>
          <w:p>
            <w:pPr>
              <w:jc w:val="right"/>
              <w:ind w:right="532"/>
              <w:spacing w:after="0"/>
              <w:rPr>
                <w:sz w:val="20"/>
                <w:szCs w:val="20"/>
                <w:color w:val="auto"/>
              </w:rPr>
            </w:pPr>
            <w:r>
              <w:rPr>
                <w:rFonts w:ascii="Arial" w:cs="Arial" w:eastAsia="Arial" w:hAnsi="Arial"/>
                <w:sz w:val="22"/>
                <w:szCs w:val="22"/>
                <w:color w:val="auto"/>
              </w:rPr>
              <w:t>$</w:t>
            </w:r>
          </w:p>
        </w:tc>
        <w:tc>
          <w:tcPr>
            <w:tcW w:w="920" w:type="dxa"/>
            <w:vAlign w:val="bottom"/>
            <w:gridSpan w:val="2"/>
            <w:vMerge w:val="restart"/>
          </w:tcPr>
          <w:p>
            <w:pPr>
              <w:jc w:val="right"/>
              <w:ind w:right="552"/>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22"/>
                <w:szCs w:val="22"/>
                <w:color w:val="auto"/>
              </w:rPr>
              <w:t>$505</w:t>
            </w:r>
          </w:p>
        </w:tc>
        <w:tc>
          <w:tcPr>
            <w:tcW w:w="1160" w:type="dxa"/>
            <w:vAlign w:val="bottom"/>
            <w:gridSpan w:val="2"/>
            <w:vMerge w:val="restart"/>
          </w:tcPr>
          <w:p>
            <w:pPr>
              <w:jc w:val="right"/>
              <w:ind w:right="792"/>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Arial" w:cs="Arial" w:eastAsia="Arial" w:hAnsi="Arial"/>
                <w:sz w:val="22"/>
                <w:szCs w:val="22"/>
                <w:color w:val="auto"/>
              </w:rPr>
              <w:t>$505</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360" w:type="dxa"/>
            <w:vAlign w:val="bottom"/>
            <w:gridSpan w:val="4"/>
          </w:tcPr>
          <w:p>
            <w:pPr>
              <w:ind w:left="180"/>
              <w:spacing w:after="0" w:line="242" w:lineRule="exact"/>
              <w:rPr>
                <w:sz w:val="20"/>
                <w:szCs w:val="20"/>
                <w:color w:val="auto"/>
              </w:rPr>
            </w:pPr>
            <w:r>
              <w:rPr>
                <w:rFonts w:ascii="Arial" w:cs="Arial" w:eastAsia="Arial" w:hAnsi="Arial"/>
                <w:sz w:val="22"/>
                <w:szCs w:val="22"/>
                <w:color w:val="auto"/>
              </w:rPr>
              <w:t>Cash and cash equivalents</w:t>
            </w:r>
          </w:p>
        </w:tc>
        <w:tc>
          <w:tcPr>
            <w:tcW w:w="7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Investments</w:t>
            </w:r>
          </w:p>
        </w:tc>
        <w:tc>
          <w:tcPr>
            <w:tcW w:w="8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30</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3,228</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3,258</w:t>
            </w:r>
          </w:p>
        </w:tc>
        <w:tc>
          <w:tcPr>
            <w:tcW w:w="0" w:type="dxa"/>
            <w:vAlign w:val="bottom"/>
          </w:tcPr>
          <w:p>
            <w:pPr>
              <w:spacing w:after="0"/>
              <w:rPr>
                <w:sz w:val="1"/>
                <w:szCs w:val="1"/>
                <w:color w:val="auto"/>
              </w:rPr>
            </w:pPr>
          </w:p>
        </w:tc>
      </w:tr>
      <w:tr>
        <w:trPr>
          <w:trHeight w:val="243"/>
        </w:trPr>
        <w:tc>
          <w:tcPr>
            <w:tcW w:w="336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Accounts receivable, net</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862</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862</w:t>
            </w:r>
          </w:p>
        </w:tc>
        <w:tc>
          <w:tcPr>
            <w:tcW w:w="0" w:type="dxa"/>
            <w:vAlign w:val="bottom"/>
          </w:tcPr>
          <w:p>
            <w:pPr>
              <w:spacing w:after="0"/>
              <w:rPr>
                <w:sz w:val="1"/>
                <w:szCs w:val="1"/>
                <w:color w:val="auto"/>
              </w:rPr>
            </w:pPr>
          </w:p>
        </w:tc>
      </w:tr>
      <w:tr>
        <w:trPr>
          <w:trHeight w:val="243"/>
        </w:trPr>
        <w:tc>
          <w:tcPr>
            <w:tcW w:w="336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Other current assets</w:t>
            </w:r>
          </w:p>
        </w:tc>
        <w:tc>
          <w:tcPr>
            <w:tcW w:w="8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22</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358</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380</w:t>
            </w:r>
          </w:p>
        </w:tc>
        <w:tc>
          <w:tcPr>
            <w:tcW w:w="0" w:type="dxa"/>
            <w:vAlign w:val="bottom"/>
          </w:tcPr>
          <w:p>
            <w:pPr>
              <w:spacing w:after="0"/>
              <w:rPr>
                <w:sz w:val="1"/>
                <w:szCs w:val="1"/>
                <w:color w:val="auto"/>
              </w:rPr>
            </w:pPr>
          </w:p>
        </w:tc>
      </w:tr>
      <w:tr>
        <w:trPr>
          <w:trHeight w:val="243"/>
        </w:trPr>
        <w:tc>
          <w:tcPr>
            <w:tcW w:w="336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Current assets of discontinued</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ind w:left="220"/>
              <w:spacing w:after="0" w:line="243" w:lineRule="exact"/>
              <w:rPr>
                <w:sz w:val="20"/>
                <w:szCs w:val="20"/>
                <w:color w:val="auto"/>
              </w:rPr>
            </w:pPr>
            <w:r>
              <w:rPr>
                <w:rFonts w:ascii="Arial" w:cs="Arial" w:eastAsia="Arial" w:hAnsi="Arial"/>
                <w:sz w:val="22"/>
                <w:szCs w:val="22"/>
                <w:color w:val="auto"/>
              </w:rPr>
              <w:t>operations</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1,481</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1,481</w:t>
            </w:r>
          </w:p>
        </w:tc>
        <w:tc>
          <w:tcPr>
            <w:tcW w:w="0" w:type="dxa"/>
            <w:vAlign w:val="bottom"/>
          </w:tcPr>
          <w:p>
            <w:pPr>
              <w:spacing w:after="0"/>
              <w:rPr>
                <w:sz w:val="1"/>
                <w:szCs w:val="1"/>
                <w:color w:val="auto"/>
              </w:rPr>
            </w:pPr>
          </w:p>
        </w:tc>
      </w:tr>
      <w:tr>
        <w:trPr>
          <w:trHeight w:val="275"/>
        </w:trPr>
        <w:tc>
          <w:tcPr>
            <w:tcW w:w="3360" w:type="dxa"/>
            <w:vAlign w:val="bottom"/>
            <w:gridSpan w:val="4"/>
          </w:tcPr>
          <w:p>
            <w:pPr>
              <w:ind w:left="180"/>
              <w:spacing w:after="0"/>
              <w:rPr>
                <w:sz w:val="20"/>
                <w:szCs w:val="20"/>
                <w:color w:val="auto"/>
              </w:rPr>
            </w:pPr>
            <w:r>
              <w:rPr>
                <w:rFonts w:ascii="Arial" w:cs="Arial" w:eastAsia="Arial" w:hAnsi="Arial"/>
                <w:sz w:val="22"/>
                <w:szCs w:val="22"/>
                <w:color w:val="auto"/>
              </w:rPr>
              <w:t>Current assets held for sale</w:t>
            </w: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613</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613</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60" w:type="dxa"/>
            <w:vAlign w:val="bottom"/>
            <w:gridSpan w:val="4"/>
          </w:tcPr>
          <w:p>
            <w:pPr>
              <w:ind w:left="280"/>
              <w:spacing w:after="0"/>
              <w:rPr>
                <w:sz w:val="20"/>
                <w:szCs w:val="20"/>
                <w:color w:val="auto"/>
              </w:rPr>
            </w:pPr>
            <w:r>
              <w:rPr>
                <w:rFonts w:ascii="Arial" w:cs="Arial" w:eastAsia="Arial" w:hAnsi="Arial"/>
                <w:sz w:val="22"/>
                <w:szCs w:val="22"/>
                <w:color w:val="auto"/>
              </w:rPr>
              <w:t>Total current assets</w:t>
            </w:r>
          </w:p>
        </w:tc>
        <w:tc>
          <w:tcPr>
            <w:tcW w:w="800" w:type="dxa"/>
            <w:vAlign w:val="bottom"/>
            <w:gridSpan w:val="2"/>
          </w:tcPr>
          <w:p>
            <w:pPr>
              <w:jc w:val="right"/>
              <w:ind w:right="80"/>
              <w:spacing w:after="0"/>
              <w:rPr>
                <w:sz w:val="20"/>
                <w:szCs w:val="20"/>
                <w:color w:val="auto"/>
              </w:rPr>
            </w:pPr>
            <w:r>
              <w:rPr>
                <w:rFonts w:ascii="Arial" w:cs="Arial" w:eastAsia="Arial" w:hAnsi="Arial"/>
                <w:sz w:val="22"/>
                <w:szCs w:val="22"/>
                <w:color w:val="auto"/>
              </w:rPr>
              <w:t>52</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7,047</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7,099</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60" w:type="dxa"/>
            <w:vAlign w:val="bottom"/>
            <w:gridSpan w:val="4"/>
          </w:tcPr>
          <w:p>
            <w:pPr>
              <w:ind w:left="180"/>
              <w:spacing w:after="0"/>
              <w:rPr>
                <w:sz w:val="20"/>
                <w:szCs w:val="20"/>
                <w:color w:val="auto"/>
              </w:rPr>
            </w:pPr>
            <w:r>
              <w:rPr>
                <w:rFonts w:ascii="Arial" w:cs="Arial" w:eastAsia="Arial" w:hAnsi="Arial"/>
                <w:sz w:val="22"/>
                <w:szCs w:val="22"/>
                <w:color w:val="auto"/>
              </w:rPr>
              <w:t>INVESTMENTS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15,174</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15,174</w:t>
            </w:r>
          </w:p>
        </w:tc>
        <w:tc>
          <w:tcPr>
            <w:tcW w:w="0" w:type="dxa"/>
            <w:vAlign w:val="bottom"/>
          </w:tcPr>
          <w:p>
            <w:pPr>
              <w:spacing w:after="0"/>
              <w:rPr>
                <w:sz w:val="1"/>
                <w:szCs w:val="1"/>
                <w:color w:val="auto"/>
              </w:rPr>
            </w:pPr>
          </w:p>
        </w:tc>
      </w:tr>
      <w:tr>
        <w:trPr>
          <w:trHeight w:val="243"/>
        </w:trPr>
        <w:tc>
          <w:tcPr>
            <w:tcW w:w="336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INVESTMENTS IN AND</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spacing w:after="0" w:line="243" w:lineRule="exact"/>
              <w:rPr>
                <w:sz w:val="20"/>
                <w:szCs w:val="20"/>
                <w:color w:val="auto"/>
              </w:rPr>
            </w:pPr>
            <w:r>
              <w:rPr>
                <w:rFonts w:ascii="Arial" w:cs="Arial" w:eastAsia="Arial" w:hAnsi="Arial"/>
                <w:sz w:val="22"/>
                <w:szCs w:val="22"/>
                <w:color w:val="auto"/>
              </w:rPr>
              <w:t>AMOUNTS</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DUE FROM SUBSIDIARIES</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ELIMINATED UPON</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CONSOLIDATION</w:t>
            </w:r>
          </w:p>
        </w:tc>
        <w:tc>
          <w:tcPr>
            <w:tcW w:w="8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39,356</w:t>
            </w:r>
          </w:p>
        </w:tc>
        <w:tc>
          <w:tcPr>
            <w:tcW w:w="8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21,818</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33,683</w:t>
            </w:r>
          </w:p>
        </w:tc>
        <w:tc>
          <w:tcPr>
            <w:tcW w:w="1080" w:type="dxa"/>
            <w:vAlign w:val="bottom"/>
            <w:gridSpan w:val="3"/>
          </w:tcPr>
          <w:p>
            <w:pPr>
              <w:jc w:val="right"/>
              <w:ind w:right="160"/>
              <w:spacing w:after="0" w:line="243" w:lineRule="exact"/>
              <w:rPr>
                <w:sz w:val="20"/>
                <w:szCs w:val="20"/>
                <w:color w:val="auto"/>
              </w:rPr>
            </w:pPr>
            <w:r>
              <w:rPr>
                <w:rFonts w:ascii="Arial" w:cs="Arial" w:eastAsia="Arial" w:hAnsi="Arial"/>
                <w:sz w:val="22"/>
                <w:szCs w:val="22"/>
                <w:color w:val="auto"/>
              </w:rPr>
              <w:t>40,749</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13,913</w:t>
            </w:r>
          </w:p>
        </w:tc>
        <w:tc>
          <w:tcPr>
            <w:tcW w:w="13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(149,519)</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ind w:left="180"/>
              <w:spacing w:after="0" w:line="243" w:lineRule="exact"/>
              <w:rPr>
                <w:sz w:val="20"/>
                <w:szCs w:val="20"/>
                <w:color w:val="auto"/>
              </w:rPr>
            </w:pPr>
            <w:r>
              <w:rPr>
                <w:rFonts w:ascii="Arial" w:cs="Arial" w:eastAsia="Arial" w:hAnsi="Arial"/>
                <w:sz w:val="22"/>
                <w:szCs w:val="22"/>
                <w:color w:val="auto"/>
                <w:w w:val="99"/>
              </w:rPr>
              <w:t>PROPERTY AND EQUIPMENT,</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spacing w:after="0" w:line="243" w:lineRule="exact"/>
              <w:rPr>
                <w:sz w:val="20"/>
                <w:szCs w:val="20"/>
                <w:color w:val="auto"/>
              </w:rPr>
            </w:pPr>
            <w:r>
              <w:rPr>
                <w:rFonts w:ascii="Arial" w:cs="Arial" w:eastAsia="Arial" w:hAnsi="Arial"/>
                <w:sz w:val="22"/>
                <w:szCs w:val="22"/>
                <w:color w:val="auto"/>
              </w:rPr>
              <w:t>net</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18,381</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18,381</w:t>
            </w:r>
          </w:p>
        </w:tc>
        <w:tc>
          <w:tcPr>
            <w:tcW w:w="0" w:type="dxa"/>
            <w:vAlign w:val="bottom"/>
          </w:tcPr>
          <w:p>
            <w:pPr>
              <w:spacing w:after="0"/>
              <w:rPr>
                <w:sz w:val="1"/>
                <w:szCs w:val="1"/>
                <w:color w:val="auto"/>
              </w:rPr>
            </w:pPr>
          </w:p>
        </w:tc>
      </w:tr>
      <w:tr>
        <w:trPr>
          <w:trHeight w:val="243"/>
        </w:trPr>
        <w:tc>
          <w:tcPr>
            <w:tcW w:w="336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FRANCHISE RIGHTS</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48,222</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48,222</w:t>
            </w:r>
          </w:p>
        </w:tc>
        <w:tc>
          <w:tcPr>
            <w:tcW w:w="0" w:type="dxa"/>
            <w:vAlign w:val="bottom"/>
          </w:tcPr>
          <w:p>
            <w:pPr>
              <w:spacing w:after="0"/>
              <w:rPr>
                <w:sz w:val="1"/>
                <w:szCs w:val="1"/>
                <w:color w:val="auto"/>
              </w:rPr>
            </w:pPr>
          </w:p>
        </w:tc>
      </w:tr>
      <w:tr>
        <w:trPr>
          <w:trHeight w:val="243"/>
        </w:trPr>
        <w:tc>
          <w:tcPr>
            <w:tcW w:w="336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GOODWILL</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16,562</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16,562</w:t>
            </w:r>
          </w:p>
        </w:tc>
        <w:tc>
          <w:tcPr>
            <w:tcW w:w="0" w:type="dxa"/>
            <w:vAlign w:val="bottom"/>
          </w:tcPr>
          <w:p>
            <w:pPr>
              <w:spacing w:after="0"/>
              <w:rPr>
                <w:sz w:val="1"/>
                <w:szCs w:val="1"/>
                <w:color w:val="auto"/>
              </w:rPr>
            </w:pPr>
          </w:p>
        </w:tc>
      </w:tr>
      <w:tr>
        <w:trPr>
          <w:trHeight w:val="243"/>
        </w:trPr>
        <w:tc>
          <w:tcPr>
            <w:tcW w:w="336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OTHER INTANGIBLE ASSETS,</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spacing w:after="0" w:line="243" w:lineRule="exact"/>
              <w:rPr>
                <w:sz w:val="20"/>
                <w:szCs w:val="20"/>
                <w:color w:val="auto"/>
              </w:rPr>
            </w:pPr>
            <w:r>
              <w:rPr>
                <w:rFonts w:ascii="Arial" w:cs="Arial" w:eastAsia="Arial" w:hAnsi="Arial"/>
                <w:sz w:val="22"/>
                <w:szCs w:val="22"/>
                <w:color w:val="auto"/>
              </w:rPr>
              <w:t>net</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5,429</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5,429</w:t>
            </w:r>
          </w:p>
        </w:tc>
        <w:tc>
          <w:tcPr>
            <w:tcW w:w="0" w:type="dxa"/>
            <w:vAlign w:val="bottom"/>
          </w:tcPr>
          <w:p>
            <w:pPr>
              <w:spacing w:after="0"/>
              <w:rPr>
                <w:sz w:val="1"/>
                <w:szCs w:val="1"/>
                <w:color w:val="auto"/>
              </w:rPr>
            </w:pPr>
          </w:p>
        </w:tc>
      </w:tr>
      <w:tr>
        <w:trPr>
          <w:trHeight w:val="243"/>
        </w:trPr>
        <w:tc>
          <w:tcPr>
            <w:tcW w:w="336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OTHER NONCURRENT</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spacing w:after="0" w:line="243" w:lineRule="exact"/>
              <w:rPr>
                <w:sz w:val="20"/>
                <w:szCs w:val="20"/>
                <w:color w:val="auto"/>
              </w:rPr>
            </w:pPr>
            <w:r>
              <w:rPr>
                <w:rFonts w:ascii="Arial" w:cs="Arial" w:eastAsia="Arial" w:hAnsi="Arial"/>
                <w:sz w:val="22"/>
                <w:szCs w:val="22"/>
                <w:color w:val="auto"/>
              </w:rPr>
              <w:t>ASSETS, net</w:t>
            </w:r>
          </w:p>
        </w:tc>
        <w:tc>
          <w:tcPr>
            <w:tcW w:w="8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74</w:t>
            </w:r>
          </w:p>
        </w:tc>
        <w:tc>
          <w:tcPr>
            <w:tcW w:w="8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99</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121</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372</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666</w:t>
            </w:r>
          </w:p>
        </w:tc>
        <w:tc>
          <w:tcPr>
            <w:tcW w:w="0" w:type="dxa"/>
            <w:vAlign w:val="bottom"/>
          </w:tcPr>
          <w:p>
            <w:pPr>
              <w:spacing w:after="0"/>
              <w:rPr>
                <w:sz w:val="1"/>
                <w:szCs w:val="1"/>
                <w:color w:val="auto"/>
              </w:rPr>
            </w:pPr>
          </w:p>
        </w:tc>
      </w:tr>
      <w:tr>
        <w:trPr>
          <w:trHeight w:val="243"/>
        </w:trPr>
        <w:tc>
          <w:tcPr>
            <w:tcW w:w="336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NON-CURRENT ASSETS OF</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DISCONTINUED</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gridSpan w:val="4"/>
          </w:tcPr>
          <w:p>
            <w:pPr>
              <w:spacing w:after="0"/>
              <w:rPr>
                <w:sz w:val="20"/>
                <w:szCs w:val="20"/>
                <w:color w:val="auto"/>
              </w:rPr>
            </w:pPr>
            <w:r>
              <w:rPr>
                <w:rFonts w:ascii="Arial" w:cs="Arial" w:eastAsia="Arial" w:hAnsi="Arial"/>
                <w:sz w:val="22"/>
                <w:szCs w:val="22"/>
                <w:color w:val="auto"/>
              </w:rPr>
              <w:t>OPERATIONS</w:t>
            </w: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1,595</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1,595</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60" w:type="dxa"/>
            <w:vAlign w:val="bottom"/>
            <w:gridSpan w:val="4"/>
          </w:tcPr>
          <w:p>
            <w:pPr>
              <w:ind w:left="160"/>
              <w:spacing w:after="0"/>
              <w:rPr>
                <w:sz w:val="20"/>
                <w:szCs w:val="20"/>
                <w:color w:val="auto"/>
              </w:rPr>
            </w:pPr>
            <w:r>
              <w:rPr>
                <w:rFonts w:ascii="Arial" w:cs="Arial" w:eastAsia="Arial" w:hAnsi="Arial"/>
                <w:sz w:val="22"/>
                <w:szCs w:val="22"/>
                <w:color w:val="auto"/>
              </w:rPr>
              <w:t>Total Assets</w:t>
            </w:r>
          </w:p>
        </w:tc>
        <w:tc>
          <w:tcPr>
            <w:tcW w:w="800" w:type="dxa"/>
            <w:vAlign w:val="bottom"/>
            <w:gridSpan w:val="2"/>
          </w:tcPr>
          <w:p>
            <w:pPr>
              <w:jc w:val="right"/>
              <w:ind w:right="80"/>
              <w:spacing w:after="0"/>
              <w:rPr>
                <w:sz w:val="20"/>
                <w:szCs w:val="20"/>
                <w:color w:val="auto"/>
              </w:rPr>
            </w:pPr>
            <w:r>
              <w:rPr>
                <w:rFonts w:ascii="Arial" w:cs="Arial" w:eastAsia="Arial" w:hAnsi="Arial"/>
                <w:sz w:val="22"/>
                <w:szCs w:val="22"/>
                <w:color w:val="auto"/>
                <w:w w:val="87"/>
              </w:rPr>
              <w:t>$39,482</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w w:val="98"/>
              </w:rPr>
              <w:t>$21,917</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$33,804</w:t>
            </w:r>
          </w:p>
        </w:tc>
        <w:tc>
          <w:tcPr>
            <w:tcW w:w="1080" w:type="dxa"/>
            <w:vAlign w:val="bottom"/>
            <w:gridSpan w:val="3"/>
          </w:tcPr>
          <w:p>
            <w:pPr>
              <w:jc w:val="right"/>
              <w:ind w:right="160"/>
              <w:spacing w:after="0"/>
              <w:rPr>
                <w:sz w:val="20"/>
                <w:szCs w:val="20"/>
                <w:color w:val="auto"/>
              </w:rPr>
            </w:pPr>
            <w:r>
              <w:rPr>
                <w:rFonts w:ascii="Arial" w:cs="Arial" w:eastAsia="Arial" w:hAnsi="Arial"/>
                <w:sz w:val="22"/>
                <w:szCs w:val="22"/>
                <w:color w:val="auto"/>
              </w:rPr>
              <w:t>$40,749</w:t>
            </w:r>
          </w:p>
        </w:tc>
        <w:tc>
          <w:tcPr>
            <w:tcW w:w="880" w:type="dxa"/>
            <w:vAlign w:val="bottom"/>
          </w:tcPr>
          <w:p>
            <w:pPr>
              <w:jc w:val="right"/>
              <w:spacing w:after="0"/>
              <w:rPr>
                <w:sz w:val="20"/>
                <w:szCs w:val="20"/>
                <w:color w:val="auto"/>
              </w:rPr>
            </w:pPr>
            <w:r>
              <w:rPr>
                <w:rFonts w:ascii="Arial" w:cs="Arial" w:eastAsia="Arial" w:hAnsi="Arial"/>
                <w:sz w:val="22"/>
                <w:szCs w:val="22"/>
                <w:color w:val="auto"/>
                <w:w w:val="93"/>
              </w:rPr>
              <w:t>$126,695</w:t>
            </w:r>
          </w:p>
        </w:tc>
        <w:tc>
          <w:tcPr>
            <w:tcW w:w="1340" w:type="dxa"/>
            <w:vAlign w:val="bottom"/>
            <w:gridSpan w:val="3"/>
          </w:tcPr>
          <w:p>
            <w:pPr>
              <w:jc w:val="right"/>
              <w:ind w:right="120"/>
              <w:spacing w:after="0"/>
              <w:rPr>
                <w:sz w:val="20"/>
                <w:szCs w:val="20"/>
                <w:color w:val="auto"/>
              </w:rPr>
            </w:pPr>
            <w:r>
              <w:rPr>
                <w:rFonts w:ascii="Arial" w:cs="Arial" w:eastAsia="Arial" w:hAnsi="Arial"/>
                <w:sz w:val="22"/>
                <w:szCs w:val="22"/>
                <w:color w:val="auto"/>
              </w:rPr>
              <w:t>($149,519)</w:t>
            </w:r>
          </w:p>
        </w:tc>
        <w:tc>
          <w:tcPr>
            <w:tcW w:w="940" w:type="dxa"/>
            <w:vAlign w:val="bottom"/>
          </w:tcPr>
          <w:p>
            <w:pPr>
              <w:jc w:val="right"/>
              <w:spacing w:after="0"/>
              <w:rPr>
                <w:sz w:val="20"/>
                <w:szCs w:val="20"/>
                <w:color w:val="auto"/>
              </w:rPr>
            </w:pPr>
            <w:r>
              <w:rPr>
                <w:rFonts w:ascii="Arial" w:cs="Arial" w:eastAsia="Arial" w:hAnsi="Arial"/>
                <w:sz w:val="22"/>
                <w:szCs w:val="22"/>
                <w:color w:val="auto"/>
              </w:rPr>
              <w:t>$113,128</w:t>
            </w:r>
          </w:p>
        </w:tc>
        <w:tc>
          <w:tcPr>
            <w:tcW w:w="0" w:type="dxa"/>
            <w:vAlign w:val="bottom"/>
          </w:tcPr>
          <w:p>
            <w:pPr>
              <w:spacing w:after="0"/>
              <w:rPr>
                <w:sz w:val="1"/>
                <w:szCs w:val="1"/>
                <w:color w:val="auto"/>
              </w:rPr>
            </w:pPr>
          </w:p>
        </w:tc>
      </w:tr>
      <w:tr>
        <w:trPr>
          <w:trHeight w:val="108"/>
        </w:trPr>
        <w:tc>
          <w:tcPr>
            <w:tcW w:w="3360" w:type="dxa"/>
            <w:vAlign w:val="bottom"/>
            <w:gridSpan w:val="4"/>
            <w:vMerge w:val="restart"/>
          </w:tcPr>
          <w:p>
            <w:pPr>
              <w:spacing w:after="0"/>
              <w:rPr>
                <w:sz w:val="20"/>
                <w:szCs w:val="20"/>
                <w:color w:val="auto"/>
              </w:rPr>
            </w:pPr>
            <w:r>
              <w:rPr>
                <w:rFonts w:ascii="Arial" w:cs="Arial" w:eastAsia="Arial" w:hAnsi="Arial"/>
                <w:sz w:val="22"/>
                <w:szCs w:val="22"/>
                <w:color w:val="auto"/>
              </w:rPr>
              <w:t>LIABILITIES AND</w:t>
            </w:r>
          </w:p>
        </w:tc>
        <w:tc>
          <w:tcPr>
            <w:tcW w:w="7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50"/>
        </w:trPr>
        <w:tc>
          <w:tcPr>
            <w:tcW w:w="3360" w:type="dxa"/>
            <w:vAlign w:val="bottom"/>
            <w:gridSpan w:val="4"/>
            <w:vMerge w:val="continue"/>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6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gridSpan w:val="4"/>
          </w:tcPr>
          <w:p>
            <w:pPr>
              <w:spacing w:after="0" w:line="223" w:lineRule="exact"/>
              <w:rPr>
                <w:sz w:val="20"/>
                <w:szCs w:val="20"/>
                <w:color w:val="auto"/>
              </w:rPr>
            </w:pPr>
            <w:r>
              <w:rPr>
                <w:rFonts w:ascii="Arial" w:cs="Arial" w:eastAsia="Arial" w:hAnsi="Arial"/>
                <w:sz w:val="22"/>
                <w:szCs w:val="22"/>
                <w:color w:val="auto"/>
              </w:rPr>
              <w:t>STOCKHOLDERS' EQUITY</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22"/>
                <w:szCs w:val="22"/>
                <w:color w:val="auto"/>
              </w:rPr>
              <w:t>$1</w:t>
            </w:r>
          </w:p>
        </w:tc>
        <w:tc>
          <w:tcPr>
            <w:tcW w:w="800" w:type="dxa"/>
            <w:vAlign w:val="bottom"/>
            <w:gridSpan w:val="2"/>
            <w:vMerge w:val="restart"/>
          </w:tcPr>
          <w:p>
            <w:pPr>
              <w:jc w:val="right"/>
              <w:ind w:right="512"/>
              <w:spacing w:after="0"/>
              <w:rPr>
                <w:sz w:val="20"/>
                <w:szCs w:val="20"/>
                <w:color w:val="auto"/>
              </w:rPr>
            </w:pPr>
            <w:r>
              <w:rPr>
                <w:rFonts w:ascii="Arial" w:cs="Arial" w:eastAsia="Arial" w:hAnsi="Arial"/>
                <w:sz w:val="22"/>
                <w:szCs w:val="22"/>
                <w:color w:val="auto"/>
              </w:rPr>
              <w:t>$</w:t>
            </w:r>
          </w:p>
        </w:tc>
        <w:tc>
          <w:tcPr>
            <w:tcW w:w="900" w:type="dxa"/>
            <w:vAlign w:val="bottom"/>
            <w:gridSpan w:val="2"/>
            <w:vMerge w:val="restart"/>
          </w:tcPr>
          <w:p>
            <w:pPr>
              <w:jc w:val="right"/>
              <w:ind w:right="532"/>
              <w:spacing w:after="0"/>
              <w:rPr>
                <w:sz w:val="20"/>
                <w:szCs w:val="20"/>
                <w:color w:val="auto"/>
              </w:rPr>
            </w:pPr>
            <w:r>
              <w:rPr>
                <w:rFonts w:ascii="Arial" w:cs="Arial" w:eastAsia="Arial" w:hAnsi="Arial"/>
                <w:sz w:val="22"/>
                <w:szCs w:val="22"/>
                <w:color w:val="auto"/>
              </w:rPr>
              <w:t>$</w:t>
            </w:r>
          </w:p>
        </w:tc>
        <w:tc>
          <w:tcPr>
            <w:tcW w:w="920" w:type="dxa"/>
            <w:vAlign w:val="bottom"/>
            <w:gridSpan w:val="2"/>
            <w:vMerge w:val="restart"/>
          </w:tcPr>
          <w:p>
            <w:pPr>
              <w:jc w:val="right"/>
              <w:ind w:right="552"/>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22"/>
                <w:szCs w:val="22"/>
                <w:color w:val="auto"/>
              </w:rPr>
              <w:t>$1,295</w:t>
            </w:r>
          </w:p>
        </w:tc>
        <w:tc>
          <w:tcPr>
            <w:tcW w:w="1160" w:type="dxa"/>
            <w:vAlign w:val="bottom"/>
            <w:gridSpan w:val="2"/>
            <w:vMerge w:val="restart"/>
          </w:tcPr>
          <w:p>
            <w:pPr>
              <w:jc w:val="right"/>
              <w:ind w:right="792"/>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22"/>
                <w:szCs w:val="22"/>
                <w:color w:val="auto"/>
              </w:rPr>
              <w:t>$1,296</w:t>
            </w:r>
          </w:p>
        </w:tc>
        <w:tc>
          <w:tcPr>
            <w:tcW w:w="0" w:type="dxa"/>
            <w:vAlign w:val="bottom"/>
          </w:tcPr>
          <w:p>
            <w:pPr>
              <w:spacing w:after="0"/>
              <w:rPr>
                <w:sz w:val="1"/>
                <w:szCs w:val="1"/>
                <w:color w:val="auto"/>
              </w:rPr>
            </w:pPr>
          </w:p>
        </w:tc>
      </w:tr>
      <w:tr>
        <w:trPr>
          <w:trHeight w:val="242"/>
        </w:trPr>
        <w:tc>
          <w:tcPr>
            <w:tcW w:w="2600" w:type="dxa"/>
            <w:vAlign w:val="bottom"/>
            <w:tcBorders>
              <w:top w:val="single" w:sz="8" w:color="auto"/>
            </w:tcBorders>
            <w:gridSpan w:val="3"/>
          </w:tcPr>
          <w:p>
            <w:pPr>
              <w:ind w:left="160"/>
              <w:spacing w:after="0" w:line="242" w:lineRule="exact"/>
              <w:rPr>
                <w:sz w:val="20"/>
                <w:szCs w:val="20"/>
                <w:color w:val="auto"/>
              </w:rPr>
            </w:pPr>
            <w:r>
              <w:rPr>
                <w:rFonts w:ascii="Arial" w:cs="Arial" w:eastAsia="Arial" w:hAnsi="Arial"/>
                <w:sz w:val="22"/>
                <w:szCs w:val="22"/>
                <w:color w:val="auto"/>
              </w:rPr>
              <w:t>Accounts payable</w:t>
            </w:r>
          </w:p>
        </w:tc>
        <w:tc>
          <w:tcPr>
            <w:tcW w:w="760" w:type="dxa"/>
            <w:vAlign w:val="bottom"/>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Accrued expenses and other</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spacing w:after="0" w:line="243" w:lineRule="exact"/>
              <w:rPr>
                <w:sz w:val="20"/>
                <w:szCs w:val="20"/>
                <w:color w:val="auto"/>
              </w:rPr>
            </w:pPr>
            <w:r>
              <w:rPr>
                <w:rFonts w:ascii="Arial" w:cs="Arial" w:eastAsia="Arial" w:hAnsi="Arial"/>
                <w:sz w:val="22"/>
                <w:szCs w:val="22"/>
                <w:color w:val="auto"/>
              </w:rPr>
              <w:t>current</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ind w:left="220"/>
              <w:spacing w:after="0" w:line="243" w:lineRule="exact"/>
              <w:rPr>
                <w:sz w:val="20"/>
                <w:szCs w:val="20"/>
                <w:color w:val="auto"/>
              </w:rPr>
            </w:pPr>
            <w:r>
              <w:rPr>
                <w:rFonts w:ascii="Arial" w:cs="Arial" w:eastAsia="Arial" w:hAnsi="Arial"/>
                <w:sz w:val="22"/>
                <w:szCs w:val="22"/>
                <w:color w:val="auto"/>
              </w:rPr>
              <w:t>liabilities</w:t>
            </w:r>
          </w:p>
        </w:tc>
        <w:tc>
          <w:tcPr>
            <w:tcW w:w="8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208</w:t>
            </w:r>
          </w:p>
        </w:tc>
        <w:tc>
          <w:tcPr>
            <w:tcW w:w="8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107</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46</w:t>
            </w:r>
          </w:p>
        </w:tc>
        <w:tc>
          <w:tcPr>
            <w:tcW w:w="1080" w:type="dxa"/>
            <w:vAlign w:val="bottom"/>
            <w:gridSpan w:val="3"/>
          </w:tcPr>
          <w:p>
            <w:pPr>
              <w:jc w:val="right"/>
              <w:ind w:right="160"/>
              <w:spacing w:after="0" w:line="243" w:lineRule="exact"/>
              <w:rPr>
                <w:sz w:val="20"/>
                <w:szCs w:val="20"/>
                <w:color w:val="auto"/>
              </w:rPr>
            </w:pPr>
            <w:r>
              <w:rPr>
                <w:rFonts w:ascii="Arial" w:cs="Arial" w:eastAsia="Arial" w:hAnsi="Arial"/>
                <w:sz w:val="22"/>
                <w:szCs w:val="22"/>
                <w:color w:val="auto"/>
              </w:rPr>
              <w:t>469</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4,406</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5,236</w:t>
            </w:r>
          </w:p>
        </w:tc>
        <w:tc>
          <w:tcPr>
            <w:tcW w:w="0" w:type="dxa"/>
            <w:vAlign w:val="bottom"/>
          </w:tcPr>
          <w:p>
            <w:pPr>
              <w:spacing w:after="0"/>
              <w:rPr>
                <w:sz w:val="1"/>
                <w:szCs w:val="1"/>
                <w:color w:val="auto"/>
              </w:rPr>
            </w:pPr>
          </w:p>
        </w:tc>
      </w:tr>
      <w:tr>
        <w:trPr>
          <w:trHeight w:val="243"/>
        </w:trPr>
        <w:tc>
          <w:tcPr>
            <w:tcW w:w="336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Deferred income taxes</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1,105</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1,105</w:t>
            </w:r>
          </w:p>
        </w:tc>
        <w:tc>
          <w:tcPr>
            <w:tcW w:w="0" w:type="dxa"/>
            <w:vAlign w:val="bottom"/>
          </w:tcPr>
          <w:p>
            <w:pPr>
              <w:spacing w:after="0"/>
              <w:rPr>
                <w:sz w:val="1"/>
                <w:szCs w:val="1"/>
                <w:color w:val="auto"/>
              </w:rPr>
            </w:pPr>
          </w:p>
        </w:tc>
      </w:tr>
      <w:tr>
        <w:trPr>
          <w:trHeight w:val="243"/>
        </w:trPr>
        <w:tc>
          <w:tcPr>
            <w:tcW w:w="336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Short-term debt</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3,750</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3,750</w:t>
            </w:r>
          </w:p>
        </w:tc>
        <w:tc>
          <w:tcPr>
            <w:tcW w:w="0" w:type="dxa"/>
            <w:vAlign w:val="bottom"/>
          </w:tcPr>
          <w:p>
            <w:pPr>
              <w:spacing w:after="0"/>
              <w:rPr>
                <w:sz w:val="1"/>
                <w:szCs w:val="1"/>
                <w:color w:val="auto"/>
              </w:rPr>
            </w:pPr>
          </w:p>
        </w:tc>
      </w:tr>
      <w:tr>
        <w:trPr>
          <w:trHeight w:val="243"/>
        </w:trPr>
        <w:tc>
          <w:tcPr>
            <w:tcW w:w="3360" w:type="dxa"/>
            <w:vAlign w:val="bottom"/>
            <w:gridSpan w:val="4"/>
          </w:tcPr>
          <w:p>
            <w:pPr>
              <w:ind w:left="180"/>
              <w:spacing w:after="0" w:line="243" w:lineRule="exact"/>
              <w:rPr>
                <w:sz w:val="20"/>
                <w:szCs w:val="20"/>
                <w:color w:val="auto"/>
              </w:rPr>
            </w:pPr>
            <w:r>
              <w:rPr>
                <w:rFonts w:ascii="Arial" w:cs="Arial" w:eastAsia="Arial" w:hAnsi="Arial"/>
                <w:sz w:val="22"/>
                <w:szCs w:val="22"/>
                <w:color w:val="auto"/>
                <w:w w:val="99"/>
              </w:rPr>
              <w:t>Current portion of long-term debt</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gridSpan w:val="3"/>
          </w:tcPr>
          <w:p>
            <w:pPr>
              <w:jc w:val="right"/>
              <w:ind w:right="160"/>
              <w:spacing w:after="0" w:line="243" w:lineRule="exact"/>
              <w:rPr>
                <w:sz w:val="20"/>
                <w:szCs w:val="20"/>
                <w:color w:val="auto"/>
              </w:rPr>
            </w:pPr>
            <w:r>
              <w:rPr>
                <w:rFonts w:ascii="Arial" w:cs="Arial" w:eastAsia="Arial" w:hAnsi="Arial"/>
                <w:sz w:val="22"/>
                <w:szCs w:val="22"/>
                <w:color w:val="auto"/>
              </w:rPr>
              <w:t>1,465</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1,738</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3,203</w:t>
            </w:r>
          </w:p>
        </w:tc>
        <w:tc>
          <w:tcPr>
            <w:tcW w:w="0" w:type="dxa"/>
            <w:vAlign w:val="bottom"/>
          </w:tcPr>
          <w:p>
            <w:pPr>
              <w:spacing w:after="0"/>
              <w:rPr>
                <w:sz w:val="1"/>
                <w:szCs w:val="1"/>
                <w:color w:val="auto"/>
              </w:rPr>
            </w:pPr>
          </w:p>
        </w:tc>
      </w:tr>
      <w:tr>
        <w:trPr>
          <w:trHeight w:val="243"/>
        </w:trPr>
        <w:tc>
          <w:tcPr>
            <w:tcW w:w="3360" w:type="dxa"/>
            <w:vAlign w:val="bottom"/>
            <w:gridSpan w:val="4"/>
          </w:tcPr>
          <w:p>
            <w:pPr>
              <w:ind w:left="180"/>
              <w:spacing w:after="0" w:line="243" w:lineRule="exact"/>
              <w:rPr>
                <w:sz w:val="20"/>
                <w:szCs w:val="20"/>
                <w:color w:val="auto"/>
              </w:rPr>
            </w:pPr>
            <w:r>
              <w:rPr>
                <w:rFonts w:ascii="Arial" w:cs="Arial" w:eastAsia="Arial" w:hAnsi="Arial"/>
                <w:sz w:val="22"/>
                <w:szCs w:val="22"/>
                <w:color w:val="auto"/>
                <w:w w:val="99"/>
              </w:rPr>
              <w:t>Current liabilities of discontinued</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gridSpan w:val="4"/>
          </w:tcPr>
          <w:p>
            <w:pPr>
              <w:ind w:left="220"/>
              <w:spacing w:after="0"/>
              <w:rPr>
                <w:sz w:val="20"/>
                <w:szCs w:val="20"/>
                <w:color w:val="auto"/>
              </w:rPr>
            </w:pPr>
            <w:r>
              <w:rPr>
                <w:rFonts w:ascii="Arial" w:cs="Arial" w:eastAsia="Arial" w:hAnsi="Arial"/>
                <w:sz w:val="22"/>
                <w:szCs w:val="22"/>
                <w:color w:val="auto"/>
              </w:rPr>
              <w:t>operations</w:t>
            </w: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816</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816</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60" w:type="dxa"/>
            <w:vAlign w:val="bottom"/>
            <w:gridSpan w:val="4"/>
          </w:tcPr>
          <w:p>
            <w:pPr>
              <w:ind w:left="280"/>
              <w:spacing w:after="0"/>
              <w:rPr>
                <w:sz w:val="20"/>
                <w:szCs w:val="20"/>
                <w:color w:val="auto"/>
              </w:rPr>
            </w:pPr>
            <w:r>
              <w:rPr>
                <w:rFonts w:ascii="Arial" w:cs="Arial" w:eastAsia="Arial" w:hAnsi="Arial"/>
                <w:sz w:val="22"/>
                <w:szCs w:val="22"/>
                <w:color w:val="auto"/>
              </w:rPr>
              <w:t>Total current liabilities</w:t>
            </w:r>
          </w:p>
        </w:tc>
        <w:tc>
          <w:tcPr>
            <w:tcW w:w="800" w:type="dxa"/>
            <w:vAlign w:val="bottom"/>
            <w:gridSpan w:val="2"/>
          </w:tcPr>
          <w:p>
            <w:pPr>
              <w:jc w:val="right"/>
              <w:ind w:right="80"/>
              <w:spacing w:after="0"/>
              <w:rPr>
                <w:sz w:val="20"/>
                <w:szCs w:val="20"/>
                <w:color w:val="auto"/>
              </w:rPr>
            </w:pPr>
            <w:r>
              <w:rPr>
                <w:rFonts w:ascii="Arial" w:cs="Arial" w:eastAsia="Arial" w:hAnsi="Arial"/>
                <w:sz w:val="22"/>
                <w:szCs w:val="22"/>
                <w:color w:val="auto"/>
              </w:rPr>
              <w:t>209</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107</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3,796</w:t>
            </w:r>
          </w:p>
        </w:tc>
        <w:tc>
          <w:tcPr>
            <w:tcW w:w="1080" w:type="dxa"/>
            <w:vAlign w:val="bottom"/>
            <w:gridSpan w:val="3"/>
          </w:tcPr>
          <w:p>
            <w:pPr>
              <w:jc w:val="right"/>
              <w:ind w:right="160"/>
              <w:spacing w:after="0"/>
              <w:rPr>
                <w:sz w:val="20"/>
                <w:szCs w:val="20"/>
                <w:color w:val="auto"/>
              </w:rPr>
            </w:pPr>
            <w:r>
              <w:rPr>
                <w:rFonts w:ascii="Arial" w:cs="Arial" w:eastAsia="Arial" w:hAnsi="Arial"/>
                <w:sz w:val="22"/>
                <w:szCs w:val="22"/>
                <w:color w:val="auto"/>
              </w:rPr>
              <w:t>1,934</w:t>
            </w:r>
          </w:p>
        </w:tc>
        <w:tc>
          <w:tcPr>
            <w:tcW w:w="880" w:type="dxa"/>
            <w:vAlign w:val="bottom"/>
          </w:tcPr>
          <w:p>
            <w:pPr>
              <w:jc w:val="right"/>
              <w:spacing w:after="0"/>
              <w:rPr>
                <w:sz w:val="20"/>
                <w:szCs w:val="20"/>
                <w:color w:val="auto"/>
              </w:rPr>
            </w:pPr>
            <w:r>
              <w:rPr>
                <w:rFonts w:ascii="Arial" w:cs="Arial" w:eastAsia="Arial" w:hAnsi="Arial"/>
                <w:sz w:val="22"/>
                <w:szCs w:val="22"/>
                <w:color w:val="auto"/>
              </w:rPr>
              <w:t>9,360</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15,406</w:t>
            </w:r>
          </w:p>
        </w:tc>
        <w:tc>
          <w:tcPr>
            <w:tcW w:w="0" w:type="dxa"/>
            <w:vAlign w:val="bottom"/>
          </w:tcPr>
          <w:p>
            <w:pPr>
              <w:spacing w:after="0"/>
              <w:rPr>
                <w:sz w:val="1"/>
                <w:szCs w:val="1"/>
                <w:color w:val="auto"/>
              </w:rPr>
            </w:pPr>
          </w:p>
        </w:tc>
      </w:tr>
      <w:tr>
        <w:trPr>
          <w:trHeight w:val="98"/>
        </w:trPr>
        <w:tc>
          <w:tcPr>
            <w:tcW w:w="3360" w:type="dxa"/>
            <w:vAlign w:val="bottom"/>
            <w:gridSpan w:val="4"/>
            <w:vMerge w:val="restart"/>
          </w:tcPr>
          <w:p>
            <w:pPr>
              <w:ind w:left="180"/>
              <w:spacing w:after="0"/>
              <w:rPr>
                <w:sz w:val="20"/>
                <w:szCs w:val="20"/>
                <w:color w:val="auto"/>
              </w:rPr>
            </w:pPr>
            <w:r>
              <w:rPr>
                <w:rFonts w:ascii="Arial" w:cs="Arial" w:eastAsia="Arial" w:hAnsi="Arial"/>
                <w:sz w:val="22"/>
                <w:szCs w:val="22"/>
                <w:color w:val="auto"/>
                <w:w w:val="97"/>
              </w:rPr>
              <w:t>LONG-TERM DEBT, less current</w:t>
            </w:r>
          </w:p>
        </w:tc>
        <w:tc>
          <w:tcPr>
            <w:tcW w:w="7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60" w:type="dxa"/>
            <w:vAlign w:val="bottom"/>
            <w:gridSpan w:val="4"/>
            <w:vMerge w:val="continue"/>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spacing w:after="0" w:line="243" w:lineRule="exact"/>
              <w:rPr>
                <w:sz w:val="20"/>
                <w:szCs w:val="20"/>
                <w:color w:val="auto"/>
              </w:rPr>
            </w:pPr>
            <w:r>
              <w:rPr>
                <w:rFonts w:ascii="Arial" w:cs="Arial" w:eastAsia="Arial" w:hAnsi="Arial"/>
                <w:sz w:val="22"/>
                <w:szCs w:val="22"/>
                <w:color w:val="auto"/>
              </w:rPr>
              <w:t>portion</w:t>
            </w:r>
          </w:p>
        </w:tc>
        <w:tc>
          <w:tcPr>
            <w:tcW w:w="8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680</w:t>
            </w:r>
          </w:p>
        </w:tc>
        <w:tc>
          <w:tcPr>
            <w:tcW w:w="8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7,897</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6,005</w:t>
            </w:r>
          </w:p>
        </w:tc>
        <w:tc>
          <w:tcPr>
            <w:tcW w:w="1080" w:type="dxa"/>
            <w:vAlign w:val="bottom"/>
            <w:gridSpan w:val="3"/>
          </w:tcPr>
          <w:p>
            <w:pPr>
              <w:jc w:val="right"/>
              <w:ind w:right="160"/>
              <w:spacing w:after="0" w:line="243" w:lineRule="exact"/>
              <w:rPr>
                <w:sz w:val="20"/>
                <w:szCs w:val="20"/>
                <w:color w:val="auto"/>
              </w:rPr>
            </w:pPr>
            <w:r>
              <w:rPr>
                <w:rFonts w:ascii="Arial" w:cs="Arial" w:eastAsia="Arial" w:hAnsi="Arial"/>
                <w:sz w:val="22"/>
                <w:szCs w:val="22"/>
                <w:color w:val="auto"/>
              </w:rPr>
              <w:t>4,932</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8,442</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27,956</w:t>
            </w:r>
          </w:p>
        </w:tc>
        <w:tc>
          <w:tcPr>
            <w:tcW w:w="0" w:type="dxa"/>
            <w:vAlign w:val="bottom"/>
          </w:tcPr>
          <w:p>
            <w:pPr>
              <w:spacing w:after="0"/>
              <w:rPr>
                <w:sz w:val="1"/>
                <w:szCs w:val="1"/>
                <w:color w:val="auto"/>
              </w:rPr>
            </w:pPr>
          </w:p>
        </w:tc>
      </w:tr>
      <w:tr>
        <w:trPr>
          <w:trHeight w:val="243"/>
        </w:trPr>
        <w:tc>
          <w:tcPr>
            <w:tcW w:w="336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DEFERRED INCOME TAXES</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23,104</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23,104</w:t>
            </w:r>
          </w:p>
        </w:tc>
        <w:tc>
          <w:tcPr>
            <w:tcW w:w="0" w:type="dxa"/>
            <w:vAlign w:val="bottom"/>
          </w:tcPr>
          <w:p>
            <w:pPr>
              <w:spacing w:after="0"/>
              <w:rPr>
                <w:sz w:val="1"/>
                <w:szCs w:val="1"/>
                <w:color w:val="auto"/>
              </w:rPr>
            </w:pPr>
          </w:p>
        </w:tc>
      </w:tr>
      <w:tr>
        <w:trPr>
          <w:trHeight w:val="243"/>
        </w:trPr>
        <w:tc>
          <w:tcPr>
            <w:tcW w:w="336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OTHER NONCURRENT</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spacing w:after="0" w:line="243" w:lineRule="exact"/>
              <w:rPr>
                <w:sz w:val="20"/>
                <w:szCs w:val="20"/>
                <w:color w:val="auto"/>
              </w:rPr>
            </w:pPr>
            <w:r>
              <w:rPr>
                <w:rFonts w:ascii="Arial" w:cs="Arial" w:eastAsia="Arial" w:hAnsi="Arial"/>
                <w:sz w:val="22"/>
                <w:szCs w:val="22"/>
                <w:color w:val="auto"/>
              </w:rPr>
              <w:t>LIABILITIES</w:t>
            </w:r>
          </w:p>
        </w:tc>
        <w:tc>
          <w:tcPr>
            <w:tcW w:w="8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264</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gridSpan w:val="3"/>
          </w:tcPr>
          <w:p>
            <w:pPr>
              <w:jc w:val="right"/>
              <w:ind w:right="160"/>
              <w:spacing w:after="0" w:line="243" w:lineRule="exact"/>
              <w:rPr>
                <w:sz w:val="20"/>
                <w:szCs w:val="20"/>
                <w:color w:val="auto"/>
              </w:rPr>
            </w:pPr>
            <w:r>
              <w:rPr>
                <w:rFonts w:ascii="Arial" w:cs="Arial" w:eastAsia="Arial" w:hAnsi="Arial"/>
                <w:sz w:val="22"/>
                <w:szCs w:val="22"/>
                <w:color w:val="auto"/>
              </w:rPr>
              <w:t>200</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6,697</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7,161</w:t>
            </w:r>
          </w:p>
        </w:tc>
        <w:tc>
          <w:tcPr>
            <w:tcW w:w="0" w:type="dxa"/>
            <w:vAlign w:val="bottom"/>
          </w:tcPr>
          <w:p>
            <w:pPr>
              <w:spacing w:after="0"/>
              <w:rPr>
                <w:sz w:val="1"/>
                <w:szCs w:val="1"/>
                <w:color w:val="auto"/>
              </w:rPr>
            </w:pPr>
          </w:p>
        </w:tc>
      </w:tr>
      <w:tr>
        <w:trPr>
          <w:trHeight w:val="243"/>
        </w:trPr>
        <w:tc>
          <w:tcPr>
            <w:tcW w:w="336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MINORITY INTEREST</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249</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249</w:t>
            </w:r>
          </w:p>
        </w:tc>
        <w:tc>
          <w:tcPr>
            <w:tcW w:w="0" w:type="dxa"/>
            <w:vAlign w:val="bottom"/>
          </w:tcPr>
          <w:p>
            <w:pPr>
              <w:spacing w:after="0"/>
              <w:rPr>
                <w:sz w:val="1"/>
                <w:szCs w:val="1"/>
                <w:color w:val="auto"/>
              </w:rPr>
            </w:pPr>
          </w:p>
        </w:tc>
      </w:tr>
      <w:tr>
        <w:trPr>
          <w:trHeight w:val="243"/>
        </w:trPr>
        <w:tc>
          <w:tcPr>
            <w:tcW w:w="336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NON-CURRENT LIABILITIES</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gridSpan w:val="4"/>
          </w:tcPr>
          <w:p>
            <w:pPr>
              <w:spacing w:after="0"/>
              <w:rPr>
                <w:sz w:val="20"/>
                <w:szCs w:val="20"/>
                <w:color w:val="auto"/>
              </w:rPr>
            </w:pPr>
            <w:r>
              <w:rPr>
                <w:rFonts w:ascii="Arial" w:cs="Arial" w:eastAsia="Arial" w:hAnsi="Arial"/>
                <w:sz w:val="22"/>
                <w:szCs w:val="22"/>
                <w:color w:val="auto"/>
              </w:rPr>
              <w:t>AND</w:t>
            </w: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-3620135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-3620135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-3620135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-3620135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-3620135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-3620135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-3620135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-3620135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-3620135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-3620135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-3620135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-3620135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-3620135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-3620135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7" w:orient="portrait"/>
          <w:cols w:equalWidth="0" w:num="1">
            <w:col w:w="10219"/>
          </w:cols>
          <w:pgMar w:left="240" w:top="348" w:right="1440" w:bottom="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53"/>
        </w:trPr>
        <w:tc>
          <w:tcPr>
            <w:tcW w:w="3360" w:type="dxa"/>
            <w:vAlign w:val="bottom"/>
          </w:tcPr>
          <w:p>
            <w:pPr>
              <w:ind w:left="280"/>
              <w:spacing w:after="0"/>
              <w:rPr>
                <w:sz w:val="20"/>
                <w:szCs w:val="20"/>
                <w:color w:val="auto"/>
              </w:rPr>
            </w:pPr>
            <w:r>
              <w:rPr>
                <w:rFonts w:ascii="Arial" w:cs="Arial" w:eastAsia="Arial" w:hAnsi="Arial"/>
                <w:sz w:val="22"/>
                <w:szCs w:val="22"/>
                <w:color w:val="auto"/>
              </w:rPr>
              <w:t>MINORITY INTEREST OF</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80"/>
              <w:spacing w:after="0" w:line="243" w:lineRule="exact"/>
              <w:rPr>
                <w:sz w:val="20"/>
                <w:szCs w:val="20"/>
                <w:color w:val="auto"/>
              </w:rPr>
            </w:pPr>
            <w:r>
              <w:rPr>
                <w:rFonts w:ascii="Arial" w:cs="Arial" w:eastAsia="Arial" w:hAnsi="Arial"/>
                <w:sz w:val="22"/>
                <w:szCs w:val="22"/>
                <w:color w:val="auto"/>
              </w:rPr>
              <w:t>DISCONTINUED</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tcPr>
          <w:p>
            <w:pPr>
              <w:spacing w:after="0"/>
              <w:rPr>
                <w:sz w:val="20"/>
                <w:szCs w:val="20"/>
                <w:color w:val="auto"/>
              </w:rPr>
            </w:pPr>
            <w:r>
              <w:rPr>
                <w:rFonts w:ascii="Arial" w:cs="Arial" w:eastAsia="Arial" w:hAnsi="Arial"/>
                <w:sz w:val="22"/>
                <w:szCs w:val="22"/>
                <w:color w:val="auto"/>
              </w:rPr>
              <w:t>OPERATIONS</w:t>
            </w: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923</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923</w:t>
            </w:r>
          </w:p>
        </w:tc>
        <w:tc>
          <w:tcPr>
            <w:tcW w:w="0" w:type="dxa"/>
            <w:vAlign w:val="bottom"/>
          </w:tcPr>
          <w:p>
            <w:pPr>
              <w:spacing w:after="0"/>
              <w:rPr>
                <w:sz w:val="1"/>
                <w:szCs w:val="1"/>
                <w:color w:val="auto"/>
              </w:rPr>
            </w:pPr>
          </w:p>
        </w:tc>
      </w:tr>
      <w:tr>
        <w:trPr>
          <w:trHeight w:val="455"/>
        </w:trPr>
        <w:tc>
          <w:tcPr>
            <w:tcW w:w="3360" w:type="dxa"/>
            <w:vAlign w:val="bottom"/>
          </w:tcPr>
          <w:p>
            <w:pPr>
              <w:spacing w:after="0"/>
              <w:rPr>
                <w:sz w:val="20"/>
                <w:szCs w:val="20"/>
                <w:color w:val="auto"/>
              </w:rPr>
            </w:pPr>
            <w:r>
              <w:rPr>
                <w:rFonts w:ascii="Arial" w:cs="Arial" w:eastAsia="Arial" w:hAnsi="Arial"/>
                <w:sz w:val="22"/>
                <w:szCs w:val="22"/>
                <w:color w:val="auto"/>
              </w:rPr>
              <w:t>STOCKHOLDERS' EQUITY</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Common stock</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75"/>
        </w:trPr>
        <w:tc>
          <w:tcPr>
            <w:tcW w:w="3360" w:type="dxa"/>
            <w:vAlign w:val="bottom"/>
          </w:tcPr>
          <w:p>
            <w:pPr>
              <w:ind w:left="180"/>
              <w:spacing w:after="0"/>
              <w:rPr>
                <w:sz w:val="20"/>
                <w:szCs w:val="20"/>
                <w:color w:val="auto"/>
              </w:rPr>
            </w:pPr>
            <w:r>
              <w:rPr>
                <w:rFonts w:ascii="Arial" w:cs="Arial" w:eastAsia="Arial" w:hAnsi="Arial"/>
                <w:sz w:val="22"/>
                <w:szCs w:val="22"/>
                <w:color w:val="auto"/>
              </w:rPr>
              <w:t>Other stockholders' equity</w:t>
            </w:r>
          </w:p>
        </w:tc>
        <w:tc>
          <w:tcPr>
            <w:tcW w:w="720" w:type="dxa"/>
            <w:vAlign w:val="bottom"/>
          </w:tcPr>
          <w:p>
            <w:pPr>
              <w:jc w:val="right"/>
              <w:spacing w:after="0"/>
              <w:rPr>
                <w:sz w:val="20"/>
                <w:szCs w:val="20"/>
                <w:color w:val="auto"/>
              </w:rPr>
            </w:pPr>
            <w:r>
              <w:rPr>
                <w:rFonts w:ascii="Arial" w:cs="Arial" w:eastAsia="Arial" w:hAnsi="Arial"/>
                <w:sz w:val="22"/>
                <w:szCs w:val="22"/>
                <w:color w:val="auto"/>
              </w:rPr>
              <w:t>38,304</w:t>
            </w:r>
          </w:p>
        </w:tc>
        <w:tc>
          <w:tcPr>
            <w:tcW w:w="880" w:type="dxa"/>
            <w:vAlign w:val="bottom"/>
            <w:gridSpan w:val="2"/>
          </w:tcPr>
          <w:p>
            <w:pPr>
              <w:jc w:val="right"/>
              <w:spacing w:after="0"/>
              <w:rPr>
                <w:sz w:val="20"/>
                <w:szCs w:val="20"/>
                <w:color w:val="auto"/>
              </w:rPr>
            </w:pPr>
            <w:r>
              <w:rPr>
                <w:rFonts w:ascii="Arial" w:cs="Arial" w:eastAsia="Arial" w:hAnsi="Arial"/>
                <w:sz w:val="22"/>
                <w:szCs w:val="22"/>
                <w:color w:val="auto"/>
              </w:rPr>
              <w:t>13,913</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24,003</w:t>
            </w:r>
          </w:p>
        </w:tc>
        <w:tc>
          <w:tcPr>
            <w:tcW w:w="1080" w:type="dxa"/>
            <w:vAlign w:val="bottom"/>
            <w:gridSpan w:val="3"/>
          </w:tcPr>
          <w:p>
            <w:pPr>
              <w:jc w:val="right"/>
              <w:ind w:right="160"/>
              <w:spacing w:after="0"/>
              <w:rPr>
                <w:sz w:val="20"/>
                <w:szCs w:val="20"/>
                <w:color w:val="auto"/>
              </w:rPr>
            </w:pPr>
            <w:r>
              <w:rPr>
                <w:rFonts w:ascii="Arial" w:cs="Arial" w:eastAsia="Arial" w:hAnsi="Arial"/>
                <w:sz w:val="22"/>
                <w:szCs w:val="22"/>
                <w:color w:val="auto"/>
              </w:rPr>
              <w:t>33,683</w:t>
            </w:r>
          </w:p>
        </w:tc>
        <w:tc>
          <w:tcPr>
            <w:tcW w:w="880" w:type="dxa"/>
            <w:vAlign w:val="bottom"/>
          </w:tcPr>
          <w:p>
            <w:pPr>
              <w:jc w:val="right"/>
              <w:spacing w:after="0"/>
              <w:rPr>
                <w:sz w:val="20"/>
                <w:szCs w:val="20"/>
                <w:color w:val="auto"/>
              </w:rPr>
            </w:pPr>
            <w:r>
              <w:rPr>
                <w:rFonts w:ascii="Arial" w:cs="Arial" w:eastAsia="Arial" w:hAnsi="Arial"/>
                <w:sz w:val="22"/>
                <w:szCs w:val="22"/>
                <w:color w:val="auto"/>
              </w:rPr>
              <w:t>77,920</w:t>
            </w:r>
          </w:p>
        </w:tc>
        <w:tc>
          <w:tcPr>
            <w:tcW w:w="1340" w:type="dxa"/>
            <w:vAlign w:val="bottom"/>
            <w:gridSpan w:val="3"/>
          </w:tcPr>
          <w:p>
            <w:pPr>
              <w:jc w:val="right"/>
              <w:ind w:right="120"/>
              <w:spacing w:after="0"/>
              <w:rPr>
                <w:sz w:val="20"/>
                <w:szCs w:val="20"/>
                <w:color w:val="auto"/>
              </w:rPr>
            </w:pPr>
            <w:r>
              <w:rPr>
                <w:rFonts w:ascii="Arial" w:cs="Arial" w:eastAsia="Arial" w:hAnsi="Arial"/>
                <w:sz w:val="22"/>
                <w:szCs w:val="22"/>
                <w:color w:val="auto"/>
              </w:rPr>
              <w:t>(149,519)</w:t>
            </w:r>
          </w:p>
        </w:tc>
        <w:tc>
          <w:tcPr>
            <w:tcW w:w="940" w:type="dxa"/>
            <w:vAlign w:val="bottom"/>
          </w:tcPr>
          <w:p>
            <w:pPr>
              <w:jc w:val="right"/>
              <w:spacing w:after="0"/>
              <w:rPr>
                <w:sz w:val="20"/>
                <w:szCs w:val="20"/>
                <w:color w:val="auto"/>
              </w:rPr>
            </w:pPr>
            <w:r>
              <w:rPr>
                <w:rFonts w:ascii="Arial" w:cs="Arial" w:eastAsia="Arial" w:hAnsi="Arial"/>
                <w:sz w:val="22"/>
                <w:szCs w:val="22"/>
                <w:color w:val="auto"/>
              </w:rPr>
              <w:t>38,304</w:t>
            </w: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60" w:type="dxa"/>
            <w:vAlign w:val="bottom"/>
          </w:tcPr>
          <w:p>
            <w:pPr>
              <w:ind w:left="280"/>
              <w:spacing w:after="0"/>
              <w:rPr>
                <w:sz w:val="20"/>
                <w:szCs w:val="20"/>
                <w:color w:val="auto"/>
              </w:rPr>
            </w:pPr>
            <w:r>
              <w:rPr>
                <w:rFonts w:ascii="Arial" w:cs="Arial" w:eastAsia="Arial" w:hAnsi="Arial"/>
                <w:sz w:val="22"/>
                <w:szCs w:val="22"/>
                <w:color w:val="auto"/>
              </w:rPr>
              <w:t>Total Stockholders' Equity</w:t>
            </w:r>
          </w:p>
        </w:tc>
        <w:tc>
          <w:tcPr>
            <w:tcW w:w="720" w:type="dxa"/>
            <w:vAlign w:val="bottom"/>
          </w:tcPr>
          <w:p>
            <w:pPr>
              <w:jc w:val="right"/>
              <w:spacing w:after="0"/>
              <w:rPr>
                <w:sz w:val="20"/>
                <w:szCs w:val="20"/>
                <w:color w:val="auto"/>
              </w:rPr>
            </w:pPr>
            <w:r>
              <w:rPr>
                <w:rFonts w:ascii="Arial" w:cs="Arial" w:eastAsia="Arial" w:hAnsi="Arial"/>
                <w:sz w:val="22"/>
                <w:szCs w:val="22"/>
                <w:color w:val="auto"/>
              </w:rPr>
              <w:t>38,329</w:t>
            </w:r>
          </w:p>
        </w:tc>
        <w:tc>
          <w:tcPr>
            <w:tcW w:w="880" w:type="dxa"/>
            <w:vAlign w:val="bottom"/>
            <w:gridSpan w:val="2"/>
          </w:tcPr>
          <w:p>
            <w:pPr>
              <w:jc w:val="right"/>
              <w:spacing w:after="0"/>
              <w:rPr>
                <w:sz w:val="20"/>
                <w:szCs w:val="20"/>
                <w:color w:val="auto"/>
              </w:rPr>
            </w:pPr>
            <w:r>
              <w:rPr>
                <w:rFonts w:ascii="Arial" w:cs="Arial" w:eastAsia="Arial" w:hAnsi="Arial"/>
                <w:sz w:val="22"/>
                <w:szCs w:val="22"/>
                <w:color w:val="auto"/>
              </w:rPr>
              <w:t>13,913</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24,003</w:t>
            </w:r>
          </w:p>
        </w:tc>
        <w:tc>
          <w:tcPr>
            <w:tcW w:w="1080" w:type="dxa"/>
            <w:vAlign w:val="bottom"/>
            <w:gridSpan w:val="3"/>
          </w:tcPr>
          <w:p>
            <w:pPr>
              <w:jc w:val="right"/>
              <w:ind w:right="160"/>
              <w:spacing w:after="0"/>
              <w:rPr>
                <w:sz w:val="20"/>
                <w:szCs w:val="20"/>
                <w:color w:val="auto"/>
              </w:rPr>
            </w:pPr>
            <w:r>
              <w:rPr>
                <w:rFonts w:ascii="Arial" w:cs="Arial" w:eastAsia="Arial" w:hAnsi="Arial"/>
                <w:sz w:val="22"/>
                <w:szCs w:val="22"/>
                <w:color w:val="auto"/>
              </w:rPr>
              <w:t>33,683</w:t>
            </w:r>
          </w:p>
        </w:tc>
        <w:tc>
          <w:tcPr>
            <w:tcW w:w="880" w:type="dxa"/>
            <w:vAlign w:val="bottom"/>
          </w:tcPr>
          <w:p>
            <w:pPr>
              <w:jc w:val="right"/>
              <w:spacing w:after="0"/>
              <w:rPr>
                <w:sz w:val="20"/>
                <w:szCs w:val="20"/>
                <w:color w:val="auto"/>
              </w:rPr>
            </w:pPr>
            <w:r>
              <w:rPr>
                <w:rFonts w:ascii="Arial" w:cs="Arial" w:eastAsia="Arial" w:hAnsi="Arial"/>
                <w:sz w:val="22"/>
                <w:szCs w:val="22"/>
                <w:color w:val="auto"/>
              </w:rPr>
              <w:t>77,920</w:t>
            </w:r>
          </w:p>
        </w:tc>
        <w:tc>
          <w:tcPr>
            <w:tcW w:w="1340" w:type="dxa"/>
            <w:vAlign w:val="bottom"/>
            <w:gridSpan w:val="3"/>
          </w:tcPr>
          <w:p>
            <w:pPr>
              <w:jc w:val="right"/>
              <w:ind w:right="120"/>
              <w:spacing w:after="0"/>
              <w:rPr>
                <w:sz w:val="20"/>
                <w:szCs w:val="20"/>
                <w:color w:val="auto"/>
              </w:rPr>
            </w:pPr>
            <w:r>
              <w:rPr>
                <w:rFonts w:ascii="Arial" w:cs="Arial" w:eastAsia="Arial" w:hAnsi="Arial"/>
                <w:sz w:val="22"/>
                <w:szCs w:val="22"/>
                <w:color w:val="auto"/>
              </w:rPr>
              <w:t>(149,519)</w:t>
            </w:r>
          </w:p>
        </w:tc>
        <w:tc>
          <w:tcPr>
            <w:tcW w:w="940" w:type="dxa"/>
            <w:vAlign w:val="bottom"/>
          </w:tcPr>
          <w:p>
            <w:pPr>
              <w:jc w:val="right"/>
              <w:spacing w:after="0"/>
              <w:rPr>
                <w:sz w:val="20"/>
                <w:szCs w:val="20"/>
                <w:color w:val="auto"/>
              </w:rPr>
            </w:pPr>
            <w:r>
              <w:rPr>
                <w:rFonts w:ascii="Arial" w:cs="Arial" w:eastAsia="Arial" w:hAnsi="Arial"/>
                <w:sz w:val="22"/>
                <w:szCs w:val="22"/>
                <w:color w:val="auto"/>
              </w:rPr>
              <w:t>38,329</w:t>
            </w:r>
          </w:p>
        </w:tc>
        <w:tc>
          <w:tcPr>
            <w:tcW w:w="0" w:type="dxa"/>
            <w:vAlign w:val="bottom"/>
          </w:tcPr>
          <w:p>
            <w:pPr>
              <w:spacing w:after="0"/>
              <w:rPr>
                <w:sz w:val="1"/>
                <w:szCs w:val="1"/>
                <w:color w:val="auto"/>
              </w:rPr>
            </w:pPr>
          </w:p>
        </w:tc>
      </w:tr>
      <w:tr>
        <w:trPr>
          <w:trHeight w:val="98"/>
        </w:trPr>
        <w:tc>
          <w:tcPr>
            <w:tcW w:w="3360" w:type="dxa"/>
            <w:vAlign w:val="bottom"/>
            <w:vMerge w:val="restart"/>
          </w:tcPr>
          <w:p>
            <w:pPr>
              <w:ind w:left="280"/>
              <w:spacing w:after="0"/>
              <w:rPr>
                <w:sz w:val="20"/>
                <w:szCs w:val="20"/>
                <w:color w:val="auto"/>
              </w:rPr>
            </w:pPr>
            <w:r>
              <w:rPr>
                <w:rFonts w:ascii="Arial" w:cs="Arial" w:eastAsia="Arial" w:hAnsi="Arial"/>
                <w:sz w:val="22"/>
                <w:szCs w:val="22"/>
                <w:color w:val="auto"/>
              </w:rPr>
              <w:t>Total Liabilities and</w:t>
            </w: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Stockholders'</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tcPr>
          <w:p>
            <w:pPr>
              <w:ind w:left="380"/>
              <w:spacing w:after="0"/>
              <w:rPr>
                <w:sz w:val="20"/>
                <w:szCs w:val="20"/>
                <w:color w:val="auto"/>
              </w:rPr>
            </w:pPr>
            <w:r>
              <w:rPr>
                <w:rFonts w:ascii="Arial" w:cs="Arial" w:eastAsia="Arial" w:hAnsi="Arial"/>
                <w:sz w:val="22"/>
                <w:szCs w:val="22"/>
                <w:color w:val="auto"/>
              </w:rPr>
              <w:t>Equity</w:t>
            </w:r>
          </w:p>
        </w:tc>
        <w:tc>
          <w:tcPr>
            <w:tcW w:w="720" w:type="dxa"/>
            <w:vAlign w:val="bottom"/>
          </w:tcPr>
          <w:p>
            <w:pPr>
              <w:jc w:val="right"/>
              <w:spacing w:after="0"/>
              <w:rPr>
                <w:sz w:val="20"/>
                <w:szCs w:val="20"/>
                <w:color w:val="auto"/>
              </w:rPr>
            </w:pPr>
            <w:r>
              <w:rPr>
                <w:rFonts w:ascii="Arial" w:cs="Arial" w:eastAsia="Arial" w:hAnsi="Arial"/>
                <w:sz w:val="22"/>
                <w:szCs w:val="22"/>
                <w:color w:val="auto"/>
                <w:w w:val="87"/>
              </w:rPr>
              <w:t>$39,482</w:t>
            </w:r>
          </w:p>
        </w:tc>
        <w:tc>
          <w:tcPr>
            <w:tcW w:w="880" w:type="dxa"/>
            <w:vAlign w:val="bottom"/>
            <w:gridSpan w:val="2"/>
          </w:tcPr>
          <w:p>
            <w:pPr>
              <w:jc w:val="right"/>
              <w:spacing w:after="0"/>
              <w:rPr>
                <w:sz w:val="20"/>
                <w:szCs w:val="20"/>
                <w:color w:val="auto"/>
              </w:rPr>
            </w:pPr>
            <w:r>
              <w:rPr>
                <w:rFonts w:ascii="Arial" w:cs="Arial" w:eastAsia="Arial" w:hAnsi="Arial"/>
                <w:sz w:val="22"/>
                <w:szCs w:val="22"/>
                <w:color w:val="auto"/>
              </w:rPr>
              <w:t>$21,917</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$33,804</w:t>
            </w:r>
          </w:p>
        </w:tc>
        <w:tc>
          <w:tcPr>
            <w:tcW w:w="1080" w:type="dxa"/>
            <w:vAlign w:val="bottom"/>
            <w:gridSpan w:val="3"/>
          </w:tcPr>
          <w:p>
            <w:pPr>
              <w:jc w:val="right"/>
              <w:ind w:right="160"/>
              <w:spacing w:after="0"/>
              <w:rPr>
                <w:sz w:val="20"/>
                <w:szCs w:val="20"/>
                <w:color w:val="auto"/>
              </w:rPr>
            </w:pPr>
            <w:r>
              <w:rPr>
                <w:rFonts w:ascii="Arial" w:cs="Arial" w:eastAsia="Arial" w:hAnsi="Arial"/>
                <w:sz w:val="22"/>
                <w:szCs w:val="22"/>
                <w:color w:val="auto"/>
              </w:rPr>
              <w:t>$40,749</w:t>
            </w:r>
          </w:p>
        </w:tc>
        <w:tc>
          <w:tcPr>
            <w:tcW w:w="880" w:type="dxa"/>
            <w:vAlign w:val="bottom"/>
          </w:tcPr>
          <w:p>
            <w:pPr>
              <w:jc w:val="right"/>
              <w:spacing w:after="0"/>
              <w:rPr>
                <w:sz w:val="20"/>
                <w:szCs w:val="20"/>
                <w:color w:val="auto"/>
              </w:rPr>
            </w:pPr>
            <w:r>
              <w:rPr>
                <w:rFonts w:ascii="Arial" w:cs="Arial" w:eastAsia="Arial" w:hAnsi="Arial"/>
                <w:sz w:val="22"/>
                <w:szCs w:val="22"/>
                <w:color w:val="auto"/>
                <w:w w:val="93"/>
              </w:rPr>
              <w:t>$126,695</w:t>
            </w:r>
          </w:p>
        </w:tc>
        <w:tc>
          <w:tcPr>
            <w:tcW w:w="1340" w:type="dxa"/>
            <w:vAlign w:val="bottom"/>
            <w:gridSpan w:val="3"/>
          </w:tcPr>
          <w:p>
            <w:pPr>
              <w:jc w:val="right"/>
              <w:ind w:right="120"/>
              <w:spacing w:after="0"/>
              <w:rPr>
                <w:sz w:val="20"/>
                <w:szCs w:val="20"/>
                <w:color w:val="auto"/>
              </w:rPr>
            </w:pPr>
            <w:r>
              <w:rPr>
                <w:rFonts w:ascii="Arial" w:cs="Arial" w:eastAsia="Arial" w:hAnsi="Arial"/>
                <w:sz w:val="22"/>
                <w:szCs w:val="22"/>
                <w:color w:val="auto"/>
              </w:rPr>
              <w:t>($149,519)</w:t>
            </w:r>
          </w:p>
        </w:tc>
        <w:tc>
          <w:tcPr>
            <w:tcW w:w="940" w:type="dxa"/>
            <w:vAlign w:val="bottom"/>
          </w:tcPr>
          <w:p>
            <w:pPr>
              <w:jc w:val="right"/>
              <w:spacing w:after="0"/>
              <w:rPr>
                <w:sz w:val="20"/>
                <w:szCs w:val="20"/>
                <w:color w:val="auto"/>
              </w:rPr>
            </w:pPr>
            <w:r>
              <w:rPr>
                <w:rFonts w:ascii="Arial" w:cs="Arial" w:eastAsia="Arial" w:hAnsi="Arial"/>
                <w:sz w:val="22"/>
                <w:szCs w:val="22"/>
                <w:color w:val="auto"/>
              </w:rPr>
              <w:t>$113,128</w:t>
            </w: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2575560</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-14605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-14605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-14605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-14605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-14605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-14605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-14605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-14605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-14605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-14605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-14605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-14605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-14605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9"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Comcast Corporation</w:t>
      </w:r>
    </w:p>
    <w:p>
      <w:pPr>
        <w:jc w:val="center"/>
        <w:ind w:right="-60"/>
        <w:spacing w:after="0" w:line="238" w:lineRule="auto"/>
        <w:rPr>
          <w:sz w:val="20"/>
          <w:szCs w:val="20"/>
          <w:color w:val="auto"/>
        </w:rPr>
      </w:pPr>
      <w:r>
        <w:rPr>
          <w:rFonts w:ascii="Arial" w:cs="Arial" w:eastAsia="Arial" w:hAnsi="Arial"/>
          <w:sz w:val="22"/>
          <w:szCs w:val="22"/>
          <w:color w:val="auto"/>
        </w:rPr>
        <w:t>Condensed Consolidating Statement of Operations</w:t>
      </w:r>
    </w:p>
    <w:p>
      <w:pPr>
        <w:jc w:val="center"/>
        <w:ind w:right="-60"/>
        <w:spacing w:after="0"/>
        <w:rPr>
          <w:sz w:val="20"/>
          <w:szCs w:val="20"/>
          <w:color w:val="auto"/>
        </w:rPr>
      </w:pPr>
      <w:r>
        <w:rPr>
          <w:rFonts w:ascii="Arial" w:cs="Arial" w:eastAsia="Arial" w:hAnsi="Arial"/>
          <w:sz w:val="22"/>
          <w:szCs w:val="22"/>
          <w:color w:val="auto"/>
        </w:rPr>
        <w:t>For the Year Ended December 31, 2003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Elimination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Combined</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Non-</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Consolidated</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Comcast</w:t>
            </w:r>
          </w:p>
        </w:tc>
        <w:tc>
          <w:tcPr>
            <w:tcW w:w="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CCCL</w:t>
            </w:r>
          </w:p>
        </w:tc>
        <w:tc>
          <w:tcPr>
            <w:tcW w:w="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CCCH</w:t>
            </w:r>
          </w:p>
        </w:tc>
        <w:tc>
          <w:tcPr>
            <w:tcW w:w="6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CCHMO</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Guarantor</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Consolidation</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Comcast</w:t>
            </w:r>
          </w:p>
        </w:tc>
        <w:tc>
          <w:tcPr>
            <w:tcW w:w="0" w:type="dxa"/>
            <w:vAlign w:val="bottom"/>
          </w:tcPr>
          <w:p>
            <w:pPr>
              <w:spacing w:after="0"/>
              <w:rPr>
                <w:sz w:val="1"/>
                <w:szCs w:val="1"/>
                <w:color w:val="auto"/>
              </w:rPr>
            </w:pPr>
          </w:p>
        </w:tc>
      </w:tr>
      <w:tr>
        <w:trPr>
          <w:trHeight w:val="222"/>
        </w:trPr>
        <w:tc>
          <w:tcPr>
            <w:tcW w:w="336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Parent</w:t>
            </w:r>
          </w:p>
        </w:tc>
        <w:tc>
          <w:tcPr>
            <w:tcW w:w="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Parent</w:t>
            </w:r>
          </w:p>
        </w:tc>
        <w:tc>
          <w:tcPr>
            <w:tcW w:w="6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Parent</w:t>
            </w:r>
          </w:p>
        </w:tc>
        <w:tc>
          <w:tcPr>
            <w:tcW w:w="6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Parents</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Subsidiaries</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Adjustments</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Corporation</w:t>
            </w:r>
          </w:p>
        </w:tc>
        <w:tc>
          <w:tcPr>
            <w:tcW w:w="0" w:type="dxa"/>
            <w:vAlign w:val="bottom"/>
          </w:tcPr>
          <w:p>
            <w:pPr>
              <w:spacing w:after="0"/>
              <w:rPr>
                <w:sz w:val="1"/>
                <w:szCs w:val="1"/>
                <w:color w:val="auto"/>
              </w:rPr>
            </w:pPr>
          </w:p>
        </w:tc>
      </w:tr>
      <w:tr>
        <w:trPr>
          <w:trHeight w:val="110"/>
        </w:trPr>
        <w:tc>
          <w:tcPr>
            <w:tcW w:w="3360" w:type="dxa"/>
            <w:vAlign w:val="bottom"/>
            <w:vMerge w:val="restart"/>
          </w:tcPr>
          <w:p>
            <w:pPr>
              <w:spacing w:after="0"/>
              <w:rPr>
                <w:sz w:val="20"/>
                <w:szCs w:val="20"/>
                <w:color w:val="auto"/>
              </w:rPr>
            </w:pPr>
            <w:r>
              <w:rPr>
                <w:rFonts w:ascii="Arial" w:cs="Arial" w:eastAsia="Arial" w:hAnsi="Arial"/>
                <w:sz w:val="22"/>
                <w:szCs w:val="22"/>
                <w:color w:val="auto"/>
              </w:rPr>
              <w:t>REVENUES</w:t>
            </w:r>
          </w:p>
        </w:tc>
        <w:tc>
          <w:tcPr>
            <w:tcW w:w="7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Service revenues</w:t>
            </w:r>
          </w:p>
        </w:tc>
        <w:tc>
          <w:tcPr>
            <w:tcW w:w="700" w:type="dxa"/>
            <w:vAlign w:val="bottom"/>
          </w:tcPr>
          <w:p>
            <w:pPr>
              <w:jc w:val="right"/>
              <w:ind w:right="496"/>
              <w:spacing w:after="0"/>
              <w:rPr>
                <w:sz w:val="20"/>
                <w:szCs w:val="20"/>
                <w:color w:val="auto"/>
              </w:rPr>
            </w:pPr>
            <w:r>
              <w:rPr>
                <w:rFonts w:ascii="Arial" w:cs="Arial" w:eastAsia="Arial" w:hAnsi="Arial"/>
                <w:sz w:val="19"/>
                <w:szCs w:val="19"/>
                <w:color w:val="auto"/>
                <w:w w:val="75"/>
              </w:rPr>
              <w:t>$</w:t>
            </w:r>
          </w:p>
        </w:tc>
        <w:tc>
          <w:tcPr>
            <w:tcW w:w="140" w:type="dxa"/>
            <w:vAlign w:val="bottom"/>
          </w:tcPr>
          <w:p>
            <w:pPr>
              <w:spacing w:after="0"/>
              <w:rPr>
                <w:sz w:val="21"/>
                <w:szCs w:val="21"/>
                <w:color w:val="auto"/>
              </w:rPr>
            </w:pPr>
          </w:p>
        </w:tc>
        <w:tc>
          <w:tcPr>
            <w:tcW w:w="720" w:type="dxa"/>
            <w:vAlign w:val="bottom"/>
            <w:gridSpan w:val="2"/>
          </w:tcPr>
          <w:p>
            <w:pPr>
              <w:jc w:val="right"/>
              <w:ind w:right="472"/>
              <w:spacing w:after="0" w:line="243" w:lineRule="exact"/>
              <w:rPr>
                <w:sz w:val="20"/>
                <w:szCs w:val="20"/>
                <w:color w:val="auto"/>
              </w:rPr>
            </w:pPr>
            <w:r>
              <w:rPr>
                <w:rFonts w:ascii="Arial" w:cs="Arial" w:eastAsia="Arial" w:hAnsi="Arial"/>
                <w:sz w:val="22"/>
                <w:szCs w:val="22"/>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492"/>
              <w:spacing w:after="0" w:line="243" w:lineRule="exact"/>
              <w:rPr>
                <w:sz w:val="20"/>
                <w:szCs w:val="20"/>
                <w:color w:val="auto"/>
              </w:rPr>
            </w:pPr>
            <w:r>
              <w:rPr>
                <w:rFonts w:ascii="Arial" w:cs="Arial" w:eastAsia="Arial" w:hAnsi="Arial"/>
                <w:sz w:val="22"/>
                <w:szCs w:val="22"/>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552"/>
              <w:spacing w:after="0" w:line="243"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$18,348</w:t>
            </w:r>
          </w:p>
        </w:tc>
        <w:tc>
          <w:tcPr>
            <w:tcW w:w="200" w:type="dxa"/>
            <w:vAlign w:val="bottom"/>
          </w:tcPr>
          <w:p>
            <w:pPr>
              <w:spacing w:after="0"/>
              <w:rPr>
                <w:sz w:val="21"/>
                <w:szCs w:val="21"/>
                <w:color w:val="auto"/>
              </w:rPr>
            </w:pPr>
          </w:p>
        </w:tc>
        <w:tc>
          <w:tcPr>
            <w:tcW w:w="980" w:type="dxa"/>
            <w:vAlign w:val="bottom"/>
          </w:tcPr>
          <w:p>
            <w:pPr>
              <w:jc w:val="right"/>
              <w:ind w:right="780"/>
              <w:spacing w:after="0"/>
              <w:rPr>
                <w:sz w:val="20"/>
                <w:szCs w:val="20"/>
                <w:color w:val="auto"/>
              </w:rPr>
            </w:pPr>
            <w:r>
              <w:rPr>
                <w:rFonts w:ascii="Arial" w:cs="Arial" w:eastAsia="Arial" w:hAnsi="Arial"/>
                <w:sz w:val="19"/>
                <w:szCs w:val="19"/>
                <w:color w:val="auto"/>
                <w:w w:val="75"/>
              </w:rPr>
              <w:t>$</w:t>
            </w: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$18,348</w:t>
            </w:r>
          </w:p>
        </w:tc>
        <w:tc>
          <w:tcPr>
            <w:tcW w:w="0" w:type="dxa"/>
            <w:vAlign w:val="bottom"/>
          </w:tcPr>
          <w:p>
            <w:pPr>
              <w:spacing w:after="0"/>
              <w:rPr>
                <w:sz w:val="1"/>
                <w:szCs w:val="1"/>
                <w:color w:val="auto"/>
              </w:rPr>
            </w:pPr>
          </w:p>
        </w:tc>
      </w:tr>
      <w:tr>
        <w:trPr>
          <w:trHeight w:val="275"/>
        </w:trPr>
        <w:tc>
          <w:tcPr>
            <w:tcW w:w="3360" w:type="dxa"/>
            <w:vAlign w:val="bottom"/>
          </w:tcPr>
          <w:p>
            <w:pPr>
              <w:ind w:left="180"/>
              <w:spacing w:after="0"/>
              <w:rPr>
                <w:sz w:val="20"/>
                <w:szCs w:val="20"/>
                <w:color w:val="auto"/>
              </w:rPr>
            </w:pPr>
            <w:r>
              <w:rPr>
                <w:rFonts w:ascii="Arial" w:cs="Arial" w:eastAsia="Arial" w:hAnsi="Arial"/>
                <w:sz w:val="22"/>
                <w:szCs w:val="22"/>
                <w:color w:val="auto"/>
              </w:rPr>
              <w:t>Management fee revenue</w:t>
            </w:r>
          </w:p>
        </w:tc>
        <w:tc>
          <w:tcPr>
            <w:tcW w:w="700" w:type="dxa"/>
            <w:vAlign w:val="bottom"/>
          </w:tcPr>
          <w:p>
            <w:pPr>
              <w:jc w:val="right"/>
              <w:spacing w:after="0"/>
              <w:rPr>
                <w:sz w:val="20"/>
                <w:szCs w:val="20"/>
                <w:color w:val="auto"/>
              </w:rPr>
            </w:pPr>
            <w:r>
              <w:rPr>
                <w:rFonts w:ascii="Arial" w:cs="Arial" w:eastAsia="Arial" w:hAnsi="Arial"/>
                <w:sz w:val="22"/>
                <w:szCs w:val="22"/>
                <w:color w:val="auto"/>
              </w:rPr>
              <w:t>376</w:t>
            </w:r>
          </w:p>
        </w:tc>
        <w:tc>
          <w:tcPr>
            <w:tcW w:w="140" w:type="dxa"/>
            <w:vAlign w:val="bottom"/>
          </w:tcPr>
          <w:p>
            <w:pPr>
              <w:spacing w:after="0"/>
              <w:rPr>
                <w:sz w:val="23"/>
                <w:szCs w:val="23"/>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22"/>
                <w:szCs w:val="22"/>
                <w:color w:val="auto"/>
              </w:rPr>
              <w:t>147</w:t>
            </w:r>
          </w:p>
        </w:tc>
        <w:tc>
          <w:tcPr>
            <w:tcW w:w="880" w:type="dxa"/>
            <w:vAlign w:val="bottom"/>
            <w:gridSpan w:val="3"/>
          </w:tcPr>
          <w:p>
            <w:pPr>
              <w:jc w:val="right"/>
              <w:ind w:right="140"/>
              <w:spacing w:after="0"/>
              <w:rPr>
                <w:sz w:val="20"/>
                <w:szCs w:val="20"/>
                <w:color w:val="auto"/>
              </w:rPr>
            </w:pPr>
            <w:r>
              <w:rPr>
                <w:rFonts w:ascii="Arial" w:cs="Arial" w:eastAsia="Arial" w:hAnsi="Arial"/>
                <w:sz w:val="22"/>
                <w:szCs w:val="22"/>
                <w:color w:val="auto"/>
              </w:rPr>
              <w:t>231</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231</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(985)</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376</w:t>
            </w:r>
          </w:p>
        </w:tc>
        <w:tc>
          <w:tcPr>
            <w:tcW w:w="140" w:type="dxa"/>
            <w:vAlign w:val="bottom"/>
          </w:tcPr>
          <w:p>
            <w:pPr>
              <w:spacing w:after="0"/>
              <w:rPr>
                <w:sz w:val="24"/>
                <w:szCs w:val="2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22"/>
                <w:szCs w:val="22"/>
                <w:color w:val="auto"/>
              </w:rPr>
              <w:t>147</w:t>
            </w:r>
          </w:p>
        </w:tc>
        <w:tc>
          <w:tcPr>
            <w:tcW w:w="880" w:type="dxa"/>
            <w:vAlign w:val="bottom"/>
            <w:gridSpan w:val="3"/>
          </w:tcPr>
          <w:p>
            <w:pPr>
              <w:jc w:val="right"/>
              <w:ind w:right="140"/>
              <w:spacing w:after="0"/>
              <w:rPr>
                <w:sz w:val="20"/>
                <w:szCs w:val="20"/>
                <w:color w:val="auto"/>
              </w:rPr>
            </w:pPr>
            <w:r>
              <w:rPr>
                <w:rFonts w:ascii="Arial" w:cs="Arial" w:eastAsia="Arial" w:hAnsi="Arial"/>
                <w:sz w:val="22"/>
                <w:szCs w:val="22"/>
                <w:color w:val="auto"/>
              </w:rPr>
              <w:t>231</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231</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18,348</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(985)</w:t>
            </w: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18,348</w:t>
            </w:r>
          </w:p>
        </w:tc>
        <w:tc>
          <w:tcPr>
            <w:tcW w:w="0" w:type="dxa"/>
            <w:vAlign w:val="bottom"/>
          </w:tcPr>
          <w:p>
            <w:pPr>
              <w:spacing w:after="0"/>
              <w:rPr>
                <w:sz w:val="1"/>
                <w:szCs w:val="1"/>
                <w:color w:val="auto"/>
              </w:rPr>
            </w:pPr>
          </w:p>
        </w:tc>
      </w:tr>
      <w:tr>
        <w:trPr>
          <w:trHeight w:val="98"/>
        </w:trPr>
        <w:tc>
          <w:tcPr>
            <w:tcW w:w="3360" w:type="dxa"/>
            <w:vAlign w:val="bottom"/>
            <w:vMerge w:val="restart"/>
          </w:tcPr>
          <w:p>
            <w:pPr>
              <w:spacing w:after="0"/>
              <w:rPr>
                <w:sz w:val="20"/>
                <w:szCs w:val="20"/>
                <w:color w:val="auto"/>
              </w:rPr>
            </w:pPr>
            <w:r>
              <w:rPr>
                <w:rFonts w:ascii="Arial" w:cs="Arial" w:eastAsia="Arial" w:hAnsi="Arial"/>
                <w:sz w:val="22"/>
                <w:szCs w:val="22"/>
                <w:color w:val="auto"/>
              </w:rPr>
              <w:t>COSTS AND EXPENSES</w:t>
            </w:r>
          </w:p>
        </w:tc>
        <w:tc>
          <w:tcPr>
            <w:tcW w:w="7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Operating (excluding</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depreciation)</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7,041</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7,041</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Selling, general and</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administrative</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156</w:t>
            </w:r>
          </w:p>
        </w:tc>
        <w:tc>
          <w:tcPr>
            <w:tcW w:w="140" w:type="dxa"/>
            <w:vAlign w:val="bottom"/>
          </w:tcPr>
          <w:p>
            <w:pPr>
              <w:spacing w:after="0"/>
              <w:rPr>
                <w:sz w:val="21"/>
                <w:szCs w:val="21"/>
                <w:color w:val="auto"/>
              </w:rPr>
            </w:pPr>
          </w:p>
        </w:tc>
        <w:tc>
          <w:tcPr>
            <w:tcW w:w="86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147</w:t>
            </w:r>
          </w:p>
        </w:tc>
        <w:tc>
          <w:tcPr>
            <w:tcW w:w="88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231</w:t>
            </w:r>
          </w:p>
        </w:tc>
        <w:tc>
          <w:tcPr>
            <w:tcW w:w="8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231</w:t>
            </w: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5,135</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(985)</w:t>
            </w: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4,915</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Depreciation</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3,166</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3,166</w:t>
            </w:r>
          </w:p>
        </w:tc>
        <w:tc>
          <w:tcPr>
            <w:tcW w:w="0" w:type="dxa"/>
            <w:vAlign w:val="bottom"/>
          </w:tcPr>
          <w:p>
            <w:pPr>
              <w:spacing w:after="0"/>
              <w:rPr>
                <w:sz w:val="1"/>
                <w:szCs w:val="1"/>
                <w:color w:val="auto"/>
              </w:rPr>
            </w:pPr>
          </w:p>
        </w:tc>
      </w:tr>
      <w:tr>
        <w:trPr>
          <w:trHeight w:val="275"/>
        </w:trPr>
        <w:tc>
          <w:tcPr>
            <w:tcW w:w="3360" w:type="dxa"/>
            <w:vAlign w:val="bottom"/>
          </w:tcPr>
          <w:p>
            <w:pPr>
              <w:ind w:left="160"/>
              <w:spacing w:after="0"/>
              <w:rPr>
                <w:sz w:val="20"/>
                <w:szCs w:val="20"/>
                <w:color w:val="auto"/>
              </w:rPr>
            </w:pPr>
            <w:r>
              <w:rPr>
                <w:rFonts w:ascii="Arial" w:cs="Arial" w:eastAsia="Arial" w:hAnsi="Arial"/>
                <w:sz w:val="22"/>
                <w:szCs w:val="22"/>
                <w:color w:val="auto"/>
              </w:rPr>
              <w:t>Amortization</w:t>
            </w: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1,272</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1,272</w:t>
            </w: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156</w:t>
            </w:r>
          </w:p>
        </w:tc>
        <w:tc>
          <w:tcPr>
            <w:tcW w:w="140" w:type="dxa"/>
            <w:vAlign w:val="bottom"/>
          </w:tcPr>
          <w:p>
            <w:pPr>
              <w:spacing w:after="0"/>
              <w:rPr>
                <w:sz w:val="24"/>
                <w:szCs w:val="2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22"/>
                <w:szCs w:val="22"/>
                <w:color w:val="auto"/>
              </w:rPr>
              <w:t>147</w:t>
            </w:r>
          </w:p>
        </w:tc>
        <w:tc>
          <w:tcPr>
            <w:tcW w:w="880" w:type="dxa"/>
            <w:vAlign w:val="bottom"/>
            <w:gridSpan w:val="3"/>
          </w:tcPr>
          <w:p>
            <w:pPr>
              <w:jc w:val="right"/>
              <w:ind w:right="140"/>
              <w:spacing w:after="0"/>
              <w:rPr>
                <w:sz w:val="20"/>
                <w:szCs w:val="20"/>
                <w:color w:val="auto"/>
              </w:rPr>
            </w:pPr>
            <w:r>
              <w:rPr>
                <w:rFonts w:ascii="Arial" w:cs="Arial" w:eastAsia="Arial" w:hAnsi="Arial"/>
                <w:sz w:val="22"/>
                <w:szCs w:val="22"/>
                <w:color w:val="auto"/>
              </w:rPr>
              <w:t>231</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231</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16,614</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(985)</w:t>
            </w: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16,394</w:t>
            </w: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3360" w:type="dxa"/>
            <w:vAlign w:val="bottom"/>
          </w:tcPr>
          <w:p>
            <w:pPr>
              <w:spacing w:after="0"/>
              <w:rPr>
                <w:sz w:val="20"/>
                <w:szCs w:val="20"/>
                <w:color w:val="auto"/>
              </w:rPr>
            </w:pPr>
            <w:r>
              <w:rPr>
                <w:rFonts w:ascii="Arial" w:cs="Arial" w:eastAsia="Arial" w:hAnsi="Arial"/>
                <w:sz w:val="22"/>
                <w:szCs w:val="22"/>
                <w:color w:val="auto"/>
              </w:rPr>
              <w:t>OPERATING INCOME</w:t>
            </w:r>
          </w:p>
        </w:tc>
        <w:tc>
          <w:tcPr>
            <w:tcW w:w="700" w:type="dxa"/>
            <w:vAlign w:val="bottom"/>
          </w:tcPr>
          <w:p>
            <w:pPr>
              <w:jc w:val="right"/>
              <w:spacing w:after="0"/>
              <w:rPr>
                <w:sz w:val="20"/>
                <w:szCs w:val="20"/>
                <w:color w:val="auto"/>
              </w:rPr>
            </w:pPr>
            <w:r>
              <w:rPr>
                <w:rFonts w:ascii="Arial" w:cs="Arial" w:eastAsia="Arial" w:hAnsi="Arial"/>
                <w:sz w:val="22"/>
                <w:szCs w:val="22"/>
                <w:color w:val="auto"/>
              </w:rPr>
              <w:t>220</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1,734</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1,954</w:t>
            </w:r>
          </w:p>
        </w:tc>
        <w:tc>
          <w:tcPr>
            <w:tcW w:w="0" w:type="dxa"/>
            <w:vAlign w:val="bottom"/>
          </w:tcPr>
          <w:p>
            <w:pPr>
              <w:spacing w:after="0"/>
              <w:rPr>
                <w:sz w:val="1"/>
                <w:szCs w:val="1"/>
                <w:color w:val="auto"/>
              </w:rPr>
            </w:pPr>
          </w:p>
        </w:tc>
      </w:tr>
      <w:tr>
        <w:trPr>
          <w:trHeight w:val="455"/>
        </w:trPr>
        <w:tc>
          <w:tcPr>
            <w:tcW w:w="3360" w:type="dxa"/>
            <w:vAlign w:val="bottom"/>
          </w:tcPr>
          <w:p>
            <w:pPr>
              <w:spacing w:after="0"/>
              <w:rPr>
                <w:sz w:val="20"/>
                <w:szCs w:val="20"/>
                <w:color w:val="auto"/>
              </w:rPr>
            </w:pPr>
            <w:r>
              <w:rPr>
                <w:rFonts w:ascii="Arial" w:cs="Arial" w:eastAsia="Arial" w:hAnsi="Arial"/>
                <w:sz w:val="22"/>
                <w:szCs w:val="22"/>
                <w:color w:val="auto"/>
              </w:rPr>
              <w:t>OTHER INCOME (EXPENSE)</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Interest expense</w:t>
            </w:r>
          </w:p>
        </w:tc>
        <w:tc>
          <w:tcPr>
            <w:tcW w:w="8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(292)</w:t>
            </w:r>
          </w:p>
        </w:tc>
        <w:tc>
          <w:tcPr>
            <w:tcW w:w="860" w:type="dxa"/>
            <w:vAlign w:val="bottom"/>
            <w:gridSpan w:val="3"/>
          </w:tcPr>
          <w:p>
            <w:pPr>
              <w:jc w:val="right"/>
              <w:ind w:right="60"/>
              <w:spacing w:after="0" w:line="243" w:lineRule="exact"/>
              <w:rPr>
                <w:sz w:val="20"/>
                <w:szCs w:val="20"/>
                <w:color w:val="auto"/>
              </w:rPr>
            </w:pPr>
            <w:r>
              <w:rPr>
                <w:rFonts w:ascii="Arial" w:cs="Arial" w:eastAsia="Arial" w:hAnsi="Arial"/>
                <w:sz w:val="22"/>
                <w:szCs w:val="22"/>
                <w:color w:val="auto"/>
              </w:rPr>
              <w:t>(527)</w:t>
            </w:r>
          </w:p>
        </w:tc>
        <w:tc>
          <w:tcPr>
            <w:tcW w:w="880" w:type="dxa"/>
            <w:vAlign w:val="bottom"/>
            <w:gridSpan w:val="3"/>
          </w:tcPr>
          <w:p>
            <w:pPr>
              <w:jc w:val="right"/>
              <w:ind w:right="60"/>
              <w:spacing w:after="0" w:line="243" w:lineRule="exact"/>
              <w:rPr>
                <w:sz w:val="20"/>
                <w:szCs w:val="20"/>
                <w:color w:val="auto"/>
              </w:rPr>
            </w:pPr>
            <w:r>
              <w:rPr>
                <w:rFonts w:ascii="Arial" w:cs="Arial" w:eastAsia="Arial" w:hAnsi="Arial"/>
                <w:sz w:val="22"/>
                <w:szCs w:val="22"/>
                <w:color w:val="auto"/>
              </w:rPr>
              <w:t>(373)</w:t>
            </w:r>
          </w:p>
        </w:tc>
        <w:tc>
          <w:tcPr>
            <w:tcW w:w="98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(398)</w:t>
            </w: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(428)</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(2,018)</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Investment loss, net</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(84)</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(84)</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Equity in net (losses) income of</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80"/>
              <w:spacing w:after="0" w:line="243" w:lineRule="exact"/>
              <w:rPr>
                <w:sz w:val="20"/>
                <w:szCs w:val="20"/>
                <w:color w:val="auto"/>
              </w:rPr>
            </w:pPr>
            <w:r>
              <w:rPr>
                <w:rFonts w:ascii="Arial" w:cs="Arial" w:eastAsia="Arial" w:hAnsi="Arial"/>
                <w:sz w:val="22"/>
                <w:szCs w:val="22"/>
                <w:color w:val="auto"/>
              </w:rPr>
              <w:t>affiliates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3,287</w:t>
            </w:r>
          </w:p>
        </w:tc>
        <w:tc>
          <w:tcPr>
            <w:tcW w:w="140" w:type="dxa"/>
            <w:vAlign w:val="bottom"/>
          </w:tcPr>
          <w:p>
            <w:pPr>
              <w:spacing w:after="0"/>
              <w:rPr>
                <w:sz w:val="21"/>
                <w:szCs w:val="21"/>
                <w:color w:val="auto"/>
              </w:rPr>
            </w:pPr>
          </w:p>
        </w:tc>
        <w:tc>
          <w:tcPr>
            <w:tcW w:w="86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996</w:t>
            </w:r>
          </w:p>
        </w:tc>
        <w:tc>
          <w:tcPr>
            <w:tcW w:w="880" w:type="dxa"/>
            <w:vAlign w:val="bottom"/>
            <w:gridSpan w:val="3"/>
          </w:tcPr>
          <w:p>
            <w:pPr>
              <w:jc w:val="right"/>
              <w:ind w:right="60"/>
              <w:spacing w:after="0" w:line="243" w:lineRule="exact"/>
              <w:rPr>
                <w:sz w:val="20"/>
                <w:szCs w:val="20"/>
                <w:color w:val="auto"/>
              </w:rPr>
            </w:pPr>
            <w:r>
              <w:rPr>
                <w:rFonts w:ascii="Arial" w:cs="Arial" w:eastAsia="Arial" w:hAnsi="Arial"/>
                <w:sz w:val="22"/>
                <w:szCs w:val="22"/>
                <w:color w:val="auto"/>
              </w:rPr>
              <w:t>(356)</w:t>
            </w:r>
          </w:p>
        </w:tc>
        <w:tc>
          <w:tcPr>
            <w:tcW w:w="98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(97)</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593</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(4,483)</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(60)</w:t>
            </w:r>
          </w:p>
        </w:tc>
        <w:tc>
          <w:tcPr>
            <w:tcW w:w="0" w:type="dxa"/>
            <w:vAlign w:val="bottom"/>
          </w:tcPr>
          <w:p>
            <w:pPr>
              <w:spacing w:after="0"/>
              <w:rPr>
                <w:sz w:val="1"/>
                <w:szCs w:val="1"/>
                <w:color w:val="auto"/>
              </w:rPr>
            </w:pPr>
          </w:p>
        </w:tc>
      </w:tr>
      <w:tr>
        <w:trPr>
          <w:trHeight w:val="275"/>
        </w:trPr>
        <w:tc>
          <w:tcPr>
            <w:tcW w:w="3360" w:type="dxa"/>
            <w:vAlign w:val="bottom"/>
          </w:tcPr>
          <w:p>
            <w:pPr>
              <w:ind w:left="180"/>
              <w:spacing w:after="0"/>
              <w:rPr>
                <w:sz w:val="20"/>
                <w:szCs w:val="20"/>
                <w:color w:val="auto"/>
              </w:rPr>
            </w:pPr>
            <w:r>
              <w:rPr>
                <w:rFonts w:ascii="Arial" w:cs="Arial" w:eastAsia="Arial" w:hAnsi="Arial"/>
                <w:sz w:val="22"/>
                <w:szCs w:val="22"/>
                <w:color w:val="auto"/>
              </w:rPr>
              <w:t>Other income</w:t>
            </w: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71</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2,995</w:t>
            </w:r>
          </w:p>
        </w:tc>
        <w:tc>
          <w:tcPr>
            <w:tcW w:w="140" w:type="dxa"/>
            <w:vAlign w:val="bottom"/>
          </w:tcPr>
          <w:p>
            <w:pPr>
              <w:spacing w:after="0"/>
              <w:rPr>
                <w:sz w:val="24"/>
                <w:szCs w:val="2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22"/>
                <w:szCs w:val="22"/>
                <w:color w:val="auto"/>
              </w:rPr>
              <w:t>469</w:t>
            </w:r>
          </w:p>
        </w:tc>
        <w:tc>
          <w:tcPr>
            <w:tcW w:w="880" w:type="dxa"/>
            <w:vAlign w:val="bottom"/>
            <w:gridSpan w:val="3"/>
          </w:tcPr>
          <w:p>
            <w:pPr>
              <w:jc w:val="right"/>
              <w:ind w:right="60"/>
              <w:spacing w:after="0"/>
              <w:rPr>
                <w:sz w:val="20"/>
                <w:szCs w:val="20"/>
                <w:color w:val="auto"/>
              </w:rPr>
            </w:pPr>
            <w:r>
              <w:rPr>
                <w:rFonts w:ascii="Arial" w:cs="Arial" w:eastAsia="Arial" w:hAnsi="Arial"/>
                <w:sz w:val="22"/>
                <w:szCs w:val="22"/>
                <w:color w:val="auto"/>
              </w:rPr>
              <w:t>(729)</w:t>
            </w:r>
          </w:p>
        </w:tc>
        <w:tc>
          <w:tcPr>
            <w:tcW w:w="980" w:type="dxa"/>
            <w:vAlign w:val="bottom"/>
            <w:gridSpan w:val="3"/>
          </w:tcPr>
          <w:p>
            <w:pPr>
              <w:jc w:val="right"/>
              <w:ind w:right="120"/>
              <w:spacing w:after="0"/>
              <w:rPr>
                <w:sz w:val="20"/>
                <w:szCs w:val="20"/>
                <w:color w:val="auto"/>
              </w:rPr>
            </w:pPr>
            <w:r>
              <w:rPr>
                <w:rFonts w:ascii="Arial" w:cs="Arial" w:eastAsia="Arial" w:hAnsi="Arial"/>
                <w:sz w:val="22"/>
                <w:szCs w:val="22"/>
                <w:color w:val="auto"/>
              </w:rPr>
              <w:t>(495)</w:t>
            </w:r>
          </w:p>
        </w:tc>
        <w:tc>
          <w:tcPr>
            <w:tcW w:w="860" w:type="dxa"/>
            <w:vAlign w:val="bottom"/>
          </w:tcPr>
          <w:p>
            <w:pPr>
              <w:jc w:val="right"/>
              <w:spacing w:after="0"/>
              <w:rPr>
                <w:sz w:val="20"/>
                <w:szCs w:val="20"/>
                <w:color w:val="auto"/>
              </w:rPr>
            </w:pPr>
            <w:r>
              <w:rPr>
                <w:rFonts w:ascii="Arial" w:cs="Arial" w:eastAsia="Arial" w:hAnsi="Arial"/>
                <w:sz w:val="22"/>
                <w:szCs w:val="22"/>
                <w:color w:val="auto"/>
              </w:rPr>
              <w:t>152</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(4,483)</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(2,091)</w:t>
            </w:r>
          </w:p>
        </w:tc>
        <w:tc>
          <w:tcPr>
            <w:tcW w:w="0" w:type="dxa"/>
            <w:vAlign w:val="bottom"/>
          </w:tcPr>
          <w:p>
            <w:pPr>
              <w:spacing w:after="0"/>
              <w:rPr>
                <w:sz w:val="1"/>
                <w:szCs w:val="1"/>
                <w:color w:val="auto"/>
              </w:rPr>
            </w:pPr>
          </w:p>
        </w:tc>
      </w:tr>
      <w:tr>
        <w:trPr>
          <w:trHeight w:val="98"/>
        </w:trPr>
        <w:tc>
          <w:tcPr>
            <w:tcW w:w="3360" w:type="dxa"/>
            <w:vAlign w:val="bottom"/>
            <w:vMerge w:val="restart"/>
          </w:tcPr>
          <w:p>
            <w:pPr>
              <w:spacing w:after="0"/>
              <w:rPr>
                <w:sz w:val="20"/>
                <w:szCs w:val="20"/>
                <w:color w:val="auto"/>
              </w:rPr>
            </w:pPr>
            <w:r>
              <w:rPr>
                <w:rFonts w:ascii="Arial" w:cs="Arial" w:eastAsia="Arial" w:hAnsi="Arial"/>
                <w:sz w:val="22"/>
                <w:szCs w:val="22"/>
                <w:color w:val="auto"/>
              </w:rPr>
              <w:t>INCOME (LOSS) FROM</w:t>
            </w:r>
          </w:p>
        </w:tc>
        <w:tc>
          <w:tcPr>
            <w:tcW w:w="7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CONTINUING</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OPERATIONS BEFORE</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INCOME</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60"/>
              <w:spacing w:after="0" w:line="243" w:lineRule="exact"/>
              <w:rPr>
                <w:sz w:val="20"/>
                <w:szCs w:val="20"/>
                <w:color w:val="auto"/>
              </w:rPr>
            </w:pPr>
            <w:r>
              <w:rPr>
                <w:rFonts w:ascii="Arial" w:cs="Arial" w:eastAsia="Arial" w:hAnsi="Arial"/>
                <w:sz w:val="22"/>
                <w:szCs w:val="22"/>
                <w:color w:val="auto"/>
              </w:rPr>
              <w:t>TAXES AND MINORITY</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tcPr>
          <w:p>
            <w:pPr>
              <w:spacing w:after="0"/>
              <w:rPr>
                <w:sz w:val="20"/>
                <w:szCs w:val="20"/>
                <w:color w:val="auto"/>
              </w:rPr>
            </w:pPr>
            <w:r>
              <w:rPr>
                <w:rFonts w:ascii="Arial" w:cs="Arial" w:eastAsia="Arial" w:hAnsi="Arial"/>
                <w:sz w:val="22"/>
                <w:szCs w:val="22"/>
                <w:color w:val="auto"/>
              </w:rPr>
              <w:t>INTEREST</w:t>
            </w:r>
          </w:p>
        </w:tc>
        <w:tc>
          <w:tcPr>
            <w:tcW w:w="700" w:type="dxa"/>
            <w:vAlign w:val="bottom"/>
          </w:tcPr>
          <w:p>
            <w:pPr>
              <w:jc w:val="right"/>
              <w:spacing w:after="0"/>
              <w:rPr>
                <w:sz w:val="20"/>
                <w:szCs w:val="20"/>
                <w:color w:val="auto"/>
              </w:rPr>
            </w:pPr>
            <w:r>
              <w:rPr>
                <w:rFonts w:ascii="Arial" w:cs="Arial" w:eastAsia="Arial" w:hAnsi="Arial"/>
                <w:sz w:val="22"/>
                <w:szCs w:val="22"/>
                <w:color w:val="auto"/>
              </w:rPr>
              <w:t>3,215</w:t>
            </w:r>
          </w:p>
        </w:tc>
        <w:tc>
          <w:tcPr>
            <w:tcW w:w="140" w:type="dxa"/>
            <w:vAlign w:val="bottom"/>
          </w:tcPr>
          <w:p>
            <w:pPr>
              <w:spacing w:after="0"/>
              <w:rPr>
                <w:sz w:val="23"/>
                <w:szCs w:val="23"/>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22"/>
                <w:szCs w:val="22"/>
                <w:color w:val="auto"/>
              </w:rPr>
              <w:t>469</w:t>
            </w:r>
          </w:p>
        </w:tc>
        <w:tc>
          <w:tcPr>
            <w:tcW w:w="880" w:type="dxa"/>
            <w:vAlign w:val="bottom"/>
            <w:gridSpan w:val="3"/>
          </w:tcPr>
          <w:p>
            <w:pPr>
              <w:jc w:val="right"/>
              <w:ind w:right="60"/>
              <w:spacing w:after="0"/>
              <w:rPr>
                <w:sz w:val="20"/>
                <w:szCs w:val="20"/>
                <w:color w:val="auto"/>
              </w:rPr>
            </w:pPr>
            <w:r>
              <w:rPr>
                <w:rFonts w:ascii="Arial" w:cs="Arial" w:eastAsia="Arial" w:hAnsi="Arial"/>
                <w:sz w:val="22"/>
                <w:szCs w:val="22"/>
                <w:color w:val="auto"/>
              </w:rPr>
              <w:t>(729)</w:t>
            </w:r>
          </w:p>
        </w:tc>
        <w:tc>
          <w:tcPr>
            <w:tcW w:w="980" w:type="dxa"/>
            <w:vAlign w:val="bottom"/>
            <w:gridSpan w:val="3"/>
          </w:tcPr>
          <w:p>
            <w:pPr>
              <w:jc w:val="right"/>
              <w:ind w:right="120"/>
              <w:spacing w:after="0"/>
              <w:rPr>
                <w:sz w:val="20"/>
                <w:szCs w:val="20"/>
                <w:color w:val="auto"/>
              </w:rPr>
            </w:pPr>
            <w:r>
              <w:rPr>
                <w:rFonts w:ascii="Arial" w:cs="Arial" w:eastAsia="Arial" w:hAnsi="Arial"/>
                <w:sz w:val="22"/>
                <w:szCs w:val="22"/>
                <w:color w:val="auto"/>
              </w:rPr>
              <w:t>(495)</w:t>
            </w:r>
          </w:p>
        </w:tc>
        <w:tc>
          <w:tcPr>
            <w:tcW w:w="860" w:type="dxa"/>
            <w:vAlign w:val="bottom"/>
          </w:tcPr>
          <w:p>
            <w:pPr>
              <w:jc w:val="right"/>
              <w:spacing w:after="0"/>
              <w:rPr>
                <w:sz w:val="20"/>
                <w:szCs w:val="20"/>
                <w:color w:val="auto"/>
              </w:rPr>
            </w:pPr>
            <w:r>
              <w:rPr>
                <w:rFonts w:ascii="Arial" w:cs="Arial" w:eastAsia="Arial" w:hAnsi="Arial"/>
                <w:sz w:val="22"/>
                <w:szCs w:val="22"/>
                <w:color w:val="auto"/>
              </w:rPr>
              <w:t>1,886</w:t>
            </w: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(4,483)</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(137)</w:t>
            </w:r>
          </w:p>
        </w:tc>
        <w:tc>
          <w:tcPr>
            <w:tcW w:w="0" w:type="dxa"/>
            <w:vAlign w:val="bottom"/>
          </w:tcPr>
          <w:p>
            <w:pPr>
              <w:spacing w:after="0"/>
              <w:rPr>
                <w:sz w:val="1"/>
                <w:szCs w:val="1"/>
                <w:color w:val="auto"/>
              </w:rPr>
            </w:pPr>
          </w:p>
        </w:tc>
      </w:tr>
    </w:tbl>
    <w:p>
      <w:pPr>
        <w:sectPr>
          <w:pgSz w:w="11900" w:h="16838" w:orient="portrait"/>
          <w:cols w:equalWidth="0" w:num="1">
            <w:col w:w="10219"/>
          </w:cols>
          <w:pgMar w:left="240" w:top="108" w:right="1440" w:bottom="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60" w:type="dxa"/>
            <w:vAlign w:val="bottom"/>
          </w:tcPr>
          <w:p>
            <w:pPr>
              <w:spacing w:after="0"/>
              <w:rPr>
                <w:sz w:val="20"/>
                <w:szCs w:val="20"/>
                <w:color w:val="auto"/>
              </w:rPr>
            </w:pPr>
            <w:r>
              <w:rPr>
                <w:rFonts w:ascii="Arial" w:cs="Arial" w:eastAsia="Arial" w:hAnsi="Arial"/>
                <w:sz w:val="22"/>
                <w:szCs w:val="22"/>
                <w:color w:val="auto"/>
              </w:rPr>
              <w:t>INCOME TAX BENEFIT</w:t>
            </w:r>
          </w:p>
        </w:tc>
        <w:tc>
          <w:tcPr>
            <w:tcW w:w="700" w:type="dxa"/>
            <w:vAlign w:val="bottom"/>
          </w:tcPr>
          <w:p>
            <w:pPr>
              <w:jc w:val="right"/>
              <w:spacing w:after="0"/>
              <w:rPr>
                <w:sz w:val="20"/>
                <w:szCs w:val="20"/>
                <w:color w:val="auto"/>
              </w:rPr>
            </w:pPr>
            <w:r>
              <w:rPr>
                <w:rFonts w:ascii="Arial" w:cs="Arial" w:eastAsia="Arial" w:hAnsi="Arial"/>
                <w:sz w:val="22"/>
                <w:szCs w:val="22"/>
                <w:color w:val="auto"/>
              </w:rPr>
              <w:t>25</w:t>
            </w:r>
          </w:p>
        </w:tc>
        <w:tc>
          <w:tcPr>
            <w:tcW w:w="1060" w:type="dxa"/>
            <w:vAlign w:val="bottom"/>
            <w:gridSpan w:val="3"/>
          </w:tcPr>
          <w:p>
            <w:pPr>
              <w:jc w:val="right"/>
              <w:ind w:right="200"/>
              <w:spacing w:after="0"/>
              <w:rPr>
                <w:sz w:val="20"/>
                <w:szCs w:val="20"/>
                <w:color w:val="auto"/>
              </w:rPr>
            </w:pPr>
            <w:r>
              <w:rPr>
                <w:rFonts w:ascii="Arial" w:cs="Arial" w:eastAsia="Arial" w:hAnsi="Arial"/>
                <w:sz w:val="22"/>
                <w:szCs w:val="22"/>
                <w:color w:val="auto"/>
              </w:rPr>
              <w:t>184</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131</w:t>
            </w:r>
          </w:p>
        </w:tc>
        <w:tc>
          <w:tcPr>
            <w:tcW w:w="740" w:type="dxa"/>
            <w:vAlign w:val="bottom"/>
          </w:tcPr>
          <w:p>
            <w:pPr>
              <w:jc w:val="right"/>
              <w:spacing w:after="0"/>
              <w:rPr>
                <w:sz w:val="20"/>
                <w:szCs w:val="20"/>
                <w:color w:val="auto"/>
              </w:rPr>
            </w:pPr>
            <w:r>
              <w:rPr>
                <w:rFonts w:ascii="Arial" w:cs="Arial" w:eastAsia="Arial" w:hAnsi="Arial"/>
                <w:sz w:val="22"/>
                <w:szCs w:val="22"/>
                <w:color w:val="auto"/>
              </w:rPr>
              <w:t>139</w:t>
            </w:r>
          </w:p>
        </w:tc>
        <w:tc>
          <w:tcPr>
            <w:tcW w:w="1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(463)</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75"/>
        </w:trPr>
        <w:tc>
          <w:tcPr>
            <w:tcW w:w="3360" w:type="dxa"/>
            <w:vAlign w:val="bottom"/>
          </w:tcPr>
          <w:p>
            <w:pPr>
              <w:spacing w:after="0"/>
              <w:rPr>
                <w:sz w:val="20"/>
                <w:szCs w:val="20"/>
                <w:color w:val="auto"/>
              </w:rPr>
            </w:pPr>
            <w:r>
              <w:rPr>
                <w:rFonts w:ascii="Arial" w:cs="Arial" w:eastAsia="Arial" w:hAnsi="Arial"/>
                <w:sz w:val="22"/>
                <w:szCs w:val="22"/>
                <w:color w:val="auto"/>
              </w:rPr>
              <w:t>(EXPENSE)</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360" w:type="dxa"/>
            <w:vAlign w:val="bottom"/>
            <w:vMerge w:val="restart"/>
          </w:tcPr>
          <w:p>
            <w:pPr>
              <w:spacing w:after="0"/>
              <w:rPr>
                <w:sz w:val="20"/>
                <w:szCs w:val="20"/>
                <w:color w:val="auto"/>
              </w:rPr>
            </w:pPr>
            <w:r>
              <w:rPr>
                <w:rFonts w:ascii="Arial" w:cs="Arial" w:eastAsia="Arial" w:hAnsi="Arial"/>
                <w:sz w:val="22"/>
                <w:szCs w:val="22"/>
                <w:color w:val="auto"/>
              </w:rPr>
              <w:t>INCOME (LOSS) FROM</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CONTINUING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OPERATIONS BEFORE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MINORITY</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tcPr>
          <w:p>
            <w:pPr>
              <w:ind w:left="180"/>
              <w:spacing w:after="0"/>
              <w:rPr>
                <w:sz w:val="20"/>
                <w:szCs w:val="20"/>
                <w:color w:val="auto"/>
              </w:rPr>
            </w:pPr>
            <w:r>
              <w:rPr>
                <w:rFonts w:ascii="Arial" w:cs="Arial" w:eastAsia="Arial" w:hAnsi="Arial"/>
                <w:sz w:val="22"/>
                <w:szCs w:val="22"/>
                <w:color w:val="auto"/>
              </w:rPr>
              <w:t>INTEREST</w:t>
            </w:r>
          </w:p>
        </w:tc>
        <w:tc>
          <w:tcPr>
            <w:tcW w:w="700" w:type="dxa"/>
            <w:vAlign w:val="bottom"/>
          </w:tcPr>
          <w:p>
            <w:pPr>
              <w:jc w:val="right"/>
              <w:spacing w:after="0"/>
              <w:rPr>
                <w:sz w:val="20"/>
                <w:szCs w:val="20"/>
                <w:color w:val="auto"/>
              </w:rPr>
            </w:pPr>
            <w:r>
              <w:rPr>
                <w:rFonts w:ascii="Arial" w:cs="Arial" w:eastAsia="Arial" w:hAnsi="Arial"/>
                <w:sz w:val="22"/>
                <w:szCs w:val="22"/>
                <w:color w:val="auto"/>
              </w:rPr>
              <w:t>3,240</w:t>
            </w:r>
          </w:p>
        </w:tc>
        <w:tc>
          <w:tcPr>
            <w:tcW w:w="1060" w:type="dxa"/>
            <w:vAlign w:val="bottom"/>
            <w:gridSpan w:val="3"/>
          </w:tcPr>
          <w:p>
            <w:pPr>
              <w:jc w:val="right"/>
              <w:ind w:right="200"/>
              <w:spacing w:after="0"/>
              <w:rPr>
                <w:sz w:val="20"/>
                <w:szCs w:val="20"/>
                <w:color w:val="auto"/>
              </w:rPr>
            </w:pPr>
            <w:r>
              <w:rPr>
                <w:rFonts w:ascii="Arial" w:cs="Arial" w:eastAsia="Arial" w:hAnsi="Arial"/>
                <w:sz w:val="22"/>
                <w:szCs w:val="22"/>
                <w:color w:val="auto"/>
              </w:rPr>
              <w:t>653</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(598)</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(356)</w:t>
            </w:r>
          </w:p>
        </w:tc>
        <w:tc>
          <w:tcPr>
            <w:tcW w:w="860" w:type="dxa"/>
            <w:vAlign w:val="bottom"/>
          </w:tcPr>
          <w:p>
            <w:pPr>
              <w:jc w:val="right"/>
              <w:spacing w:after="0"/>
              <w:rPr>
                <w:sz w:val="20"/>
                <w:szCs w:val="20"/>
                <w:color w:val="auto"/>
              </w:rPr>
            </w:pPr>
            <w:r>
              <w:rPr>
                <w:rFonts w:ascii="Arial" w:cs="Arial" w:eastAsia="Arial" w:hAnsi="Arial"/>
                <w:sz w:val="22"/>
                <w:szCs w:val="22"/>
                <w:color w:val="auto"/>
              </w:rPr>
              <w:t>1,423</w:t>
            </w: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(4,483)</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(121)</w:t>
            </w:r>
          </w:p>
        </w:tc>
        <w:tc>
          <w:tcPr>
            <w:tcW w:w="0" w:type="dxa"/>
            <w:vAlign w:val="bottom"/>
          </w:tcPr>
          <w:p>
            <w:pPr>
              <w:spacing w:after="0"/>
              <w:rPr>
                <w:sz w:val="1"/>
                <w:szCs w:val="1"/>
                <w:color w:val="auto"/>
              </w:rPr>
            </w:pPr>
          </w:p>
        </w:tc>
      </w:tr>
      <w:tr>
        <w:trPr>
          <w:trHeight w:val="486"/>
        </w:trPr>
        <w:tc>
          <w:tcPr>
            <w:tcW w:w="3360" w:type="dxa"/>
            <w:vAlign w:val="bottom"/>
          </w:tcPr>
          <w:p>
            <w:pPr>
              <w:spacing w:after="0"/>
              <w:rPr>
                <w:sz w:val="20"/>
                <w:szCs w:val="20"/>
                <w:color w:val="auto"/>
              </w:rPr>
            </w:pPr>
            <w:r>
              <w:rPr>
                <w:rFonts w:ascii="Arial" w:cs="Arial" w:eastAsia="Arial" w:hAnsi="Arial"/>
                <w:sz w:val="22"/>
                <w:szCs w:val="22"/>
                <w:color w:val="auto"/>
              </w:rPr>
              <w:t>MINORITY INTEREST</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(97)</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(97)</w:t>
            </w:r>
          </w:p>
        </w:tc>
        <w:tc>
          <w:tcPr>
            <w:tcW w:w="0" w:type="dxa"/>
            <w:vAlign w:val="bottom"/>
          </w:tcPr>
          <w:p>
            <w:pPr>
              <w:spacing w:after="0"/>
              <w:rPr>
                <w:sz w:val="1"/>
                <w:szCs w:val="1"/>
                <w:color w:val="auto"/>
              </w:rPr>
            </w:pPr>
          </w:p>
        </w:tc>
      </w:tr>
      <w:tr>
        <w:trPr>
          <w:trHeight w:val="98"/>
        </w:trPr>
        <w:tc>
          <w:tcPr>
            <w:tcW w:w="3360" w:type="dxa"/>
            <w:vAlign w:val="bottom"/>
            <w:vMerge w:val="restart"/>
          </w:tcPr>
          <w:p>
            <w:pPr>
              <w:spacing w:after="0"/>
              <w:rPr>
                <w:sz w:val="20"/>
                <w:szCs w:val="20"/>
                <w:color w:val="auto"/>
              </w:rPr>
            </w:pPr>
            <w:r>
              <w:rPr>
                <w:rFonts w:ascii="Arial" w:cs="Arial" w:eastAsia="Arial" w:hAnsi="Arial"/>
                <w:sz w:val="22"/>
                <w:szCs w:val="22"/>
                <w:color w:val="auto"/>
              </w:rPr>
              <w:t>INCOME (LOSS) FROM</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CONTINUING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tcPr>
          <w:p>
            <w:pPr>
              <w:ind w:left="220"/>
              <w:spacing w:after="0"/>
              <w:rPr>
                <w:sz w:val="20"/>
                <w:szCs w:val="20"/>
                <w:color w:val="auto"/>
              </w:rPr>
            </w:pPr>
            <w:r>
              <w:rPr>
                <w:rFonts w:ascii="Arial" w:cs="Arial" w:eastAsia="Arial" w:hAnsi="Arial"/>
                <w:sz w:val="22"/>
                <w:szCs w:val="22"/>
                <w:color w:val="auto"/>
              </w:rPr>
              <w:t>OPERATIONS</w:t>
            </w:r>
          </w:p>
        </w:tc>
        <w:tc>
          <w:tcPr>
            <w:tcW w:w="700" w:type="dxa"/>
            <w:vAlign w:val="bottom"/>
          </w:tcPr>
          <w:p>
            <w:pPr>
              <w:jc w:val="right"/>
              <w:spacing w:after="0"/>
              <w:rPr>
                <w:sz w:val="20"/>
                <w:szCs w:val="20"/>
                <w:color w:val="auto"/>
              </w:rPr>
            </w:pPr>
            <w:r>
              <w:rPr>
                <w:rFonts w:ascii="Arial" w:cs="Arial" w:eastAsia="Arial" w:hAnsi="Arial"/>
                <w:sz w:val="22"/>
                <w:szCs w:val="22"/>
                <w:color w:val="auto"/>
              </w:rPr>
              <w:t>3,240</w:t>
            </w:r>
          </w:p>
        </w:tc>
        <w:tc>
          <w:tcPr>
            <w:tcW w:w="1060" w:type="dxa"/>
            <w:vAlign w:val="bottom"/>
            <w:gridSpan w:val="3"/>
          </w:tcPr>
          <w:p>
            <w:pPr>
              <w:jc w:val="right"/>
              <w:ind w:right="200"/>
              <w:spacing w:after="0"/>
              <w:rPr>
                <w:sz w:val="20"/>
                <w:szCs w:val="20"/>
                <w:color w:val="auto"/>
              </w:rPr>
            </w:pPr>
            <w:r>
              <w:rPr>
                <w:rFonts w:ascii="Arial" w:cs="Arial" w:eastAsia="Arial" w:hAnsi="Arial"/>
                <w:sz w:val="22"/>
                <w:szCs w:val="22"/>
                <w:color w:val="auto"/>
              </w:rPr>
              <w:t>653</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(598)</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(356)</w:t>
            </w:r>
          </w:p>
        </w:tc>
        <w:tc>
          <w:tcPr>
            <w:tcW w:w="860" w:type="dxa"/>
            <w:vAlign w:val="bottom"/>
          </w:tcPr>
          <w:p>
            <w:pPr>
              <w:jc w:val="right"/>
              <w:spacing w:after="0"/>
              <w:rPr>
                <w:sz w:val="20"/>
                <w:szCs w:val="20"/>
                <w:color w:val="auto"/>
              </w:rPr>
            </w:pPr>
            <w:r>
              <w:rPr>
                <w:rFonts w:ascii="Arial" w:cs="Arial" w:eastAsia="Arial" w:hAnsi="Arial"/>
                <w:sz w:val="22"/>
                <w:szCs w:val="22"/>
                <w:color w:val="auto"/>
              </w:rPr>
              <w:t>1,326</w:t>
            </w: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(4,483)</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(218)</w:t>
            </w:r>
          </w:p>
        </w:tc>
        <w:tc>
          <w:tcPr>
            <w:tcW w:w="0" w:type="dxa"/>
            <w:vAlign w:val="bottom"/>
          </w:tcPr>
          <w:p>
            <w:pPr>
              <w:spacing w:after="0"/>
              <w:rPr>
                <w:sz w:val="1"/>
                <w:szCs w:val="1"/>
                <w:color w:val="auto"/>
              </w:rPr>
            </w:pPr>
          </w:p>
        </w:tc>
      </w:tr>
      <w:tr>
        <w:trPr>
          <w:trHeight w:val="455"/>
        </w:trPr>
        <w:tc>
          <w:tcPr>
            <w:tcW w:w="3360" w:type="dxa"/>
            <w:vAlign w:val="bottom"/>
          </w:tcPr>
          <w:p>
            <w:pPr>
              <w:spacing w:after="0"/>
              <w:rPr>
                <w:sz w:val="20"/>
                <w:szCs w:val="20"/>
                <w:color w:val="auto"/>
              </w:rPr>
            </w:pPr>
            <w:r>
              <w:rPr>
                <w:rFonts w:ascii="Arial" w:cs="Arial" w:eastAsia="Arial" w:hAnsi="Arial"/>
                <w:sz w:val="22"/>
                <w:szCs w:val="22"/>
                <w:color w:val="auto"/>
              </w:rPr>
              <w:t>INCOME FROM</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DISCONTINUED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tcPr>
          <w:p>
            <w:pPr>
              <w:ind w:left="220"/>
              <w:spacing w:after="0"/>
              <w:rPr>
                <w:sz w:val="20"/>
                <w:szCs w:val="20"/>
                <w:color w:val="auto"/>
              </w:rPr>
            </w:pPr>
            <w:r>
              <w:rPr>
                <w:rFonts w:ascii="Arial" w:cs="Arial" w:eastAsia="Arial" w:hAnsi="Arial"/>
                <w:sz w:val="22"/>
                <w:szCs w:val="22"/>
                <w:color w:val="auto"/>
              </w:rPr>
              <w:t>OPERATIONS, net of tax</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168</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168</w:t>
            </w:r>
          </w:p>
        </w:tc>
        <w:tc>
          <w:tcPr>
            <w:tcW w:w="0" w:type="dxa"/>
            <w:vAlign w:val="bottom"/>
          </w:tcPr>
          <w:p>
            <w:pPr>
              <w:spacing w:after="0"/>
              <w:rPr>
                <w:sz w:val="1"/>
                <w:szCs w:val="1"/>
                <w:color w:val="auto"/>
              </w:rPr>
            </w:pPr>
          </w:p>
        </w:tc>
      </w:tr>
      <w:tr>
        <w:trPr>
          <w:trHeight w:val="455"/>
        </w:trPr>
        <w:tc>
          <w:tcPr>
            <w:tcW w:w="3360" w:type="dxa"/>
            <w:vAlign w:val="bottom"/>
          </w:tcPr>
          <w:p>
            <w:pPr>
              <w:spacing w:after="0"/>
              <w:rPr>
                <w:sz w:val="20"/>
                <w:szCs w:val="20"/>
                <w:color w:val="auto"/>
              </w:rPr>
            </w:pPr>
            <w:r>
              <w:rPr>
                <w:rFonts w:ascii="Arial" w:cs="Arial" w:eastAsia="Arial" w:hAnsi="Arial"/>
                <w:sz w:val="22"/>
                <w:szCs w:val="22"/>
                <w:color w:val="auto"/>
              </w:rPr>
              <w:t>GAIN ON DISCONTINUED</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OPERATIONS,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tcPr>
          <w:p>
            <w:pPr>
              <w:ind w:left="220"/>
              <w:spacing w:after="0"/>
              <w:rPr>
                <w:sz w:val="20"/>
                <w:szCs w:val="20"/>
                <w:color w:val="auto"/>
              </w:rPr>
            </w:pPr>
            <w:r>
              <w:rPr>
                <w:rFonts w:ascii="Arial" w:cs="Arial" w:eastAsia="Arial" w:hAnsi="Arial"/>
                <w:sz w:val="22"/>
                <w:szCs w:val="22"/>
                <w:color w:val="auto"/>
              </w:rPr>
              <w:t>net of tax</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3,290</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3,290</w:t>
            </w: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3360" w:type="dxa"/>
            <w:vAlign w:val="bottom"/>
          </w:tcPr>
          <w:p>
            <w:pPr>
              <w:spacing w:after="0"/>
              <w:rPr>
                <w:sz w:val="20"/>
                <w:szCs w:val="20"/>
                <w:color w:val="auto"/>
              </w:rPr>
            </w:pPr>
            <w:r>
              <w:rPr>
                <w:rFonts w:ascii="Arial" w:cs="Arial" w:eastAsia="Arial" w:hAnsi="Arial"/>
                <w:sz w:val="22"/>
                <w:szCs w:val="22"/>
                <w:color w:val="auto"/>
              </w:rPr>
              <w:t>NET INCOME (LOSS)</w:t>
            </w:r>
          </w:p>
        </w:tc>
        <w:tc>
          <w:tcPr>
            <w:tcW w:w="700" w:type="dxa"/>
            <w:vAlign w:val="bottom"/>
          </w:tcPr>
          <w:p>
            <w:pPr>
              <w:jc w:val="right"/>
              <w:spacing w:after="0"/>
              <w:rPr>
                <w:sz w:val="20"/>
                <w:szCs w:val="20"/>
                <w:color w:val="auto"/>
              </w:rPr>
            </w:pPr>
            <w:r>
              <w:rPr>
                <w:rFonts w:ascii="Arial" w:cs="Arial" w:eastAsia="Arial" w:hAnsi="Arial"/>
                <w:sz w:val="22"/>
                <w:szCs w:val="22"/>
                <w:color w:val="auto"/>
              </w:rPr>
              <w:t>$3,240</w:t>
            </w:r>
          </w:p>
        </w:tc>
        <w:tc>
          <w:tcPr>
            <w:tcW w:w="1060" w:type="dxa"/>
            <w:vAlign w:val="bottom"/>
            <w:gridSpan w:val="3"/>
          </w:tcPr>
          <w:p>
            <w:pPr>
              <w:jc w:val="right"/>
              <w:ind w:right="200"/>
              <w:spacing w:after="0"/>
              <w:rPr>
                <w:sz w:val="20"/>
                <w:szCs w:val="20"/>
                <w:color w:val="auto"/>
              </w:rPr>
            </w:pPr>
            <w:r>
              <w:rPr>
                <w:rFonts w:ascii="Arial" w:cs="Arial" w:eastAsia="Arial" w:hAnsi="Arial"/>
                <w:sz w:val="22"/>
                <w:szCs w:val="22"/>
                <w:color w:val="auto"/>
              </w:rPr>
              <w:t>$653</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($598)</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($356)</w:t>
            </w:r>
          </w:p>
        </w:tc>
        <w:tc>
          <w:tcPr>
            <w:tcW w:w="860" w:type="dxa"/>
            <w:vAlign w:val="bottom"/>
          </w:tcPr>
          <w:p>
            <w:pPr>
              <w:jc w:val="right"/>
              <w:spacing w:after="0"/>
              <w:rPr>
                <w:sz w:val="20"/>
                <w:szCs w:val="20"/>
                <w:color w:val="auto"/>
              </w:rPr>
            </w:pPr>
            <w:r>
              <w:rPr>
                <w:rFonts w:ascii="Arial" w:cs="Arial" w:eastAsia="Arial" w:hAnsi="Arial"/>
                <w:sz w:val="22"/>
                <w:szCs w:val="22"/>
                <w:color w:val="auto"/>
              </w:rPr>
              <w:t>$4,784</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($4,483)</w:t>
            </w: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$3,240</w:t>
            </w: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4"/>
        </w:trPr>
        <w:tc>
          <w:tcPr>
            <w:tcW w:w="3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22"/>
                <w:szCs w:val="22"/>
                <w:color w:val="auto"/>
              </w:rPr>
              <w:t>- 48 -</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-378460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-378460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-378460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-378460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-378460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-378460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-378460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-378460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-378460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-378460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-378460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-378460</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-378460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-378460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Comcast Corporation</w:t>
      </w:r>
    </w:p>
    <w:p>
      <w:pPr>
        <w:jc w:val="center"/>
        <w:ind w:right="-60"/>
        <w:spacing w:after="0" w:line="238" w:lineRule="auto"/>
        <w:rPr>
          <w:sz w:val="20"/>
          <w:szCs w:val="20"/>
          <w:color w:val="auto"/>
        </w:rPr>
      </w:pPr>
      <w:r>
        <w:rPr>
          <w:rFonts w:ascii="Arial" w:cs="Arial" w:eastAsia="Arial" w:hAnsi="Arial"/>
          <w:sz w:val="22"/>
          <w:szCs w:val="22"/>
          <w:color w:val="auto"/>
        </w:rPr>
        <w:t>Condensed Consolidating Statement of Operations</w:t>
      </w:r>
    </w:p>
    <w:p>
      <w:pPr>
        <w:jc w:val="center"/>
        <w:ind w:right="-60"/>
        <w:spacing w:after="0"/>
        <w:rPr>
          <w:sz w:val="20"/>
          <w:szCs w:val="20"/>
          <w:color w:val="auto"/>
        </w:rPr>
      </w:pPr>
      <w:r>
        <w:rPr>
          <w:rFonts w:ascii="Arial" w:cs="Arial" w:eastAsia="Arial" w:hAnsi="Arial"/>
          <w:sz w:val="22"/>
          <w:szCs w:val="22"/>
          <w:color w:val="auto"/>
        </w:rPr>
        <w:t>For the Year Ended December 31, 2002</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Elimination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Combined</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Non-</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Consolidated</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Comcast</w:t>
            </w:r>
          </w:p>
        </w:tc>
        <w:tc>
          <w:tcPr>
            <w:tcW w:w="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CCCL</w:t>
            </w:r>
          </w:p>
        </w:tc>
        <w:tc>
          <w:tcPr>
            <w:tcW w:w="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CCCH</w:t>
            </w:r>
          </w:p>
        </w:tc>
        <w:tc>
          <w:tcPr>
            <w:tcW w:w="6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CCHMO</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Guarantor</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Consolidation</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Comcast</w:t>
            </w:r>
          </w:p>
        </w:tc>
        <w:tc>
          <w:tcPr>
            <w:tcW w:w="0" w:type="dxa"/>
            <w:vAlign w:val="bottom"/>
          </w:tcPr>
          <w:p>
            <w:pPr>
              <w:spacing w:after="0"/>
              <w:rPr>
                <w:sz w:val="1"/>
                <w:szCs w:val="1"/>
                <w:color w:val="auto"/>
              </w:rPr>
            </w:pPr>
          </w:p>
        </w:tc>
      </w:tr>
      <w:tr>
        <w:trPr>
          <w:trHeight w:val="222"/>
        </w:trPr>
        <w:tc>
          <w:tcPr>
            <w:tcW w:w="336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Parent</w:t>
            </w:r>
          </w:p>
        </w:tc>
        <w:tc>
          <w:tcPr>
            <w:tcW w:w="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Parent</w:t>
            </w:r>
          </w:p>
        </w:tc>
        <w:tc>
          <w:tcPr>
            <w:tcW w:w="6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Parent</w:t>
            </w:r>
          </w:p>
        </w:tc>
        <w:tc>
          <w:tcPr>
            <w:tcW w:w="6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Parents</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Subsidiaries</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Adjustments</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Corporation</w:t>
            </w:r>
          </w:p>
        </w:tc>
        <w:tc>
          <w:tcPr>
            <w:tcW w:w="0" w:type="dxa"/>
            <w:vAlign w:val="bottom"/>
          </w:tcPr>
          <w:p>
            <w:pPr>
              <w:spacing w:after="0"/>
              <w:rPr>
                <w:sz w:val="1"/>
                <w:szCs w:val="1"/>
                <w:color w:val="auto"/>
              </w:rPr>
            </w:pPr>
          </w:p>
        </w:tc>
      </w:tr>
      <w:tr>
        <w:trPr>
          <w:trHeight w:val="110"/>
        </w:trPr>
        <w:tc>
          <w:tcPr>
            <w:tcW w:w="3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8"/>
        </w:trPr>
        <w:tc>
          <w:tcPr>
            <w:tcW w:w="3360" w:type="dxa"/>
            <w:vAlign w:val="bottom"/>
          </w:tcPr>
          <w:p>
            <w:pPr>
              <w:spacing w:after="0"/>
              <w:rPr>
                <w:sz w:val="20"/>
                <w:szCs w:val="20"/>
                <w:color w:val="auto"/>
              </w:rPr>
            </w:pPr>
            <w:r>
              <w:rPr>
                <w:rFonts w:ascii="Arial" w:cs="Arial" w:eastAsia="Arial" w:hAnsi="Arial"/>
                <w:sz w:val="22"/>
                <w:szCs w:val="22"/>
                <w:color w:val="auto"/>
              </w:rPr>
              <w:t>REVENUES</w:t>
            </w:r>
          </w:p>
        </w:tc>
        <w:tc>
          <w:tcPr>
            <w:tcW w:w="700" w:type="dxa"/>
            <w:vAlign w:val="bottom"/>
          </w:tcPr>
          <w:p>
            <w:pPr>
              <w:jc w:val="right"/>
              <w:ind w:right="498"/>
              <w:spacing w:after="0"/>
              <w:rPr>
                <w:sz w:val="20"/>
                <w:szCs w:val="20"/>
                <w:color w:val="auto"/>
              </w:rPr>
            </w:pPr>
            <w:r>
              <w:rPr>
                <w:rFonts w:ascii="Arial" w:cs="Arial" w:eastAsia="Arial" w:hAnsi="Arial"/>
                <w:sz w:val="19"/>
                <w:szCs w:val="19"/>
                <w:color w:val="auto"/>
                <w:w w:val="75"/>
              </w:rPr>
              <w:t>$</w:t>
            </w:r>
          </w:p>
        </w:tc>
        <w:tc>
          <w:tcPr>
            <w:tcW w:w="140" w:type="dxa"/>
            <w:vAlign w:val="bottom"/>
          </w:tcPr>
          <w:p>
            <w:pPr>
              <w:spacing w:after="0"/>
              <w:rPr>
                <w:sz w:val="24"/>
                <w:szCs w:val="24"/>
                <w:color w:val="auto"/>
              </w:rPr>
            </w:pPr>
          </w:p>
        </w:tc>
        <w:tc>
          <w:tcPr>
            <w:tcW w:w="720" w:type="dxa"/>
            <w:vAlign w:val="bottom"/>
            <w:gridSpan w:val="2"/>
          </w:tcPr>
          <w:p>
            <w:pPr>
              <w:jc w:val="right"/>
              <w:ind w:right="47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49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552"/>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$8,102</w:t>
            </w:r>
          </w:p>
        </w:tc>
        <w:tc>
          <w:tcPr>
            <w:tcW w:w="200" w:type="dxa"/>
            <w:vAlign w:val="bottom"/>
          </w:tcPr>
          <w:p>
            <w:pPr>
              <w:spacing w:after="0"/>
              <w:rPr>
                <w:sz w:val="24"/>
                <w:szCs w:val="24"/>
                <w:color w:val="auto"/>
              </w:rPr>
            </w:pPr>
          </w:p>
        </w:tc>
        <w:tc>
          <w:tcPr>
            <w:tcW w:w="980" w:type="dxa"/>
            <w:vAlign w:val="bottom"/>
          </w:tcPr>
          <w:p>
            <w:pPr>
              <w:jc w:val="right"/>
              <w:ind w:right="787"/>
              <w:spacing w:after="0"/>
              <w:rPr>
                <w:sz w:val="20"/>
                <w:szCs w:val="20"/>
                <w:color w:val="auto"/>
              </w:rPr>
            </w:pPr>
            <w:r>
              <w:rPr>
                <w:rFonts w:ascii="Arial" w:cs="Arial" w:eastAsia="Arial" w:hAnsi="Arial"/>
                <w:sz w:val="19"/>
                <w:szCs w:val="19"/>
                <w:color w:val="auto"/>
                <w:w w:val="75"/>
              </w:rPr>
              <w:t>$</w:t>
            </w:r>
          </w:p>
        </w:tc>
        <w:tc>
          <w:tcPr>
            <w:tcW w:w="2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$8,102</w:t>
            </w:r>
          </w:p>
        </w:tc>
        <w:tc>
          <w:tcPr>
            <w:tcW w:w="0" w:type="dxa"/>
            <w:vAlign w:val="bottom"/>
          </w:tcPr>
          <w:p>
            <w:pPr>
              <w:spacing w:after="0"/>
              <w:rPr>
                <w:sz w:val="1"/>
                <w:szCs w:val="1"/>
                <w:color w:val="auto"/>
              </w:rPr>
            </w:pPr>
          </w:p>
        </w:tc>
      </w:tr>
      <w:tr>
        <w:trPr>
          <w:trHeight w:val="98"/>
        </w:trPr>
        <w:tc>
          <w:tcPr>
            <w:tcW w:w="3360" w:type="dxa"/>
            <w:vAlign w:val="bottom"/>
            <w:vMerge w:val="restart"/>
          </w:tcPr>
          <w:p>
            <w:pPr>
              <w:spacing w:after="0"/>
              <w:rPr>
                <w:sz w:val="20"/>
                <w:szCs w:val="20"/>
                <w:color w:val="auto"/>
              </w:rPr>
            </w:pPr>
            <w:r>
              <w:rPr>
                <w:rFonts w:ascii="Arial" w:cs="Arial" w:eastAsia="Arial" w:hAnsi="Arial"/>
                <w:sz w:val="22"/>
                <w:szCs w:val="22"/>
                <w:color w:val="auto"/>
              </w:rPr>
              <w:t>COSTS AND EXPENSES</w:t>
            </w:r>
          </w:p>
        </w:tc>
        <w:tc>
          <w:tcPr>
            <w:tcW w:w="7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Operating (excluding</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depreciation)</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3,012</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3,012</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Selling, general and</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administrative</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37</w:t>
            </w: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2,193</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2,254</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Depreciation</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1,694</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1,694</w:t>
            </w:r>
          </w:p>
        </w:tc>
        <w:tc>
          <w:tcPr>
            <w:tcW w:w="0" w:type="dxa"/>
            <w:vAlign w:val="bottom"/>
          </w:tcPr>
          <w:p>
            <w:pPr>
              <w:spacing w:after="0"/>
              <w:rPr>
                <w:sz w:val="1"/>
                <w:szCs w:val="1"/>
                <w:color w:val="auto"/>
              </w:rPr>
            </w:pPr>
          </w:p>
        </w:tc>
      </w:tr>
      <w:tr>
        <w:trPr>
          <w:trHeight w:val="275"/>
        </w:trPr>
        <w:tc>
          <w:tcPr>
            <w:tcW w:w="3360" w:type="dxa"/>
            <w:vAlign w:val="bottom"/>
          </w:tcPr>
          <w:p>
            <w:pPr>
              <w:ind w:left="160"/>
              <w:spacing w:after="0"/>
              <w:rPr>
                <w:sz w:val="20"/>
                <w:szCs w:val="20"/>
                <w:color w:val="auto"/>
              </w:rPr>
            </w:pPr>
            <w:r>
              <w:rPr>
                <w:rFonts w:ascii="Arial" w:cs="Arial" w:eastAsia="Arial" w:hAnsi="Arial"/>
                <w:sz w:val="22"/>
                <w:szCs w:val="22"/>
                <w:color w:val="auto"/>
              </w:rPr>
              <w:t>Amortization</w:t>
            </w: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221</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221</w:t>
            </w: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24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37</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7,120</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7,181</w:t>
            </w: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3360" w:type="dxa"/>
            <w:vAlign w:val="bottom"/>
          </w:tcPr>
          <w:p>
            <w:pPr>
              <w:spacing w:after="0"/>
              <w:rPr>
                <w:sz w:val="20"/>
                <w:szCs w:val="20"/>
                <w:color w:val="auto"/>
              </w:rPr>
            </w:pPr>
            <w:r>
              <w:rPr>
                <w:rFonts w:ascii="Arial" w:cs="Arial" w:eastAsia="Arial" w:hAnsi="Arial"/>
                <w:sz w:val="22"/>
                <w:szCs w:val="22"/>
                <w:color w:val="auto"/>
              </w:rPr>
              <w:t>OPERATING INCOME (LOSS)</w:t>
            </w:r>
          </w:p>
        </w:tc>
        <w:tc>
          <w:tcPr>
            <w:tcW w:w="840" w:type="dxa"/>
            <w:vAlign w:val="bottom"/>
            <w:gridSpan w:val="2"/>
          </w:tcPr>
          <w:p>
            <w:pPr>
              <w:jc w:val="right"/>
              <w:ind w:right="60"/>
              <w:spacing w:after="0"/>
              <w:rPr>
                <w:sz w:val="20"/>
                <w:szCs w:val="20"/>
                <w:color w:val="auto"/>
              </w:rPr>
            </w:pPr>
            <w:r>
              <w:rPr>
                <w:rFonts w:ascii="Arial" w:cs="Arial" w:eastAsia="Arial" w:hAnsi="Arial"/>
                <w:sz w:val="22"/>
                <w:szCs w:val="22"/>
                <w:color w:val="auto"/>
              </w:rPr>
              <w:t>(24)</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22"/>
                <w:szCs w:val="22"/>
                <w:color w:val="auto"/>
              </w:rPr>
              <w:t>(37)</w:t>
            </w:r>
          </w:p>
        </w:tc>
        <w:tc>
          <w:tcPr>
            <w:tcW w:w="860" w:type="dxa"/>
            <w:vAlign w:val="bottom"/>
          </w:tcPr>
          <w:p>
            <w:pPr>
              <w:jc w:val="right"/>
              <w:spacing w:after="0"/>
              <w:rPr>
                <w:sz w:val="20"/>
                <w:szCs w:val="20"/>
                <w:color w:val="auto"/>
              </w:rPr>
            </w:pPr>
            <w:r>
              <w:rPr>
                <w:rFonts w:ascii="Arial" w:cs="Arial" w:eastAsia="Arial" w:hAnsi="Arial"/>
                <w:sz w:val="22"/>
                <w:szCs w:val="22"/>
                <w:color w:val="auto"/>
              </w:rPr>
              <w:t>982</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921</w:t>
            </w:r>
          </w:p>
        </w:tc>
        <w:tc>
          <w:tcPr>
            <w:tcW w:w="0" w:type="dxa"/>
            <w:vAlign w:val="bottom"/>
          </w:tcPr>
          <w:p>
            <w:pPr>
              <w:spacing w:after="0"/>
              <w:rPr>
                <w:sz w:val="1"/>
                <w:szCs w:val="1"/>
                <w:color w:val="auto"/>
              </w:rPr>
            </w:pPr>
          </w:p>
        </w:tc>
      </w:tr>
      <w:tr>
        <w:trPr>
          <w:trHeight w:val="455"/>
        </w:trPr>
        <w:tc>
          <w:tcPr>
            <w:tcW w:w="3360" w:type="dxa"/>
            <w:vAlign w:val="bottom"/>
          </w:tcPr>
          <w:p>
            <w:pPr>
              <w:spacing w:after="0"/>
              <w:rPr>
                <w:sz w:val="20"/>
                <w:szCs w:val="20"/>
                <w:color w:val="auto"/>
              </w:rPr>
            </w:pPr>
            <w:r>
              <w:rPr>
                <w:rFonts w:ascii="Arial" w:cs="Arial" w:eastAsia="Arial" w:hAnsi="Arial"/>
                <w:sz w:val="22"/>
                <w:szCs w:val="22"/>
                <w:color w:val="auto"/>
              </w:rPr>
              <w:t>OTHER INCOME (EXPENSE)</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Interest expense</w:t>
            </w:r>
          </w:p>
        </w:tc>
        <w:tc>
          <w:tcPr>
            <w:tcW w:w="8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w:t>
            </w:r>
          </w:p>
        </w:tc>
        <w:tc>
          <w:tcPr>
            <w:tcW w:w="860" w:type="dxa"/>
            <w:vAlign w:val="bottom"/>
            <w:gridSpan w:val="3"/>
          </w:tcPr>
          <w:p>
            <w:pPr>
              <w:jc w:val="right"/>
              <w:ind w:right="60"/>
              <w:spacing w:after="0" w:line="243" w:lineRule="exact"/>
              <w:rPr>
                <w:sz w:val="20"/>
                <w:szCs w:val="20"/>
                <w:color w:val="auto"/>
              </w:rPr>
            </w:pPr>
            <w:r>
              <w:rPr>
                <w:rFonts w:ascii="Arial" w:cs="Arial" w:eastAsia="Arial" w:hAnsi="Arial"/>
                <w:sz w:val="22"/>
                <w:szCs w:val="22"/>
                <w:color w:val="auto"/>
              </w:rPr>
              <w:t>(566)</w:t>
            </w:r>
          </w:p>
        </w:tc>
        <w:tc>
          <w:tcPr>
            <w:tcW w:w="880" w:type="dxa"/>
            <w:vAlign w:val="bottom"/>
            <w:gridSpan w:val="3"/>
          </w:tcPr>
          <w:p>
            <w:pPr>
              <w:jc w:val="right"/>
              <w:ind w:right="60"/>
              <w:spacing w:after="0" w:line="243" w:lineRule="exact"/>
              <w:rPr>
                <w:sz w:val="20"/>
                <w:szCs w:val="20"/>
                <w:color w:val="auto"/>
              </w:rPr>
            </w:pPr>
            <w:r>
              <w:rPr>
                <w:rFonts w:ascii="Arial" w:cs="Arial" w:eastAsia="Arial" w:hAnsi="Arial"/>
                <w:sz w:val="22"/>
                <w:szCs w:val="22"/>
                <w:color w:val="auto"/>
              </w:rPr>
              <w:t>(59)</w:t>
            </w:r>
          </w:p>
        </w:tc>
        <w:tc>
          <w:tcPr>
            <w:tcW w:w="98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(46)</w:t>
            </w: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(197)</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(870)</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Investment loss, net</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(543)</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(543)</w:t>
            </w: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Equity in net (losses) income of</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280"/>
              <w:spacing w:after="0" w:line="243" w:lineRule="exact"/>
              <w:rPr>
                <w:sz w:val="20"/>
                <w:szCs w:val="20"/>
                <w:color w:val="auto"/>
              </w:rPr>
            </w:pPr>
            <w:r>
              <w:rPr>
                <w:rFonts w:ascii="Arial" w:cs="Arial" w:eastAsia="Arial" w:hAnsi="Arial"/>
                <w:sz w:val="22"/>
                <w:szCs w:val="22"/>
                <w:color w:val="auto"/>
              </w:rPr>
              <w:t>affiliates</w:t>
            </w:r>
          </w:p>
        </w:tc>
        <w:tc>
          <w:tcPr>
            <w:tcW w:w="8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(124)</w:t>
            </w:r>
          </w:p>
        </w:tc>
        <w:tc>
          <w:tcPr>
            <w:tcW w:w="86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847</w:t>
            </w:r>
          </w:p>
        </w:tc>
        <w:tc>
          <w:tcPr>
            <w:tcW w:w="880" w:type="dxa"/>
            <w:vAlign w:val="bottom"/>
            <w:gridSpan w:val="3"/>
          </w:tcPr>
          <w:p>
            <w:pPr>
              <w:jc w:val="right"/>
              <w:ind w:right="60"/>
              <w:spacing w:after="0" w:line="243" w:lineRule="exact"/>
              <w:rPr>
                <w:sz w:val="20"/>
                <w:szCs w:val="20"/>
                <w:color w:val="auto"/>
              </w:rPr>
            </w:pPr>
            <w:r>
              <w:rPr>
                <w:rFonts w:ascii="Arial" w:cs="Arial" w:eastAsia="Arial" w:hAnsi="Arial"/>
                <w:sz w:val="22"/>
                <w:szCs w:val="22"/>
                <w:color w:val="auto"/>
              </w:rPr>
              <w:t>(176)</w:t>
            </w:r>
          </w:p>
        </w:tc>
        <w:tc>
          <w:tcPr>
            <w:tcW w:w="98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(125)</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439</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(924)</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(63)</w:t>
            </w:r>
          </w:p>
        </w:tc>
        <w:tc>
          <w:tcPr>
            <w:tcW w:w="0" w:type="dxa"/>
            <w:vAlign w:val="bottom"/>
          </w:tcPr>
          <w:p>
            <w:pPr>
              <w:spacing w:after="0"/>
              <w:rPr>
                <w:sz w:val="1"/>
                <w:szCs w:val="1"/>
                <w:color w:val="auto"/>
              </w:rPr>
            </w:pPr>
          </w:p>
        </w:tc>
      </w:tr>
      <w:tr>
        <w:trPr>
          <w:trHeight w:val="275"/>
        </w:trPr>
        <w:tc>
          <w:tcPr>
            <w:tcW w:w="3360" w:type="dxa"/>
            <w:vAlign w:val="bottom"/>
          </w:tcPr>
          <w:p>
            <w:pPr>
              <w:ind w:left="180"/>
              <w:spacing w:after="0"/>
              <w:rPr>
                <w:sz w:val="20"/>
                <w:szCs w:val="20"/>
                <w:color w:val="auto"/>
              </w:rPr>
            </w:pPr>
            <w:r>
              <w:rPr>
                <w:rFonts w:ascii="Arial" w:cs="Arial" w:eastAsia="Arial" w:hAnsi="Arial"/>
                <w:sz w:val="22"/>
                <w:szCs w:val="22"/>
                <w:color w:val="auto"/>
              </w:rPr>
              <w:t>Other income</w:t>
            </w: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10219"/>
          </w:cols>
          <w:pgMar w:left="240" w:top="108" w:right="1440" w:bottom="0" w:gutter="0" w:footer="0" w:header="0"/>
        </w:sectPr>
      </w:pPr>
    </w:p>
    <w:bookmarkStart w:id="101" w:name="page102"/>
    <w:bookmarkEnd w:id="101"/>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36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22"/>
                <w:szCs w:val="22"/>
                <w:color w:val="auto"/>
              </w:rPr>
              <w:t>(126)</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281</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(235)</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(171)</w:t>
            </w:r>
          </w:p>
        </w:tc>
        <w:tc>
          <w:tcPr>
            <w:tcW w:w="1060" w:type="dxa"/>
            <w:vAlign w:val="bottom"/>
            <w:gridSpan w:val="2"/>
          </w:tcPr>
          <w:p>
            <w:pPr>
              <w:jc w:val="center"/>
              <w:ind w:left="252"/>
              <w:spacing w:after="0"/>
              <w:rPr>
                <w:sz w:val="20"/>
                <w:szCs w:val="20"/>
                <w:color w:val="auto"/>
              </w:rPr>
            </w:pPr>
            <w:r>
              <w:rPr>
                <w:rFonts w:ascii="Arial" w:cs="Arial" w:eastAsia="Arial" w:hAnsi="Arial"/>
                <w:sz w:val="22"/>
                <w:szCs w:val="22"/>
                <w:color w:val="auto"/>
                <w:w w:val="89"/>
              </w:rPr>
              <w:t>(300)</w:t>
            </w: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(924)</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(1,475)</w:t>
            </w:r>
          </w:p>
        </w:tc>
        <w:tc>
          <w:tcPr>
            <w:tcW w:w="0" w:type="dxa"/>
            <w:vAlign w:val="bottom"/>
          </w:tcPr>
          <w:p>
            <w:pPr>
              <w:spacing w:after="0"/>
              <w:rPr>
                <w:sz w:val="1"/>
                <w:szCs w:val="1"/>
                <w:color w:val="auto"/>
              </w:rPr>
            </w:pPr>
          </w:p>
        </w:tc>
      </w:tr>
      <w:tr>
        <w:trPr>
          <w:trHeight w:val="98"/>
        </w:trPr>
        <w:tc>
          <w:tcPr>
            <w:tcW w:w="3360" w:type="dxa"/>
            <w:vAlign w:val="bottom"/>
            <w:vMerge w:val="restart"/>
          </w:tcPr>
          <w:p>
            <w:pPr>
              <w:spacing w:after="0"/>
              <w:rPr>
                <w:sz w:val="20"/>
                <w:szCs w:val="20"/>
                <w:color w:val="auto"/>
              </w:rPr>
            </w:pPr>
            <w:r>
              <w:rPr>
                <w:rFonts w:ascii="Arial" w:cs="Arial" w:eastAsia="Arial" w:hAnsi="Arial"/>
                <w:sz w:val="22"/>
                <w:szCs w:val="22"/>
                <w:color w:val="auto"/>
              </w:rPr>
              <w:t>INCOME (LOSS) FROM</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CONTINUING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20"/>
              <w:spacing w:after="0" w:line="243" w:lineRule="exact"/>
              <w:rPr>
                <w:sz w:val="20"/>
                <w:szCs w:val="20"/>
                <w:color w:val="auto"/>
              </w:rPr>
            </w:pPr>
            <w:r>
              <w:rPr>
                <w:rFonts w:ascii="Arial" w:cs="Arial" w:eastAsia="Arial" w:hAnsi="Arial"/>
                <w:sz w:val="22"/>
                <w:szCs w:val="22"/>
                <w:color w:val="auto"/>
              </w:rPr>
              <w:t>OPERATIONS BEFORE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INCOME TAXES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tcPr>
          <w:p>
            <w:pPr>
              <w:ind w:left="100"/>
              <w:spacing w:after="0"/>
              <w:rPr>
                <w:sz w:val="20"/>
                <w:szCs w:val="20"/>
                <w:color w:val="auto"/>
              </w:rPr>
            </w:pPr>
            <w:r>
              <w:rPr>
                <w:rFonts w:ascii="Arial" w:cs="Arial" w:eastAsia="Arial" w:hAnsi="Arial"/>
                <w:sz w:val="22"/>
                <w:szCs w:val="22"/>
                <w:color w:val="auto"/>
              </w:rPr>
              <w:t>AND MINORITY INTEREST</w:t>
            </w:r>
          </w:p>
        </w:tc>
        <w:tc>
          <w:tcPr>
            <w:tcW w:w="880" w:type="dxa"/>
            <w:vAlign w:val="bottom"/>
            <w:gridSpan w:val="2"/>
          </w:tcPr>
          <w:p>
            <w:pPr>
              <w:jc w:val="right"/>
              <w:ind w:right="100"/>
              <w:spacing w:after="0"/>
              <w:rPr>
                <w:sz w:val="20"/>
                <w:szCs w:val="20"/>
                <w:color w:val="auto"/>
              </w:rPr>
            </w:pPr>
            <w:r>
              <w:rPr>
                <w:rFonts w:ascii="Arial" w:cs="Arial" w:eastAsia="Arial" w:hAnsi="Arial"/>
                <w:sz w:val="22"/>
                <w:szCs w:val="22"/>
                <w:color w:val="auto"/>
              </w:rPr>
              <w:t>(150)</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281</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(235)</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(208)</w:t>
            </w:r>
          </w:p>
        </w:tc>
        <w:tc>
          <w:tcPr>
            <w:tcW w:w="860" w:type="dxa"/>
            <w:vAlign w:val="bottom"/>
          </w:tcPr>
          <w:p>
            <w:pPr>
              <w:jc w:val="center"/>
              <w:ind w:left="432"/>
              <w:spacing w:after="0"/>
              <w:rPr>
                <w:sz w:val="20"/>
                <w:szCs w:val="20"/>
                <w:color w:val="auto"/>
              </w:rPr>
            </w:pPr>
            <w:r>
              <w:rPr>
                <w:rFonts w:ascii="Arial" w:cs="Arial" w:eastAsia="Arial" w:hAnsi="Arial"/>
                <w:sz w:val="22"/>
                <w:szCs w:val="22"/>
                <w:color w:val="auto"/>
                <w:w w:val="87"/>
              </w:rPr>
              <w:t>682</w:t>
            </w: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(924)</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(554)</w:t>
            </w:r>
          </w:p>
        </w:tc>
        <w:tc>
          <w:tcPr>
            <w:tcW w:w="0" w:type="dxa"/>
            <w:vAlign w:val="bottom"/>
          </w:tcPr>
          <w:p>
            <w:pPr>
              <w:spacing w:after="0"/>
              <w:rPr>
                <w:sz w:val="1"/>
                <w:szCs w:val="1"/>
                <w:color w:val="auto"/>
              </w:rPr>
            </w:pPr>
          </w:p>
        </w:tc>
      </w:tr>
      <w:tr>
        <w:trPr>
          <w:trHeight w:val="455"/>
        </w:trPr>
        <w:tc>
          <w:tcPr>
            <w:tcW w:w="3360" w:type="dxa"/>
            <w:vAlign w:val="bottom"/>
          </w:tcPr>
          <w:p>
            <w:pPr>
              <w:spacing w:after="0"/>
              <w:rPr>
                <w:sz w:val="20"/>
                <w:szCs w:val="20"/>
                <w:color w:val="auto"/>
              </w:rPr>
            </w:pPr>
            <w:r>
              <w:rPr>
                <w:rFonts w:ascii="Arial" w:cs="Arial" w:eastAsia="Arial" w:hAnsi="Arial"/>
                <w:sz w:val="22"/>
                <w:szCs w:val="22"/>
                <w:color w:val="auto"/>
              </w:rPr>
              <w:t>INCOME TAX BENEFIT</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360" w:type="dxa"/>
            <w:vAlign w:val="bottom"/>
          </w:tcPr>
          <w:p>
            <w:pPr>
              <w:spacing w:after="0"/>
              <w:rPr>
                <w:sz w:val="20"/>
                <w:szCs w:val="20"/>
                <w:color w:val="auto"/>
              </w:rPr>
            </w:pPr>
            <w:r>
              <w:rPr>
                <w:rFonts w:ascii="Arial" w:cs="Arial" w:eastAsia="Arial" w:hAnsi="Arial"/>
                <w:sz w:val="22"/>
                <w:szCs w:val="22"/>
                <w:color w:val="auto"/>
              </w:rPr>
              <w:t>(EXPENSE)</w:t>
            </w:r>
          </w:p>
        </w:tc>
        <w:tc>
          <w:tcPr>
            <w:tcW w:w="700" w:type="dxa"/>
            <w:vAlign w:val="bottom"/>
          </w:tcPr>
          <w:p>
            <w:pPr>
              <w:jc w:val="right"/>
              <w:spacing w:after="0"/>
              <w:rPr>
                <w:sz w:val="20"/>
                <w:szCs w:val="20"/>
                <w:color w:val="auto"/>
              </w:rPr>
            </w:pPr>
            <w:r>
              <w:rPr>
                <w:rFonts w:ascii="Arial" w:cs="Arial" w:eastAsia="Arial" w:hAnsi="Arial"/>
                <w:sz w:val="22"/>
                <w:szCs w:val="22"/>
                <w:color w:val="auto"/>
              </w:rPr>
              <w:t>10</w:t>
            </w:r>
          </w:p>
        </w:tc>
        <w:tc>
          <w:tcPr>
            <w:tcW w:w="1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221</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23</w:t>
            </w:r>
          </w:p>
        </w:tc>
        <w:tc>
          <w:tcPr>
            <w:tcW w:w="740" w:type="dxa"/>
            <w:vAlign w:val="bottom"/>
          </w:tcPr>
          <w:p>
            <w:pPr>
              <w:jc w:val="right"/>
              <w:spacing w:after="0"/>
              <w:rPr>
                <w:sz w:val="20"/>
                <w:szCs w:val="20"/>
                <w:color w:val="auto"/>
              </w:rPr>
            </w:pPr>
            <w:r>
              <w:rPr>
                <w:rFonts w:ascii="Arial" w:cs="Arial" w:eastAsia="Arial" w:hAnsi="Arial"/>
                <w:sz w:val="22"/>
                <w:szCs w:val="22"/>
                <w:color w:val="auto"/>
              </w:rPr>
              <w:t>32</w:t>
            </w:r>
          </w:p>
        </w:tc>
        <w:tc>
          <w:tcPr>
            <w:tcW w:w="180" w:type="dxa"/>
            <w:vAlign w:val="bottom"/>
          </w:tcPr>
          <w:p>
            <w:pPr>
              <w:spacing w:after="0"/>
              <w:rPr>
                <w:sz w:val="23"/>
                <w:szCs w:val="23"/>
                <w:color w:val="auto"/>
              </w:rPr>
            </w:pPr>
          </w:p>
        </w:tc>
        <w:tc>
          <w:tcPr>
            <w:tcW w:w="1060" w:type="dxa"/>
            <w:vAlign w:val="bottom"/>
            <w:gridSpan w:val="2"/>
          </w:tcPr>
          <w:p>
            <w:pPr>
              <w:jc w:val="center"/>
              <w:ind w:left="252"/>
              <w:spacing w:after="0"/>
              <w:rPr>
                <w:sz w:val="20"/>
                <w:szCs w:val="20"/>
                <w:color w:val="auto"/>
              </w:rPr>
            </w:pPr>
            <w:r>
              <w:rPr>
                <w:rFonts w:ascii="Arial" w:cs="Arial" w:eastAsia="Arial" w:hAnsi="Arial"/>
                <w:sz w:val="22"/>
                <w:szCs w:val="22"/>
                <w:color w:val="auto"/>
                <w:w w:val="89"/>
              </w:rPr>
              <w:t>(158)</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128</w:t>
            </w:r>
          </w:p>
        </w:tc>
        <w:tc>
          <w:tcPr>
            <w:tcW w:w="0" w:type="dxa"/>
            <w:vAlign w:val="bottom"/>
          </w:tcPr>
          <w:p>
            <w:pPr>
              <w:spacing w:after="0"/>
              <w:rPr>
                <w:sz w:val="1"/>
                <w:szCs w:val="1"/>
                <w:color w:val="auto"/>
              </w:rPr>
            </w:pPr>
          </w:p>
        </w:tc>
      </w:tr>
      <w:tr>
        <w:trPr>
          <w:trHeight w:val="98"/>
        </w:trPr>
        <w:tc>
          <w:tcPr>
            <w:tcW w:w="3360" w:type="dxa"/>
            <w:vAlign w:val="bottom"/>
            <w:vMerge w:val="restart"/>
          </w:tcPr>
          <w:p>
            <w:pPr>
              <w:spacing w:after="0"/>
              <w:rPr>
                <w:sz w:val="20"/>
                <w:szCs w:val="20"/>
                <w:color w:val="auto"/>
              </w:rPr>
            </w:pPr>
            <w:r>
              <w:rPr>
                <w:rFonts w:ascii="Arial" w:cs="Arial" w:eastAsia="Arial" w:hAnsi="Arial"/>
                <w:sz w:val="22"/>
                <w:szCs w:val="22"/>
                <w:color w:val="auto"/>
              </w:rPr>
              <w:t>INCOME (LOSS) FROM</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CONTINUING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line="243" w:lineRule="exact"/>
              <w:rPr>
                <w:sz w:val="20"/>
                <w:szCs w:val="20"/>
                <w:color w:val="auto"/>
              </w:rPr>
            </w:pPr>
            <w:r>
              <w:rPr>
                <w:rFonts w:ascii="Arial" w:cs="Arial" w:eastAsia="Arial" w:hAnsi="Arial"/>
                <w:sz w:val="22"/>
                <w:szCs w:val="22"/>
                <w:color w:val="auto"/>
              </w:rPr>
              <w:t>OPERATIONS BEFORE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MINORITY</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tcPr>
          <w:p>
            <w:pPr>
              <w:ind w:left="180"/>
              <w:spacing w:after="0"/>
              <w:rPr>
                <w:sz w:val="20"/>
                <w:szCs w:val="20"/>
                <w:color w:val="auto"/>
              </w:rPr>
            </w:pPr>
            <w:r>
              <w:rPr>
                <w:rFonts w:ascii="Arial" w:cs="Arial" w:eastAsia="Arial" w:hAnsi="Arial"/>
                <w:sz w:val="22"/>
                <w:szCs w:val="22"/>
                <w:color w:val="auto"/>
              </w:rPr>
              <w:t>INTEREST</w:t>
            </w:r>
          </w:p>
        </w:tc>
        <w:tc>
          <w:tcPr>
            <w:tcW w:w="880" w:type="dxa"/>
            <w:vAlign w:val="bottom"/>
            <w:gridSpan w:val="2"/>
          </w:tcPr>
          <w:p>
            <w:pPr>
              <w:jc w:val="right"/>
              <w:ind w:right="100"/>
              <w:spacing w:after="0"/>
              <w:rPr>
                <w:sz w:val="20"/>
                <w:szCs w:val="20"/>
                <w:color w:val="auto"/>
              </w:rPr>
            </w:pPr>
            <w:r>
              <w:rPr>
                <w:rFonts w:ascii="Arial" w:cs="Arial" w:eastAsia="Arial" w:hAnsi="Arial"/>
                <w:sz w:val="22"/>
                <w:szCs w:val="22"/>
                <w:color w:val="auto"/>
              </w:rPr>
              <w:t>(140)</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502</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(212)</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(176)</w:t>
            </w:r>
          </w:p>
        </w:tc>
        <w:tc>
          <w:tcPr>
            <w:tcW w:w="860" w:type="dxa"/>
            <w:vAlign w:val="bottom"/>
          </w:tcPr>
          <w:p>
            <w:pPr>
              <w:jc w:val="center"/>
              <w:ind w:left="432"/>
              <w:spacing w:after="0"/>
              <w:rPr>
                <w:sz w:val="20"/>
                <w:szCs w:val="20"/>
                <w:color w:val="auto"/>
              </w:rPr>
            </w:pPr>
            <w:r>
              <w:rPr>
                <w:rFonts w:ascii="Arial" w:cs="Arial" w:eastAsia="Arial" w:hAnsi="Arial"/>
                <w:sz w:val="22"/>
                <w:szCs w:val="22"/>
                <w:color w:val="auto"/>
                <w:w w:val="87"/>
              </w:rPr>
              <w:t>524</w:t>
            </w: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(924)</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(426)</w:t>
            </w:r>
          </w:p>
        </w:tc>
        <w:tc>
          <w:tcPr>
            <w:tcW w:w="0" w:type="dxa"/>
            <w:vAlign w:val="bottom"/>
          </w:tcPr>
          <w:p>
            <w:pPr>
              <w:spacing w:after="0"/>
              <w:rPr>
                <w:sz w:val="1"/>
                <w:szCs w:val="1"/>
                <w:color w:val="auto"/>
              </w:rPr>
            </w:pPr>
          </w:p>
        </w:tc>
      </w:tr>
      <w:tr>
        <w:trPr>
          <w:trHeight w:val="486"/>
        </w:trPr>
        <w:tc>
          <w:tcPr>
            <w:tcW w:w="3360" w:type="dxa"/>
            <w:vAlign w:val="bottom"/>
          </w:tcPr>
          <w:p>
            <w:pPr>
              <w:spacing w:after="0"/>
              <w:rPr>
                <w:sz w:val="20"/>
                <w:szCs w:val="20"/>
                <w:color w:val="auto"/>
              </w:rPr>
            </w:pPr>
            <w:r>
              <w:rPr>
                <w:rFonts w:ascii="Arial" w:cs="Arial" w:eastAsia="Arial" w:hAnsi="Arial"/>
                <w:sz w:val="22"/>
                <w:szCs w:val="22"/>
                <w:color w:val="auto"/>
              </w:rPr>
              <w:t>MINORITY INTEREST</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(43)</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98"/>
        </w:trPr>
        <w:tc>
          <w:tcPr>
            <w:tcW w:w="3360" w:type="dxa"/>
            <w:vAlign w:val="bottom"/>
            <w:vMerge w:val="restart"/>
          </w:tcPr>
          <w:p>
            <w:pPr>
              <w:spacing w:after="0"/>
              <w:rPr>
                <w:sz w:val="20"/>
                <w:szCs w:val="20"/>
                <w:color w:val="auto"/>
              </w:rPr>
            </w:pPr>
            <w:r>
              <w:rPr>
                <w:rFonts w:ascii="Arial" w:cs="Arial" w:eastAsia="Arial" w:hAnsi="Arial"/>
                <w:sz w:val="22"/>
                <w:szCs w:val="22"/>
                <w:color w:val="auto"/>
              </w:rPr>
              <w:t>INCOME (LOSS) FROM</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CONTINUING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tcPr>
          <w:p>
            <w:pPr>
              <w:ind w:left="120"/>
              <w:spacing w:after="0"/>
              <w:rPr>
                <w:sz w:val="20"/>
                <w:szCs w:val="20"/>
                <w:color w:val="auto"/>
              </w:rPr>
            </w:pPr>
            <w:r>
              <w:rPr>
                <w:rFonts w:ascii="Arial" w:cs="Arial" w:eastAsia="Arial" w:hAnsi="Arial"/>
                <w:sz w:val="22"/>
                <w:szCs w:val="22"/>
                <w:color w:val="auto"/>
              </w:rPr>
              <w:t>OPERATIONS</w:t>
            </w:r>
          </w:p>
        </w:tc>
        <w:tc>
          <w:tcPr>
            <w:tcW w:w="880" w:type="dxa"/>
            <w:vAlign w:val="bottom"/>
            <w:gridSpan w:val="2"/>
          </w:tcPr>
          <w:p>
            <w:pPr>
              <w:jc w:val="right"/>
              <w:ind w:right="100"/>
              <w:spacing w:after="0"/>
              <w:rPr>
                <w:sz w:val="20"/>
                <w:szCs w:val="20"/>
                <w:color w:val="auto"/>
              </w:rPr>
            </w:pPr>
            <w:r>
              <w:rPr>
                <w:rFonts w:ascii="Arial" w:cs="Arial" w:eastAsia="Arial" w:hAnsi="Arial"/>
                <w:sz w:val="22"/>
                <w:szCs w:val="22"/>
                <w:color w:val="auto"/>
              </w:rPr>
              <w:t>(140)</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502</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(212)</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(176)</w:t>
            </w:r>
          </w:p>
        </w:tc>
        <w:tc>
          <w:tcPr>
            <w:tcW w:w="860" w:type="dxa"/>
            <w:vAlign w:val="bottom"/>
          </w:tcPr>
          <w:p>
            <w:pPr>
              <w:jc w:val="center"/>
              <w:ind w:left="432"/>
              <w:spacing w:after="0"/>
              <w:rPr>
                <w:sz w:val="20"/>
                <w:szCs w:val="20"/>
                <w:color w:val="auto"/>
              </w:rPr>
            </w:pPr>
            <w:r>
              <w:rPr>
                <w:rFonts w:ascii="Arial" w:cs="Arial" w:eastAsia="Arial" w:hAnsi="Arial"/>
                <w:sz w:val="22"/>
                <w:szCs w:val="22"/>
                <w:color w:val="auto"/>
                <w:w w:val="87"/>
              </w:rPr>
              <w:t>481</w:t>
            </w: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(924)</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(469)</w:t>
            </w:r>
          </w:p>
        </w:tc>
        <w:tc>
          <w:tcPr>
            <w:tcW w:w="0" w:type="dxa"/>
            <w:vAlign w:val="bottom"/>
          </w:tcPr>
          <w:p>
            <w:pPr>
              <w:spacing w:after="0"/>
              <w:rPr>
                <w:sz w:val="1"/>
                <w:szCs w:val="1"/>
                <w:color w:val="auto"/>
              </w:rPr>
            </w:pPr>
          </w:p>
        </w:tc>
      </w:tr>
      <w:tr>
        <w:trPr>
          <w:trHeight w:val="455"/>
        </w:trPr>
        <w:tc>
          <w:tcPr>
            <w:tcW w:w="3360" w:type="dxa"/>
            <w:vAlign w:val="bottom"/>
          </w:tcPr>
          <w:p>
            <w:pPr>
              <w:spacing w:after="0"/>
              <w:rPr>
                <w:sz w:val="20"/>
                <w:szCs w:val="20"/>
                <w:color w:val="auto"/>
              </w:rPr>
            </w:pPr>
            <w:r>
              <w:rPr>
                <w:rFonts w:ascii="Arial" w:cs="Arial" w:eastAsia="Arial" w:hAnsi="Arial"/>
                <w:sz w:val="22"/>
                <w:szCs w:val="22"/>
                <w:color w:val="auto"/>
              </w:rPr>
              <w:t>INCOME FROM</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DISCONTINUED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60" w:type="dxa"/>
            <w:vAlign w:val="bottom"/>
          </w:tcPr>
          <w:p>
            <w:pPr>
              <w:ind w:left="120"/>
              <w:spacing w:after="0"/>
              <w:rPr>
                <w:sz w:val="20"/>
                <w:szCs w:val="20"/>
                <w:color w:val="auto"/>
              </w:rPr>
            </w:pPr>
            <w:r>
              <w:rPr>
                <w:rFonts w:ascii="Arial" w:cs="Arial" w:eastAsia="Arial" w:hAnsi="Arial"/>
                <w:sz w:val="22"/>
                <w:szCs w:val="22"/>
                <w:color w:val="auto"/>
              </w:rPr>
              <w:t>OPERATIONS</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center"/>
              <w:ind w:left="432"/>
              <w:spacing w:after="0"/>
              <w:rPr>
                <w:sz w:val="20"/>
                <w:szCs w:val="20"/>
                <w:color w:val="auto"/>
              </w:rPr>
            </w:pPr>
            <w:r>
              <w:rPr>
                <w:rFonts w:ascii="Arial" w:cs="Arial" w:eastAsia="Arial" w:hAnsi="Arial"/>
                <w:sz w:val="22"/>
                <w:szCs w:val="22"/>
                <w:color w:val="auto"/>
                <w:w w:val="87"/>
              </w:rPr>
              <w:t>195</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195</w:t>
            </w: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3360" w:type="dxa"/>
            <w:vAlign w:val="bottom"/>
          </w:tcPr>
          <w:p>
            <w:pPr>
              <w:spacing w:after="0"/>
              <w:rPr>
                <w:sz w:val="20"/>
                <w:szCs w:val="20"/>
                <w:color w:val="auto"/>
              </w:rPr>
            </w:pPr>
            <w:r>
              <w:rPr>
                <w:rFonts w:ascii="Arial" w:cs="Arial" w:eastAsia="Arial" w:hAnsi="Arial"/>
                <w:sz w:val="22"/>
                <w:szCs w:val="22"/>
                <w:color w:val="auto"/>
              </w:rPr>
              <w:t>NET INCOME (LOSS)</w:t>
            </w:r>
          </w:p>
        </w:tc>
        <w:tc>
          <w:tcPr>
            <w:tcW w:w="880" w:type="dxa"/>
            <w:vAlign w:val="bottom"/>
            <w:gridSpan w:val="2"/>
          </w:tcPr>
          <w:p>
            <w:pPr>
              <w:jc w:val="right"/>
              <w:ind w:right="100"/>
              <w:spacing w:after="0"/>
              <w:rPr>
                <w:sz w:val="20"/>
                <w:szCs w:val="20"/>
                <w:color w:val="auto"/>
              </w:rPr>
            </w:pPr>
            <w:r>
              <w:rPr>
                <w:rFonts w:ascii="Arial" w:cs="Arial" w:eastAsia="Arial" w:hAnsi="Arial"/>
                <w:sz w:val="22"/>
                <w:szCs w:val="22"/>
                <w:color w:val="auto"/>
              </w:rPr>
              <w:t>($140)</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$502</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($212)</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($176)</w:t>
            </w:r>
          </w:p>
        </w:tc>
        <w:tc>
          <w:tcPr>
            <w:tcW w:w="860" w:type="dxa"/>
            <w:vAlign w:val="bottom"/>
          </w:tcPr>
          <w:p>
            <w:pPr>
              <w:jc w:val="right"/>
              <w:spacing w:after="0"/>
              <w:rPr>
                <w:sz w:val="20"/>
                <w:szCs w:val="20"/>
                <w:color w:val="auto"/>
              </w:rPr>
            </w:pPr>
            <w:r>
              <w:rPr>
                <w:rFonts w:ascii="Arial" w:cs="Arial" w:eastAsia="Arial" w:hAnsi="Arial"/>
                <w:sz w:val="22"/>
                <w:szCs w:val="22"/>
                <w:color w:val="auto"/>
              </w:rPr>
              <w:t>$676</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($924)</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($274)</w:t>
            </w: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4"/>
        </w:trPr>
        <w:tc>
          <w:tcPr>
            <w:tcW w:w="3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22"/>
                <w:szCs w:val="22"/>
                <w:color w:val="auto"/>
              </w:rPr>
              <w:t>- 49 -</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-378460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-378460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-378460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-378460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-378460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-378460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-378460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-378460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-378460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-378460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-378460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-378460</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-378460</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-378460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Comcast Corporation</w:t>
      </w:r>
    </w:p>
    <w:p>
      <w:pPr>
        <w:jc w:val="center"/>
        <w:ind w:right="-60"/>
        <w:spacing w:after="0" w:line="238" w:lineRule="auto"/>
        <w:rPr>
          <w:sz w:val="20"/>
          <w:szCs w:val="20"/>
          <w:color w:val="auto"/>
        </w:rPr>
      </w:pPr>
      <w:r>
        <w:rPr>
          <w:rFonts w:ascii="Arial" w:cs="Arial" w:eastAsia="Arial" w:hAnsi="Arial"/>
          <w:sz w:val="22"/>
          <w:szCs w:val="22"/>
          <w:color w:val="auto"/>
        </w:rPr>
        <w:t>Condensed Consolidating Statement of Operations</w:t>
      </w:r>
    </w:p>
    <w:p>
      <w:pPr>
        <w:jc w:val="center"/>
        <w:ind w:right="-60"/>
        <w:spacing w:after="0"/>
        <w:rPr>
          <w:sz w:val="20"/>
          <w:szCs w:val="20"/>
          <w:color w:val="auto"/>
        </w:rPr>
      </w:pPr>
      <w:r>
        <w:rPr>
          <w:rFonts w:ascii="Arial" w:cs="Arial" w:eastAsia="Arial" w:hAnsi="Arial"/>
          <w:sz w:val="22"/>
          <w:szCs w:val="22"/>
          <w:color w:val="auto"/>
        </w:rPr>
        <w:t>For the Year Ended December 31, 2001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Elimination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Combined</w:t>
            </w:r>
          </w:p>
        </w:tc>
        <w:tc>
          <w:tcPr>
            <w:tcW w:w="18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Non-</w:t>
            </w: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20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Consolidated</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Comcast</w:t>
            </w:r>
          </w:p>
        </w:tc>
        <w:tc>
          <w:tcPr>
            <w:tcW w:w="20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rPr>
              <w:t>CCCL</w:t>
            </w: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CCCH</w:t>
            </w:r>
          </w:p>
        </w:tc>
        <w:tc>
          <w:tcPr>
            <w:tcW w:w="2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CCHMO</w:t>
            </w:r>
          </w:p>
        </w:tc>
        <w:tc>
          <w:tcPr>
            <w:tcW w:w="18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Guarantor</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Consolidation</w:t>
            </w:r>
          </w:p>
        </w:tc>
        <w:tc>
          <w:tcPr>
            <w:tcW w:w="2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Comcast</w:t>
            </w:r>
          </w:p>
        </w:tc>
        <w:tc>
          <w:tcPr>
            <w:tcW w:w="0" w:type="dxa"/>
            <w:vAlign w:val="bottom"/>
          </w:tcPr>
          <w:p>
            <w:pPr>
              <w:spacing w:after="0"/>
              <w:rPr>
                <w:sz w:val="1"/>
                <w:szCs w:val="1"/>
                <w:color w:val="auto"/>
              </w:rPr>
            </w:pPr>
          </w:p>
        </w:tc>
      </w:tr>
      <w:tr>
        <w:trPr>
          <w:trHeight w:val="222"/>
        </w:trPr>
        <w:tc>
          <w:tcPr>
            <w:tcW w:w="3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2"/>
              </w:rPr>
              <w:t>Parent</w:t>
            </w:r>
          </w:p>
        </w:tc>
        <w:tc>
          <w:tcPr>
            <w:tcW w:w="20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rPr>
              <w:t>Parent</w:t>
            </w:r>
          </w:p>
        </w:tc>
        <w:tc>
          <w:tcPr>
            <w:tcW w:w="20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rPr>
              <w:t>Parent</w:t>
            </w:r>
          </w:p>
        </w:tc>
        <w:tc>
          <w:tcPr>
            <w:tcW w:w="2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Parents</w:t>
            </w:r>
          </w:p>
        </w:tc>
        <w:tc>
          <w:tcPr>
            <w:tcW w:w="180" w:type="dxa"/>
            <w:vAlign w:val="bottom"/>
          </w:tcPr>
          <w:p>
            <w:pPr>
              <w:spacing w:after="0"/>
              <w:rPr>
                <w:sz w:val="19"/>
                <w:szCs w:val="19"/>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Subsidiaries</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Adjustments</w:t>
            </w:r>
          </w:p>
        </w:tc>
        <w:tc>
          <w:tcPr>
            <w:tcW w:w="200" w:type="dxa"/>
            <w:vAlign w:val="bottom"/>
          </w:tcPr>
          <w:p>
            <w:pPr>
              <w:spacing w:after="0"/>
              <w:rPr>
                <w:sz w:val="19"/>
                <w:szCs w:val="19"/>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Corporation</w:t>
            </w:r>
          </w:p>
        </w:tc>
        <w:tc>
          <w:tcPr>
            <w:tcW w:w="0" w:type="dxa"/>
            <w:vAlign w:val="bottom"/>
          </w:tcPr>
          <w:p>
            <w:pPr>
              <w:spacing w:after="0"/>
              <w:rPr>
                <w:sz w:val="1"/>
                <w:szCs w:val="1"/>
                <w:color w:val="auto"/>
              </w:rPr>
            </w:pPr>
          </w:p>
        </w:tc>
      </w:tr>
      <w:tr>
        <w:trPr>
          <w:trHeight w:val="110"/>
        </w:trPr>
        <w:tc>
          <w:tcPr>
            <w:tcW w:w="3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8"/>
        </w:trPr>
        <w:tc>
          <w:tcPr>
            <w:tcW w:w="3100" w:type="dxa"/>
            <w:vAlign w:val="bottom"/>
          </w:tcPr>
          <w:p>
            <w:pPr>
              <w:spacing w:after="0"/>
              <w:rPr>
                <w:sz w:val="20"/>
                <w:szCs w:val="20"/>
                <w:color w:val="auto"/>
              </w:rPr>
            </w:pPr>
            <w:r>
              <w:rPr>
                <w:rFonts w:ascii="Arial" w:cs="Arial" w:eastAsia="Arial" w:hAnsi="Arial"/>
                <w:sz w:val="22"/>
                <w:szCs w:val="22"/>
                <w:color w:val="auto"/>
              </w:rPr>
              <w:t>REVENUES</w:t>
            </w:r>
          </w:p>
        </w:tc>
        <w:tc>
          <w:tcPr>
            <w:tcW w:w="940" w:type="dxa"/>
            <w:vAlign w:val="bottom"/>
            <w:gridSpan w:val="2"/>
          </w:tcPr>
          <w:p>
            <w:pPr>
              <w:jc w:val="right"/>
              <w:ind w:right="492"/>
              <w:spacing w:after="0"/>
              <w:rPr>
                <w:sz w:val="20"/>
                <w:szCs w:val="20"/>
                <w:color w:val="auto"/>
              </w:rPr>
            </w:pPr>
            <w:r>
              <w:rPr>
                <w:rFonts w:ascii="Arial" w:cs="Arial" w:eastAsia="Arial" w:hAnsi="Arial"/>
                <w:sz w:val="22"/>
                <w:szCs w:val="22"/>
                <w:color w:val="auto"/>
              </w:rPr>
              <w:t>$</w:t>
            </w:r>
          </w:p>
        </w:tc>
        <w:tc>
          <w:tcPr>
            <w:tcW w:w="880" w:type="dxa"/>
            <w:vAlign w:val="bottom"/>
            <w:gridSpan w:val="2"/>
          </w:tcPr>
          <w:p>
            <w:pPr>
              <w:jc w:val="right"/>
              <w:ind w:right="492"/>
              <w:spacing w:after="0"/>
              <w:rPr>
                <w:sz w:val="20"/>
                <w:szCs w:val="20"/>
                <w:color w:val="auto"/>
              </w:rPr>
            </w:pPr>
            <w:r>
              <w:rPr>
                <w:rFonts w:ascii="Arial" w:cs="Arial" w:eastAsia="Arial" w:hAnsi="Arial"/>
                <w:sz w:val="22"/>
                <w:szCs w:val="22"/>
                <w:color w:val="auto"/>
              </w:rPr>
              <w:t>$</w:t>
            </w:r>
          </w:p>
        </w:tc>
        <w:tc>
          <w:tcPr>
            <w:tcW w:w="880" w:type="dxa"/>
            <w:vAlign w:val="bottom"/>
            <w:gridSpan w:val="2"/>
          </w:tcPr>
          <w:p>
            <w:pPr>
              <w:jc w:val="right"/>
              <w:ind w:right="492"/>
              <w:spacing w:after="0"/>
              <w:rPr>
                <w:sz w:val="20"/>
                <w:szCs w:val="20"/>
                <w:color w:val="auto"/>
              </w:rPr>
            </w:pPr>
            <w:r>
              <w:rPr>
                <w:rFonts w:ascii="Arial" w:cs="Arial" w:eastAsia="Arial" w:hAnsi="Arial"/>
                <w:sz w:val="22"/>
                <w:szCs w:val="22"/>
                <w:color w:val="auto"/>
              </w:rPr>
              <w:t>$</w:t>
            </w:r>
          </w:p>
        </w:tc>
        <w:tc>
          <w:tcPr>
            <w:tcW w:w="940" w:type="dxa"/>
            <w:vAlign w:val="bottom"/>
            <w:gridSpan w:val="2"/>
          </w:tcPr>
          <w:p>
            <w:pPr>
              <w:jc w:val="right"/>
              <w:ind w:right="552"/>
              <w:spacing w:after="0"/>
              <w:rPr>
                <w:sz w:val="20"/>
                <w:szCs w:val="20"/>
                <w:color w:val="auto"/>
              </w:rPr>
            </w:pPr>
            <w:r>
              <w:rPr>
                <w:rFonts w:ascii="Arial" w:cs="Arial" w:eastAsia="Arial" w:hAnsi="Arial"/>
                <w:sz w:val="22"/>
                <w:szCs w:val="22"/>
                <w:color w:val="auto"/>
              </w:rPr>
              <w:t>$</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$5,937</w:t>
            </w:r>
          </w:p>
        </w:tc>
        <w:tc>
          <w:tcPr>
            <w:tcW w:w="200" w:type="dxa"/>
            <w:vAlign w:val="bottom"/>
          </w:tcPr>
          <w:p>
            <w:pPr>
              <w:spacing w:after="0"/>
              <w:rPr>
                <w:sz w:val="24"/>
                <w:szCs w:val="24"/>
                <w:color w:val="auto"/>
              </w:rPr>
            </w:pPr>
          </w:p>
        </w:tc>
        <w:tc>
          <w:tcPr>
            <w:tcW w:w="980" w:type="dxa"/>
            <w:vAlign w:val="bottom"/>
          </w:tcPr>
          <w:p>
            <w:pPr>
              <w:jc w:val="right"/>
              <w:ind w:right="790"/>
              <w:spacing w:after="0"/>
              <w:rPr>
                <w:sz w:val="20"/>
                <w:szCs w:val="20"/>
                <w:color w:val="auto"/>
              </w:rPr>
            </w:pPr>
            <w:r>
              <w:rPr>
                <w:rFonts w:ascii="Arial" w:cs="Arial" w:eastAsia="Arial" w:hAnsi="Arial"/>
                <w:sz w:val="19"/>
                <w:szCs w:val="19"/>
                <w:color w:val="auto"/>
                <w:w w:val="75"/>
              </w:rPr>
              <w:t>$</w:t>
            </w: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$5,937</w:t>
            </w:r>
          </w:p>
        </w:tc>
        <w:tc>
          <w:tcPr>
            <w:tcW w:w="0" w:type="dxa"/>
            <w:vAlign w:val="bottom"/>
          </w:tcPr>
          <w:p>
            <w:pPr>
              <w:spacing w:after="0"/>
              <w:rPr>
                <w:sz w:val="1"/>
                <w:szCs w:val="1"/>
                <w:color w:val="auto"/>
              </w:rPr>
            </w:pPr>
          </w:p>
        </w:tc>
      </w:tr>
      <w:tr>
        <w:trPr>
          <w:trHeight w:val="98"/>
        </w:trPr>
        <w:tc>
          <w:tcPr>
            <w:tcW w:w="3100" w:type="dxa"/>
            <w:vAlign w:val="bottom"/>
            <w:vMerge w:val="restart"/>
          </w:tcPr>
          <w:p>
            <w:pPr>
              <w:spacing w:after="0"/>
              <w:rPr>
                <w:sz w:val="20"/>
                <w:szCs w:val="20"/>
                <w:color w:val="auto"/>
              </w:rPr>
            </w:pPr>
            <w:r>
              <w:rPr>
                <w:rFonts w:ascii="Arial" w:cs="Arial" w:eastAsia="Arial" w:hAnsi="Arial"/>
                <w:sz w:val="22"/>
                <w:szCs w:val="22"/>
                <w:color w:val="auto"/>
              </w:rPr>
              <w:t>COSTS AND EXPENSES</w:t>
            </w:r>
          </w:p>
        </w:tc>
        <w:tc>
          <w:tcPr>
            <w:tcW w:w="2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180"/>
              <w:spacing w:after="0" w:line="243" w:lineRule="exact"/>
              <w:rPr>
                <w:sz w:val="20"/>
                <w:szCs w:val="20"/>
                <w:color w:val="auto"/>
              </w:rPr>
            </w:pPr>
            <w:r>
              <w:rPr>
                <w:rFonts w:ascii="Arial" w:cs="Arial" w:eastAsia="Arial" w:hAnsi="Arial"/>
                <w:sz w:val="22"/>
                <w:szCs w:val="22"/>
                <w:color w:val="auto"/>
              </w:rPr>
              <w:t>Operating (excluding</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spacing w:after="0" w:line="243" w:lineRule="exact"/>
              <w:rPr>
                <w:sz w:val="20"/>
                <w:szCs w:val="20"/>
                <w:color w:val="auto"/>
              </w:rPr>
            </w:pPr>
            <w:r>
              <w:rPr>
                <w:rFonts w:ascii="Arial" w:cs="Arial" w:eastAsia="Arial" w:hAnsi="Arial"/>
                <w:sz w:val="22"/>
                <w:szCs w:val="22"/>
                <w:color w:val="auto"/>
              </w:rPr>
              <w:t>depreciation)</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2,446</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2,446</w:t>
            </w:r>
          </w:p>
        </w:tc>
        <w:tc>
          <w:tcPr>
            <w:tcW w:w="0" w:type="dxa"/>
            <w:vAlign w:val="bottom"/>
          </w:tcPr>
          <w:p>
            <w:pPr>
              <w:spacing w:after="0"/>
              <w:rPr>
                <w:sz w:val="1"/>
                <w:szCs w:val="1"/>
                <w:color w:val="auto"/>
              </w:rPr>
            </w:pPr>
          </w:p>
        </w:tc>
      </w:tr>
      <w:tr>
        <w:trPr>
          <w:trHeight w:val="243"/>
        </w:trPr>
        <w:tc>
          <w:tcPr>
            <w:tcW w:w="3100" w:type="dxa"/>
            <w:vAlign w:val="bottom"/>
          </w:tcPr>
          <w:p>
            <w:pPr>
              <w:ind w:left="180"/>
              <w:spacing w:after="0" w:line="243" w:lineRule="exact"/>
              <w:rPr>
                <w:sz w:val="20"/>
                <w:szCs w:val="20"/>
                <w:color w:val="auto"/>
              </w:rPr>
            </w:pPr>
            <w:r>
              <w:rPr>
                <w:rFonts w:ascii="Arial" w:cs="Arial" w:eastAsia="Arial" w:hAnsi="Arial"/>
                <w:sz w:val="22"/>
                <w:szCs w:val="22"/>
                <w:color w:val="auto"/>
              </w:rPr>
              <w:t>Selling, general and</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spacing w:after="0" w:line="243" w:lineRule="exact"/>
              <w:rPr>
                <w:sz w:val="20"/>
                <w:szCs w:val="20"/>
                <w:color w:val="auto"/>
              </w:rPr>
            </w:pPr>
            <w:r>
              <w:rPr>
                <w:rFonts w:ascii="Arial" w:cs="Arial" w:eastAsia="Arial" w:hAnsi="Arial"/>
                <w:sz w:val="22"/>
                <w:szCs w:val="22"/>
                <w:color w:val="auto"/>
              </w:rPr>
              <w:t>administrative</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1,543</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1,543</w:t>
            </w:r>
          </w:p>
        </w:tc>
        <w:tc>
          <w:tcPr>
            <w:tcW w:w="0" w:type="dxa"/>
            <w:vAlign w:val="bottom"/>
          </w:tcPr>
          <w:p>
            <w:pPr>
              <w:spacing w:after="0"/>
              <w:rPr>
                <w:sz w:val="1"/>
                <w:szCs w:val="1"/>
                <w:color w:val="auto"/>
              </w:rPr>
            </w:pPr>
          </w:p>
        </w:tc>
      </w:tr>
      <w:tr>
        <w:trPr>
          <w:trHeight w:val="243"/>
        </w:trPr>
        <w:tc>
          <w:tcPr>
            <w:tcW w:w="3100" w:type="dxa"/>
            <w:vAlign w:val="bottom"/>
          </w:tcPr>
          <w:p>
            <w:pPr>
              <w:ind w:left="180"/>
              <w:spacing w:after="0" w:line="243" w:lineRule="exact"/>
              <w:rPr>
                <w:sz w:val="20"/>
                <w:szCs w:val="20"/>
                <w:color w:val="auto"/>
              </w:rPr>
            </w:pPr>
            <w:r>
              <w:rPr>
                <w:rFonts w:ascii="Arial" w:cs="Arial" w:eastAsia="Arial" w:hAnsi="Arial"/>
                <w:sz w:val="22"/>
                <w:szCs w:val="22"/>
                <w:color w:val="auto"/>
              </w:rPr>
              <w:t>Depreciation</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1,130</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1,130</w:t>
            </w:r>
          </w:p>
        </w:tc>
        <w:tc>
          <w:tcPr>
            <w:tcW w:w="0" w:type="dxa"/>
            <w:vAlign w:val="bottom"/>
          </w:tcPr>
          <w:p>
            <w:pPr>
              <w:spacing w:after="0"/>
              <w:rPr>
                <w:sz w:val="1"/>
                <w:szCs w:val="1"/>
                <w:color w:val="auto"/>
              </w:rPr>
            </w:pPr>
          </w:p>
        </w:tc>
      </w:tr>
      <w:tr>
        <w:trPr>
          <w:trHeight w:val="275"/>
        </w:trPr>
        <w:tc>
          <w:tcPr>
            <w:tcW w:w="3100" w:type="dxa"/>
            <w:vAlign w:val="bottom"/>
          </w:tcPr>
          <w:p>
            <w:pPr>
              <w:ind w:left="160"/>
              <w:spacing w:after="0"/>
              <w:rPr>
                <w:sz w:val="20"/>
                <w:szCs w:val="20"/>
                <w:color w:val="auto"/>
              </w:rPr>
            </w:pPr>
            <w:r>
              <w:rPr>
                <w:rFonts w:ascii="Arial" w:cs="Arial" w:eastAsia="Arial" w:hAnsi="Arial"/>
                <w:sz w:val="22"/>
                <w:szCs w:val="22"/>
                <w:color w:val="auto"/>
              </w:rPr>
              <w:t>Amortization</w:t>
            </w: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2,143</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2,143</w:t>
            </w:r>
          </w:p>
        </w:tc>
        <w:tc>
          <w:tcPr>
            <w:tcW w:w="0" w:type="dxa"/>
            <w:vAlign w:val="bottom"/>
          </w:tcPr>
          <w:p>
            <w:pPr>
              <w:spacing w:after="0"/>
              <w:rPr>
                <w:sz w:val="1"/>
                <w:szCs w:val="1"/>
                <w:color w:val="auto"/>
              </w:rPr>
            </w:pPr>
          </w:p>
        </w:tc>
      </w:tr>
      <w:tr>
        <w:trPr>
          <w:trHeight w:val="98"/>
        </w:trPr>
        <w:tc>
          <w:tcPr>
            <w:tcW w:w="3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7,262</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7,262</w:t>
            </w:r>
          </w:p>
        </w:tc>
        <w:tc>
          <w:tcPr>
            <w:tcW w:w="0" w:type="dxa"/>
            <w:vAlign w:val="bottom"/>
          </w:tcPr>
          <w:p>
            <w:pPr>
              <w:spacing w:after="0"/>
              <w:rPr>
                <w:sz w:val="1"/>
                <w:szCs w:val="1"/>
                <w:color w:val="auto"/>
              </w:rPr>
            </w:pPr>
          </w:p>
        </w:tc>
      </w:tr>
      <w:tr>
        <w:trPr>
          <w:trHeight w:val="98"/>
        </w:trPr>
        <w:tc>
          <w:tcPr>
            <w:tcW w:w="3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3100" w:type="dxa"/>
            <w:vAlign w:val="bottom"/>
          </w:tcPr>
          <w:p>
            <w:pPr>
              <w:spacing w:after="0"/>
              <w:rPr>
                <w:sz w:val="20"/>
                <w:szCs w:val="20"/>
                <w:color w:val="auto"/>
              </w:rPr>
            </w:pPr>
            <w:r>
              <w:rPr>
                <w:rFonts w:ascii="Arial" w:cs="Arial" w:eastAsia="Arial" w:hAnsi="Arial"/>
                <w:sz w:val="22"/>
                <w:szCs w:val="22"/>
                <w:color w:val="auto"/>
              </w:rPr>
              <w:t>OPERATING INCOME (LOSS)</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22"/>
                <w:szCs w:val="22"/>
                <w:color w:val="auto"/>
              </w:rPr>
              <w:t>(1,325)</w:t>
            </w:r>
          </w:p>
        </w:tc>
        <w:tc>
          <w:tcPr>
            <w:tcW w:w="98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(1,325)</w:t>
            </w:r>
          </w:p>
        </w:tc>
        <w:tc>
          <w:tcPr>
            <w:tcW w:w="0" w:type="dxa"/>
            <w:vAlign w:val="bottom"/>
          </w:tcPr>
          <w:p>
            <w:pPr>
              <w:spacing w:after="0"/>
              <w:rPr>
                <w:sz w:val="1"/>
                <w:szCs w:val="1"/>
                <w:color w:val="auto"/>
              </w:rPr>
            </w:pPr>
          </w:p>
        </w:tc>
      </w:tr>
      <w:tr>
        <w:trPr>
          <w:trHeight w:val="486"/>
        </w:trPr>
        <w:tc>
          <w:tcPr>
            <w:tcW w:w="3100" w:type="dxa"/>
            <w:vAlign w:val="bottom"/>
          </w:tcPr>
          <w:p>
            <w:pPr>
              <w:spacing w:after="0"/>
              <w:rPr>
                <w:sz w:val="20"/>
                <w:szCs w:val="20"/>
                <w:color w:val="auto"/>
              </w:rPr>
            </w:pPr>
            <w:r>
              <w:rPr>
                <w:rFonts w:ascii="Arial" w:cs="Arial" w:eastAsia="Arial" w:hAnsi="Arial"/>
                <w:sz w:val="22"/>
                <w:szCs w:val="22"/>
                <w:color w:val="auto"/>
              </w:rPr>
              <w:t>OTHER INCOME (EXPENSE)</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94" w:orient="portrait"/>
          <w:cols w:equalWidth="0" w:num="1">
            <w:col w:w="10219"/>
          </w:cols>
          <w:pgMar w:left="240" w:top="226" w:right="1440" w:bottom="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ind w:left="180"/>
              <w:spacing w:after="0"/>
              <w:rPr>
                <w:sz w:val="20"/>
                <w:szCs w:val="20"/>
                <w:color w:val="auto"/>
              </w:rPr>
            </w:pPr>
            <w:r>
              <w:rPr>
                <w:rFonts w:ascii="Arial" w:cs="Arial" w:eastAsia="Arial" w:hAnsi="Arial"/>
                <w:sz w:val="22"/>
                <w:szCs w:val="22"/>
                <w:color w:val="auto"/>
              </w:rPr>
              <w:t>Interest expense</w:t>
            </w:r>
          </w:p>
        </w:tc>
        <w:tc>
          <w:tcPr>
            <w:tcW w:w="700" w:type="dxa"/>
            <w:vAlign w:val="bottom"/>
          </w:tcPr>
          <w:p>
            <w:pPr>
              <w:spacing w:after="0"/>
              <w:rPr>
                <w:sz w:val="21"/>
                <w:szCs w:val="21"/>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22"/>
                <w:szCs w:val="22"/>
                <w:color w:val="auto"/>
              </w:rPr>
              <w:t>(546)</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22"/>
                <w:szCs w:val="22"/>
                <w:color w:val="auto"/>
              </w:rPr>
              <w:t>(162)</w:t>
            </w:r>
          </w:p>
        </w:tc>
        <w:tc>
          <w:tcPr>
            <w:tcW w:w="98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(708)</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Investment income, net</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986</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986</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Equity in net (losses) income of</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line="243" w:lineRule="exact"/>
              <w:rPr>
                <w:sz w:val="20"/>
                <w:szCs w:val="20"/>
                <w:color w:val="auto"/>
              </w:rPr>
            </w:pPr>
            <w:r>
              <w:rPr>
                <w:rFonts w:ascii="Arial" w:cs="Arial" w:eastAsia="Arial" w:hAnsi="Arial"/>
                <w:sz w:val="22"/>
                <w:szCs w:val="22"/>
                <w:color w:val="auto"/>
              </w:rPr>
              <w:t>affiliates</w:t>
            </w:r>
          </w:p>
        </w:tc>
        <w:tc>
          <w:tcPr>
            <w:tcW w:w="700" w:type="dxa"/>
            <w:vAlign w:val="bottom"/>
          </w:tcPr>
          <w:p>
            <w:pPr>
              <w:spacing w:after="0"/>
              <w:rPr>
                <w:sz w:val="21"/>
                <w:szCs w:val="21"/>
                <w:color w:val="auto"/>
              </w:rPr>
            </w:pPr>
          </w:p>
        </w:tc>
        <w:tc>
          <w:tcPr>
            <w:tcW w:w="1020" w:type="dxa"/>
            <w:vAlign w:val="bottom"/>
            <w:gridSpan w:val="3"/>
          </w:tcPr>
          <w:p>
            <w:pPr>
              <w:jc w:val="right"/>
              <w:ind w:right="60"/>
              <w:spacing w:after="0" w:line="243" w:lineRule="exact"/>
              <w:rPr>
                <w:sz w:val="20"/>
                <w:szCs w:val="20"/>
                <w:color w:val="auto"/>
              </w:rPr>
            </w:pPr>
            <w:r>
              <w:rPr>
                <w:rFonts w:ascii="Arial" w:cs="Arial" w:eastAsia="Arial" w:hAnsi="Arial"/>
                <w:sz w:val="22"/>
                <w:szCs w:val="22"/>
                <w:color w:val="auto"/>
              </w:rPr>
              <w:t>(67)</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(438)</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489</w:t>
            </w: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75"/>
        </w:trPr>
        <w:tc>
          <w:tcPr>
            <w:tcW w:w="3340" w:type="dxa"/>
            <w:vAlign w:val="bottom"/>
          </w:tcPr>
          <w:p>
            <w:pPr>
              <w:ind w:left="180"/>
              <w:spacing w:after="0"/>
              <w:rPr>
                <w:sz w:val="20"/>
                <w:szCs w:val="20"/>
                <w:color w:val="auto"/>
              </w:rPr>
            </w:pPr>
            <w:r>
              <w:rPr>
                <w:rFonts w:ascii="Arial" w:cs="Arial" w:eastAsia="Arial" w:hAnsi="Arial"/>
                <w:sz w:val="22"/>
                <w:szCs w:val="22"/>
                <w:color w:val="auto"/>
              </w:rPr>
              <w:t>Other income</w:t>
            </w: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1,290</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1,290</w:t>
            </w:r>
          </w:p>
        </w:tc>
        <w:tc>
          <w:tcPr>
            <w:tcW w:w="0" w:type="dxa"/>
            <w:vAlign w:val="bottom"/>
          </w:tcPr>
          <w:p>
            <w:pPr>
              <w:spacing w:after="0"/>
              <w:rPr>
                <w:sz w:val="1"/>
                <w:szCs w:val="1"/>
                <w:color w:val="auto"/>
              </w:rPr>
            </w:pPr>
          </w:p>
        </w:tc>
      </w:tr>
      <w:tr>
        <w:trPr>
          <w:trHeight w:val="98"/>
        </w:trPr>
        <w:tc>
          <w:tcPr>
            <w:tcW w:w="3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22"/>
                <w:szCs w:val="22"/>
                <w:color w:val="auto"/>
              </w:rPr>
              <w:t>(613)</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1,676</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489</w:t>
            </w: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1,552</w:t>
            </w:r>
          </w:p>
        </w:tc>
        <w:tc>
          <w:tcPr>
            <w:tcW w:w="0" w:type="dxa"/>
            <w:vAlign w:val="bottom"/>
          </w:tcPr>
          <w:p>
            <w:pPr>
              <w:spacing w:after="0"/>
              <w:rPr>
                <w:sz w:val="1"/>
                <w:szCs w:val="1"/>
                <w:color w:val="auto"/>
              </w:rPr>
            </w:pPr>
          </w:p>
        </w:tc>
      </w:tr>
      <w:tr>
        <w:trPr>
          <w:trHeight w:val="98"/>
        </w:trPr>
        <w:tc>
          <w:tcPr>
            <w:tcW w:w="3340" w:type="dxa"/>
            <w:vAlign w:val="bottom"/>
            <w:vMerge w:val="restart"/>
          </w:tcPr>
          <w:p>
            <w:pPr>
              <w:spacing w:after="0"/>
              <w:rPr>
                <w:sz w:val="20"/>
                <w:szCs w:val="20"/>
                <w:color w:val="auto"/>
              </w:rPr>
            </w:pPr>
            <w:r>
              <w:rPr>
                <w:rFonts w:ascii="Arial" w:cs="Arial" w:eastAsia="Arial" w:hAnsi="Arial"/>
                <w:sz w:val="22"/>
                <w:szCs w:val="22"/>
                <w:color w:val="auto"/>
              </w:rPr>
              <w:t>INCOME (LOSS) FROM</w:t>
            </w: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CONTINUING</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20"/>
              <w:spacing w:after="0" w:line="243" w:lineRule="exact"/>
              <w:rPr>
                <w:sz w:val="20"/>
                <w:szCs w:val="20"/>
                <w:color w:val="auto"/>
              </w:rPr>
            </w:pPr>
            <w:r>
              <w:rPr>
                <w:rFonts w:ascii="Arial" w:cs="Arial" w:eastAsia="Arial" w:hAnsi="Arial"/>
                <w:sz w:val="22"/>
                <w:szCs w:val="22"/>
                <w:color w:val="auto"/>
              </w:rPr>
              <w:t>OPERATIONS BEFORE</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INCOME TAXES,</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20"/>
              <w:spacing w:after="0" w:line="243" w:lineRule="exact"/>
              <w:rPr>
                <w:sz w:val="20"/>
                <w:szCs w:val="20"/>
                <w:color w:val="auto"/>
              </w:rPr>
            </w:pPr>
            <w:r>
              <w:rPr>
                <w:rFonts w:ascii="Arial" w:cs="Arial" w:eastAsia="Arial" w:hAnsi="Arial"/>
                <w:sz w:val="22"/>
                <w:szCs w:val="22"/>
                <w:color w:val="auto"/>
              </w:rPr>
              <w:t>MINORITY INTEREST AND</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20"/>
              <w:spacing w:after="0" w:line="243" w:lineRule="exact"/>
              <w:rPr>
                <w:sz w:val="20"/>
                <w:szCs w:val="20"/>
                <w:color w:val="auto"/>
              </w:rPr>
            </w:pPr>
            <w:r>
              <w:rPr>
                <w:rFonts w:ascii="Arial" w:cs="Arial" w:eastAsia="Arial" w:hAnsi="Arial"/>
                <w:sz w:val="22"/>
                <w:szCs w:val="22"/>
                <w:color w:val="auto"/>
              </w:rPr>
              <w:t>CUMULATIVE EFFECT OF</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ind w:left="100"/>
              <w:spacing w:after="0"/>
              <w:rPr>
                <w:sz w:val="20"/>
                <w:szCs w:val="20"/>
                <w:color w:val="auto"/>
              </w:rPr>
            </w:pPr>
            <w:r>
              <w:rPr>
                <w:rFonts w:ascii="Arial" w:cs="Arial" w:eastAsia="Arial" w:hAnsi="Arial"/>
                <w:sz w:val="22"/>
                <w:szCs w:val="22"/>
                <w:color w:val="auto"/>
              </w:rPr>
              <w:t>ACCOUNTING CHANGE</w:t>
            </w:r>
          </w:p>
        </w:tc>
        <w:tc>
          <w:tcPr>
            <w:tcW w:w="700" w:type="dxa"/>
            <w:vAlign w:val="bottom"/>
          </w:tcPr>
          <w:p>
            <w:pPr>
              <w:spacing w:after="0"/>
              <w:rPr>
                <w:sz w:val="23"/>
                <w:szCs w:val="23"/>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22"/>
                <w:szCs w:val="22"/>
                <w:color w:val="auto"/>
              </w:rPr>
              <w:t>(613)</w:t>
            </w: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351</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489</w:t>
            </w: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227</w:t>
            </w:r>
          </w:p>
        </w:tc>
        <w:tc>
          <w:tcPr>
            <w:tcW w:w="0" w:type="dxa"/>
            <w:vAlign w:val="bottom"/>
          </w:tcPr>
          <w:p>
            <w:pPr>
              <w:spacing w:after="0"/>
              <w:rPr>
                <w:sz w:val="1"/>
                <w:szCs w:val="1"/>
                <w:color w:val="auto"/>
              </w:rPr>
            </w:pPr>
          </w:p>
        </w:tc>
      </w:tr>
      <w:tr>
        <w:trPr>
          <w:trHeight w:val="455"/>
        </w:trPr>
        <w:tc>
          <w:tcPr>
            <w:tcW w:w="3340" w:type="dxa"/>
            <w:vAlign w:val="bottom"/>
          </w:tcPr>
          <w:p>
            <w:pPr>
              <w:spacing w:after="0"/>
              <w:rPr>
                <w:sz w:val="20"/>
                <w:szCs w:val="20"/>
                <w:color w:val="auto"/>
              </w:rPr>
            </w:pPr>
            <w:r>
              <w:rPr>
                <w:rFonts w:ascii="Arial" w:cs="Arial" w:eastAsia="Arial" w:hAnsi="Arial"/>
                <w:sz w:val="22"/>
                <w:szCs w:val="22"/>
                <w:color w:val="auto"/>
              </w:rPr>
              <w:t>INCOME TAX (EXPENSE)</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0"/>
                <w:szCs w:val="20"/>
                <w:color w:val="auto"/>
              </w:rPr>
            </w:pPr>
            <w:r>
              <w:rPr>
                <w:rFonts w:ascii="Arial" w:cs="Arial" w:eastAsia="Arial" w:hAnsi="Arial"/>
                <w:sz w:val="22"/>
                <w:szCs w:val="22"/>
                <w:color w:val="auto"/>
              </w:rPr>
              <w:t>BENEFIT</w:t>
            </w:r>
          </w:p>
        </w:tc>
        <w:tc>
          <w:tcPr>
            <w:tcW w:w="700" w:type="dxa"/>
            <w:vAlign w:val="bottom"/>
          </w:tcPr>
          <w:p>
            <w:pPr>
              <w:spacing w:after="0"/>
              <w:rPr>
                <w:sz w:val="23"/>
                <w:szCs w:val="23"/>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22"/>
                <w:szCs w:val="22"/>
                <w:color w:val="auto"/>
              </w:rPr>
              <w:t>191</w:t>
            </w: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22"/>
                <w:szCs w:val="22"/>
                <w:color w:val="auto"/>
              </w:rPr>
              <w:t>(407)</w:t>
            </w:r>
          </w:p>
        </w:tc>
        <w:tc>
          <w:tcPr>
            <w:tcW w:w="98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(216)</w:t>
            </w:r>
          </w:p>
        </w:tc>
        <w:tc>
          <w:tcPr>
            <w:tcW w:w="0" w:type="dxa"/>
            <w:vAlign w:val="bottom"/>
          </w:tcPr>
          <w:p>
            <w:pPr>
              <w:spacing w:after="0"/>
              <w:rPr>
                <w:sz w:val="1"/>
                <w:szCs w:val="1"/>
                <w:color w:val="auto"/>
              </w:rPr>
            </w:pPr>
          </w:p>
        </w:tc>
      </w:tr>
      <w:tr>
        <w:trPr>
          <w:trHeight w:val="98"/>
        </w:trPr>
        <w:tc>
          <w:tcPr>
            <w:tcW w:w="3340" w:type="dxa"/>
            <w:vAlign w:val="bottom"/>
            <w:vMerge w:val="restart"/>
          </w:tcPr>
          <w:p>
            <w:pPr>
              <w:spacing w:after="0"/>
              <w:rPr>
                <w:sz w:val="20"/>
                <w:szCs w:val="20"/>
                <w:color w:val="auto"/>
              </w:rPr>
            </w:pPr>
            <w:r>
              <w:rPr>
                <w:rFonts w:ascii="Arial" w:cs="Arial" w:eastAsia="Arial" w:hAnsi="Arial"/>
                <w:sz w:val="22"/>
                <w:szCs w:val="22"/>
                <w:color w:val="auto"/>
              </w:rPr>
              <w:t>INCOME (LOSS) FROM</w:t>
            </w: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CONTINUING</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20"/>
              <w:spacing w:after="0" w:line="243" w:lineRule="exact"/>
              <w:rPr>
                <w:sz w:val="20"/>
                <w:szCs w:val="20"/>
                <w:color w:val="auto"/>
              </w:rPr>
            </w:pPr>
            <w:r>
              <w:rPr>
                <w:rFonts w:ascii="Arial" w:cs="Arial" w:eastAsia="Arial" w:hAnsi="Arial"/>
                <w:sz w:val="22"/>
                <w:szCs w:val="22"/>
                <w:color w:val="auto"/>
              </w:rPr>
              <w:t>OPERATIONS BEFORE</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MINORITY</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20"/>
              <w:spacing w:after="0" w:line="243" w:lineRule="exact"/>
              <w:rPr>
                <w:sz w:val="20"/>
                <w:szCs w:val="20"/>
                <w:color w:val="auto"/>
              </w:rPr>
            </w:pPr>
            <w:r>
              <w:rPr>
                <w:rFonts w:ascii="Arial" w:cs="Arial" w:eastAsia="Arial" w:hAnsi="Arial"/>
                <w:sz w:val="22"/>
                <w:szCs w:val="22"/>
                <w:color w:val="auto"/>
              </w:rPr>
              <w:t>INTEREST AND CUMULATIVE</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20"/>
              <w:spacing w:after="0" w:line="243" w:lineRule="exact"/>
              <w:rPr>
                <w:sz w:val="20"/>
                <w:szCs w:val="20"/>
                <w:color w:val="auto"/>
              </w:rPr>
            </w:pPr>
            <w:r>
              <w:rPr>
                <w:rFonts w:ascii="Arial" w:cs="Arial" w:eastAsia="Arial" w:hAnsi="Arial"/>
                <w:sz w:val="22"/>
                <w:szCs w:val="22"/>
                <w:color w:val="auto"/>
              </w:rPr>
              <w:t>EFFECT OF ACCOUNTING</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0"/>
                <w:szCs w:val="20"/>
                <w:color w:val="auto"/>
              </w:rPr>
            </w:pPr>
            <w:r>
              <w:rPr>
                <w:rFonts w:ascii="Arial" w:cs="Arial" w:eastAsia="Arial" w:hAnsi="Arial"/>
                <w:sz w:val="22"/>
                <w:szCs w:val="22"/>
                <w:color w:val="auto"/>
              </w:rPr>
              <w:t>CHANGE</w:t>
            </w:r>
          </w:p>
        </w:tc>
        <w:tc>
          <w:tcPr>
            <w:tcW w:w="700" w:type="dxa"/>
            <w:vAlign w:val="bottom"/>
          </w:tcPr>
          <w:p>
            <w:pPr>
              <w:spacing w:after="0"/>
              <w:rPr>
                <w:sz w:val="23"/>
                <w:szCs w:val="23"/>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22"/>
                <w:szCs w:val="22"/>
                <w:color w:val="auto"/>
              </w:rPr>
              <w:t>(422)</w:t>
            </w: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22"/>
                <w:szCs w:val="22"/>
                <w:color w:val="auto"/>
              </w:rPr>
              <w:t>(56)</w:t>
            </w:r>
          </w:p>
        </w:tc>
        <w:tc>
          <w:tcPr>
            <w:tcW w:w="980" w:type="dxa"/>
            <w:vAlign w:val="bottom"/>
          </w:tcPr>
          <w:p>
            <w:pPr>
              <w:jc w:val="right"/>
              <w:spacing w:after="0"/>
              <w:rPr>
                <w:sz w:val="20"/>
                <w:szCs w:val="20"/>
                <w:color w:val="auto"/>
              </w:rPr>
            </w:pPr>
            <w:r>
              <w:rPr>
                <w:rFonts w:ascii="Arial" w:cs="Arial" w:eastAsia="Arial" w:hAnsi="Arial"/>
                <w:sz w:val="22"/>
                <w:szCs w:val="22"/>
                <w:color w:val="auto"/>
              </w:rPr>
              <w:t>489</w:t>
            </w: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486"/>
        </w:trPr>
        <w:tc>
          <w:tcPr>
            <w:tcW w:w="3340" w:type="dxa"/>
            <w:vAlign w:val="bottom"/>
          </w:tcPr>
          <w:p>
            <w:pPr>
              <w:spacing w:after="0"/>
              <w:rPr>
                <w:sz w:val="20"/>
                <w:szCs w:val="20"/>
                <w:color w:val="auto"/>
              </w:rPr>
            </w:pPr>
            <w:r>
              <w:rPr>
                <w:rFonts w:ascii="Arial" w:cs="Arial" w:eastAsia="Arial" w:hAnsi="Arial"/>
                <w:sz w:val="22"/>
                <w:szCs w:val="22"/>
                <w:color w:val="auto"/>
              </w:rPr>
              <w:t>MINORITY INTEREST</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22"/>
                <w:szCs w:val="22"/>
                <w:color w:val="auto"/>
              </w:rPr>
              <w:t>(7)</w:t>
            </w:r>
          </w:p>
        </w:tc>
        <w:tc>
          <w:tcPr>
            <w:tcW w:w="98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98"/>
        </w:trPr>
        <w:tc>
          <w:tcPr>
            <w:tcW w:w="3340" w:type="dxa"/>
            <w:vAlign w:val="bottom"/>
            <w:vMerge w:val="restart"/>
          </w:tcPr>
          <w:p>
            <w:pPr>
              <w:spacing w:after="0"/>
              <w:rPr>
                <w:sz w:val="20"/>
                <w:szCs w:val="20"/>
                <w:color w:val="auto"/>
              </w:rPr>
            </w:pPr>
            <w:r>
              <w:rPr>
                <w:rFonts w:ascii="Arial" w:cs="Arial" w:eastAsia="Arial" w:hAnsi="Arial"/>
                <w:sz w:val="22"/>
                <w:szCs w:val="22"/>
                <w:color w:val="auto"/>
              </w:rPr>
              <w:t>INCOME (LOSS) FROM</w:t>
            </w: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CONTINUING</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60"/>
              <w:spacing w:after="0" w:line="243" w:lineRule="exact"/>
              <w:rPr>
                <w:sz w:val="20"/>
                <w:szCs w:val="20"/>
                <w:color w:val="auto"/>
              </w:rPr>
            </w:pPr>
            <w:r>
              <w:rPr>
                <w:rFonts w:ascii="Arial" w:cs="Arial" w:eastAsia="Arial" w:hAnsi="Arial"/>
                <w:sz w:val="22"/>
                <w:szCs w:val="22"/>
                <w:color w:val="auto"/>
              </w:rPr>
              <w:t>OPERATIONS BEFORE</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CUMULATIVE</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60"/>
              <w:spacing w:after="0" w:line="243" w:lineRule="exact"/>
              <w:rPr>
                <w:sz w:val="20"/>
                <w:szCs w:val="20"/>
                <w:color w:val="auto"/>
              </w:rPr>
            </w:pPr>
            <w:r>
              <w:rPr>
                <w:rFonts w:ascii="Arial" w:cs="Arial" w:eastAsia="Arial" w:hAnsi="Arial"/>
                <w:sz w:val="22"/>
                <w:szCs w:val="22"/>
                <w:color w:val="auto"/>
              </w:rPr>
              <w:t>EFFECT OF ACCOUNTING</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0"/>
                <w:szCs w:val="20"/>
                <w:color w:val="auto"/>
              </w:rPr>
            </w:pPr>
            <w:r>
              <w:rPr>
                <w:rFonts w:ascii="Arial" w:cs="Arial" w:eastAsia="Arial" w:hAnsi="Arial"/>
                <w:sz w:val="22"/>
                <w:szCs w:val="22"/>
                <w:color w:val="auto"/>
              </w:rPr>
              <w:t>CHANGE</w:t>
            </w:r>
          </w:p>
        </w:tc>
        <w:tc>
          <w:tcPr>
            <w:tcW w:w="700" w:type="dxa"/>
            <w:vAlign w:val="bottom"/>
          </w:tcPr>
          <w:p>
            <w:pPr>
              <w:spacing w:after="0"/>
              <w:rPr>
                <w:sz w:val="23"/>
                <w:szCs w:val="23"/>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22"/>
                <w:szCs w:val="22"/>
                <w:color w:val="auto"/>
              </w:rPr>
              <w:t>(422)</w:t>
            </w: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22"/>
                <w:szCs w:val="22"/>
                <w:color w:val="auto"/>
              </w:rPr>
              <w:t>(63)</w:t>
            </w:r>
          </w:p>
        </w:tc>
        <w:tc>
          <w:tcPr>
            <w:tcW w:w="980" w:type="dxa"/>
            <w:vAlign w:val="bottom"/>
          </w:tcPr>
          <w:p>
            <w:pPr>
              <w:jc w:val="right"/>
              <w:spacing w:after="0"/>
              <w:rPr>
                <w:sz w:val="20"/>
                <w:szCs w:val="20"/>
                <w:color w:val="auto"/>
              </w:rPr>
            </w:pPr>
            <w:r>
              <w:rPr>
                <w:rFonts w:ascii="Arial" w:cs="Arial" w:eastAsia="Arial" w:hAnsi="Arial"/>
                <w:sz w:val="22"/>
                <w:szCs w:val="22"/>
                <w:color w:val="auto"/>
              </w:rPr>
              <w:t>489</w:t>
            </w: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455"/>
        </w:trPr>
        <w:tc>
          <w:tcPr>
            <w:tcW w:w="3340" w:type="dxa"/>
            <w:vAlign w:val="bottom"/>
          </w:tcPr>
          <w:p>
            <w:pPr>
              <w:spacing w:after="0"/>
              <w:rPr>
                <w:sz w:val="20"/>
                <w:szCs w:val="20"/>
                <w:color w:val="auto"/>
              </w:rPr>
            </w:pPr>
            <w:r>
              <w:rPr>
                <w:rFonts w:ascii="Arial" w:cs="Arial" w:eastAsia="Arial" w:hAnsi="Arial"/>
                <w:sz w:val="22"/>
                <w:szCs w:val="22"/>
                <w:color w:val="auto"/>
              </w:rPr>
              <w:t>INCOME FROM</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DISCONTINUED</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ind w:left="60"/>
              <w:spacing w:after="0"/>
              <w:rPr>
                <w:sz w:val="20"/>
                <w:szCs w:val="20"/>
                <w:color w:val="auto"/>
              </w:rPr>
            </w:pPr>
            <w:r>
              <w:rPr>
                <w:rFonts w:ascii="Arial" w:cs="Arial" w:eastAsia="Arial" w:hAnsi="Arial"/>
                <w:sz w:val="22"/>
                <w:szCs w:val="22"/>
                <w:color w:val="auto"/>
              </w:rPr>
              <w:t>OPERATIONS</w:t>
            </w: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220</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220</w:t>
            </w:r>
          </w:p>
        </w:tc>
        <w:tc>
          <w:tcPr>
            <w:tcW w:w="0" w:type="dxa"/>
            <w:vAlign w:val="bottom"/>
          </w:tcPr>
          <w:p>
            <w:pPr>
              <w:spacing w:after="0"/>
              <w:rPr>
                <w:sz w:val="1"/>
                <w:szCs w:val="1"/>
                <w:color w:val="auto"/>
              </w:rPr>
            </w:pPr>
          </w:p>
        </w:tc>
      </w:tr>
      <w:tr>
        <w:trPr>
          <w:trHeight w:val="455"/>
        </w:trPr>
        <w:tc>
          <w:tcPr>
            <w:tcW w:w="3340" w:type="dxa"/>
            <w:vAlign w:val="bottom"/>
          </w:tcPr>
          <w:p>
            <w:pPr>
              <w:spacing w:after="0"/>
              <w:rPr>
                <w:sz w:val="20"/>
                <w:szCs w:val="20"/>
                <w:color w:val="auto"/>
              </w:rPr>
            </w:pPr>
            <w:r>
              <w:rPr>
                <w:rFonts w:ascii="Arial" w:cs="Arial" w:eastAsia="Arial" w:hAnsi="Arial"/>
                <w:sz w:val="22"/>
                <w:szCs w:val="22"/>
                <w:color w:val="auto"/>
              </w:rPr>
              <w:t>CUMULATIVE EFFECT OF</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ACCOUNTING</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ind w:left="120"/>
              <w:spacing w:after="0"/>
              <w:rPr>
                <w:sz w:val="20"/>
                <w:szCs w:val="20"/>
                <w:color w:val="auto"/>
              </w:rPr>
            </w:pPr>
            <w:r>
              <w:rPr>
                <w:rFonts w:ascii="Arial" w:cs="Arial" w:eastAsia="Arial" w:hAnsi="Arial"/>
                <w:sz w:val="22"/>
                <w:szCs w:val="22"/>
                <w:color w:val="auto"/>
              </w:rPr>
              <w:t>CHANGE</w:t>
            </w: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385</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385</w:t>
            </w:r>
          </w:p>
        </w:tc>
        <w:tc>
          <w:tcPr>
            <w:tcW w:w="0" w:type="dxa"/>
            <w:vAlign w:val="bottom"/>
          </w:tcPr>
          <w:p>
            <w:pPr>
              <w:spacing w:after="0"/>
              <w:rPr>
                <w:sz w:val="1"/>
                <w:szCs w:val="1"/>
                <w:color w:val="auto"/>
              </w:rPr>
            </w:pPr>
          </w:p>
        </w:tc>
      </w:tr>
      <w:tr>
        <w:trPr>
          <w:trHeight w:val="98"/>
        </w:trPr>
        <w:tc>
          <w:tcPr>
            <w:tcW w:w="33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3340" w:type="dxa"/>
            <w:vAlign w:val="bottom"/>
          </w:tcPr>
          <w:p>
            <w:pPr>
              <w:spacing w:after="0"/>
              <w:rPr>
                <w:sz w:val="20"/>
                <w:szCs w:val="20"/>
                <w:color w:val="auto"/>
              </w:rPr>
            </w:pPr>
            <w:r>
              <w:rPr>
                <w:rFonts w:ascii="Arial" w:cs="Arial" w:eastAsia="Arial" w:hAnsi="Arial"/>
                <w:sz w:val="22"/>
                <w:szCs w:val="22"/>
                <w:color w:val="auto"/>
              </w:rPr>
              <w:t>NET INCOME (LOSS)</w:t>
            </w:r>
          </w:p>
        </w:tc>
        <w:tc>
          <w:tcPr>
            <w:tcW w:w="700" w:type="dxa"/>
            <w:vAlign w:val="bottom"/>
          </w:tcPr>
          <w:p>
            <w:pPr>
              <w:jc w:val="right"/>
              <w:ind w:right="472"/>
              <w:spacing w:after="0"/>
              <w:rPr>
                <w:sz w:val="20"/>
                <w:szCs w:val="20"/>
                <w:color w:val="auto"/>
              </w:rPr>
            </w:pPr>
            <w:r>
              <w:rPr>
                <w:rFonts w:ascii="Arial" w:cs="Arial" w:eastAsia="Arial" w:hAnsi="Arial"/>
                <w:sz w:val="22"/>
                <w:szCs w:val="22"/>
                <w:color w:val="auto"/>
                <w:w w:val="81"/>
              </w:rPr>
              <w:t>$</w:t>
            </w:r>
          </w:p>
        </w:tc>
        <w:tc>
          <w:tcPr>
            <w:tcW w:w="1020" w:type="dxa"/>
            <w:vAlign w:val="bottom"/>
            <w:gridSpan w:val="3"/>
          </w:tcPr>
          <w:p>
            <w:pPr>
              <w:jc w:val="right"/>
              <w:ind w:right="60"/>
              <w:spacing w:after="0"/>
              <w:rPr>
                <w:sz w:val="20"/>
                <w:szCs w:val="20"/>
                <w:color w:val="auto"/>
              </w:rPr>
            </w:pPr>
            <w:r>
              <w:rPr>
                <w:rFonts w:ascii="Arial" w:cs="Arial" w:eastAsia="Arial" w:hAnsi="Arial"/>
                <w:sz w:val="22"/>
                <w:szCs w:val="22"/>
                <w:color w:val="auto"/>
              </w:rPr>
              <w:t>($422)</w:t>
            </w:r>
          </w:p>
        </w:tc>
        <w:tc>
          <w:tcPr>
            <w:tcW w:w="740" w:type="dxa"/>
            <w:vAlign w:val="bottom"/>
            <w:gridSpan w:val="2"/>
          </w:tcPr>
          <w:p>
            <w:pPr>
              <w:jc w:val="right"/>
              <w:ind w:right="580"/>
              <w:spacing w:after="0"/>
              <w:rPr>
                <w:sz w:val="20"/>
                <w:szCs w:val="20"/>
                <w:color w:val="auto"/>
              </w:rPr>
            </w:pPr>
            <w:r>
              <w:rPr>
                <w:rFonts w:ascii="Arial" w:cs="Arial" w:eastAsia="Arial" w:hAnsi="Arial"/>
                <w:sz w:val="22"/>
                <w:szCs w:val="22"/>
                <w:color w:val="auto"/>
              </w:rPr>
              <w:t>$</w:t>
            </w:r>
          </w:p>
        </w:tc>
        <w:tc>
          <w:tcPr>
            <w:tcW w:w="940" w:type="dxa"/>
            <w:vAlign w:val="bottom"/>
            <w:gridSpan w:val="2"/>
          </w:tcPr>
          <w:p>
            <w:pPr>
              <w:jc w:val="right"/>
              <w:ind w:right="640"/>
              <w:spacing w:after="0"/>
              <w:rPr>
                <w:sz w:val="20"/>
                <w:szCs w:val="20"/>
                <w:color w:val="auto"/>
              </w:rPr>
            </w:pPr>
            <w:r>
              <w:rPr>
                <w:rFonts w:ascii="Arial" w:cs="Arial" w:eastAsia="Arial" w:hAnsi="Arial"/>
                <w:sz w:val="22"/>
                <w:szCs w:val="22"/>
                <w:color w:val="auto"/>
              </w:rPr>
              <w:t>$</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$542</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$489</w:t>
            </w: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$609</w:t>
            </w: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-14605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-14605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-14605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-14605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-14605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-14605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-14605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-14605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-14605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-14605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-14605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-14605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-14605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Comcast Corporation</w:t>
      </w:r>
    </w:p>
    <w:p>
      <w:pPr>
        <w:jc w:val="center"/>
        <w:ind w:right="-60"/>
        <w:spacing w:after="0" w:line="238" w:lineRule="auto"/>
        <w:rPr>
          <w:sz w:val="20"/>
          <w:szCs w:val="20"/>
          <w:color w:val="auto"/>
        </w:rPr>
      </w:pPr>
      <w:r>
        <w:rPr>
          <w:rFonts w:ascii="Arial" w:cs="Arial" w:eastAsia="Arial" w:hAnsi="Arial"/>
          <w:sz w:val="22"/>
          <w:szCs w:val="22"/>
          <w:color w:val="auto"/>
        </w:rPr>
        <w:t>Condensed Consolidating Statement of Cash Flows</w:t>
      </w:r>
    </w:p>
    <w:p>
      <w:pPr>
        <w:jc w:val="center"/>
        <w:ind w:right="-60"/>
        <w:spacing w:after="0"/>
        <w:rPr>
          <w:sz w:val="20"/>
          <w:szCs w:val="20"/>
          <w:color w:val="auto"/>
        </w:rPr>
      </w:pPr>
      <w:r>
        <w:rPr>
          <w:rFonts w:ascii="Arial" w:cs="Arial" w:eastAsia="Arial" w:hAnsi="Arial"/>
          <w:sz w:val="22"/>
          <w:szCs w:val="22"/>
          <w:color w:val="auto"/>
        </w:rPr>
        <w:t>For the Year Ended December 31, 2003</w:t>
      </w:r>
    </w:p>
    <w:p>
      <w:pPr>
        <w:spacing w:after="0" w:line="228" w:lineRule="exact"/>
        <w:rPr>
          <w:sz w:val="20"/>
          <w:szCs w:val="20"/>
          <w:color w:val="auto"/>
        </w:rPr>
      </w:pPr>
    </w:p>
    <w:tbl>
      <w:tblPr>
        <w:tblLayout w:type="fixed"/>
        <w:tblInd w:w="332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Elimination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Combined</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Non-</w:t>
            </w: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Consolidated</w:t>
            </w:r>
          </w:p>
        </w:tc>
      </w:tr>
      <w:tr>
        <w:trPr>
          <w:trHeight w:val="216"/>
        </w:trPr>
        <w:tc>
          <w:tcPr>
            <w:tcW w:w="700" w:type="dxa"/>
            <w:vAlign w:val="bottom"/>
          </w:tcPr>
          <w:p>
            <w:pPr>
              <w:jc w:val="center"/>
              <w:spacing w:after="0"/>
              <w:rPr>
                <w:sz w:val="20"/>
                <w:szCs w:val="20"/>
                <w:color w:val="auto"/>
              </w:rPr>
            </w:pPr>
            <w:r>
              <w:rPr>
                <w:rFonts w:ascii="Arial" w:cs="Arial" w:eastAsia="Arial" w:hAnsi="Arial"/>
                <w:sz w:val="18"/>
                <w:szCs w:val="18"/>
                <w:color w:val="auto"/>
                <w:w w:val="87"/>
              </w:rPr>
              <w:t>Comcast</w:t>
            </w:r>
          </w:p>
        </w:tc>
        <w:tc>
          <w:tcPr>
            <w:tcW w:w="180" w:type="dxa"/>
            <w:vAlign w:val="bottom"/>
          </w:tcPr>
          <w:p>
            <w:pPr>
              <w:spacing w:after="0"/>
              <w:rPr>
                <w:sz w:val="18"/>
                <w:szCs w:val="18"/>
                <w:color w:val="auto"/>
              </w:rPr>
            </w:pPr>
          </w:p>
        </w:tc>
        <w:tc>
          <w:tcPr>
            <w:tcW w:w="720" w:type="dxa"/>
            <w:vAlign w:val="bottom"/>
          </w:tcPr>
          <w:p>
            <w:pPr>
              <w:ind w:left="140"/>
              <w:spacing w:after="0"/>
              <w:rPr>
                <w:sz w:val="20"/>
                <w:szCs w:val="20"/>
                <w:color w:val="auto"/>
              </w:rPr>
            </w:pPr>
            <w:r>
              <w:rPr>
                <w:rFonts w:ascii="Arial" w:cs="Arial" w:eastAsia="Arial" w:hAnsi="Arial"/>
                <w:sz w:val="18"/>
                <w:szCs w:val="18"/>
                <w:color w:val="auto"/>
              </w:rPr>
              <w:t>CCCL</w:t>
            </w:r>
          </w:p>
        </w:tc>
        <w:tc>
          <w:tcPr>
            <w:tcW w:w="1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CCCH</w:t>
            </w:r>
          </w:p>
        </w:tc>
        <w:tc>
          <w:tcPr>
            <w:tcW w:w="2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CCHMO</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Guarantor</w:t>
            </w: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Consolidation</w:t>
            </w: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Comcast</w:t>
            </w:r>
          </w:p>
        </w:tc>
      </w:tr>
      <w:tr>
        <w:trPr>
          <w:trHeight w:val="222"/>
        </w:trPr>
        <w:tc>
          <w:tcPr>
            <w:tcW w:w="700" w:type="dxa"/>
            <w:vAlign w:val="bottom"/>
          </w:tcPr>
          <w:p>
            <w:pPr>
              <w:jc w:val="center"/>
              <w:spacing w:after="0"/>
              <w:rPr>
                <w:sz w:val="20"/>
                <w:szCs w:val="20"/>
                <w:color w:val="auto"/>
              </w:rPr>
            </w:pPr>
            <w:r>
              <w:rPr>
                <w:rFonts w:ascii="Arial" w:cs="Arial" w:eastAsia="Arial" w:hAnsi="Arial"/>
                <w:sz w:val="18"/>
                <w:szCs w:val="18"/>
                <w:color w:val="auto"/>
                <w:w w:val="86"/>
              </w:rPr>
              <w:t>Parent</w:t>
            </w:r>
          </w:p>
        </w:tc>
        <w:tc>
          <w:tcPr>
            <w:tcW w:w="180" w:type="dxa"/>
            <w:vAlign w:val="bottom"/>
          </w:tcPr>
          <w:p>
            <w:pPr>
              <w:spacing w:after="0"/>
              <w:rPr>
                <w:sz w:val="19"/>
                <w:szCs w:val="19"/>
                <w:color w:val="auto"/>
              </w:rPr>
            </w:pPr>
          </w:p>
        </w:tc>
        <w:tc>
          <w:tcPr>
            <w:tcW w:w="720" w:type="dxa"/>
            <w:vAlign w:val="bottom"/>
          </w:tcPr>
          <w:p>
            <w:pPr>
              <w:ind w:left="140"/>
              <w:spacing w:after="0"/>
              <w:rPr>
                <w:sz w:val="20"/>
                <w:szCs w:val="20"/>
                <w:color w:val="auto"/>
              </w:rPr>
            </w:pPr>
            <w:r>
              <w:rPr>
                <w:rFonts w:ascii="Arial" w:cs="Arial" w:eastAsia="Arial" w:hAnsi="Arial"/>
                <w:sz w:val="18"/>
                <w:szCs w:val="18"/>
                <w:color w:val="auto"/>
              </w:rPr>
              <w:t>Parent</w:t>
            </w:r>
          </w:p>
        </w:tc>
        <w:tc>
          <w:tcPr>
            <w:tcW w:w="180" w:type="dxa"/>
            <w:vAlign w:val="bottom"/>
          </w:tcPr>
          <w:p>
            <w:pPr>
              <w:spacing w:after="0"/>
              <w:rPr>
                <w:sz w:val="19"/>
                <w:szCs w:val="19"/>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Parent</w:t>
            </w:r>
          </w:p>
        </w:tc>
        <w:tc>
          <w:tcPr>
            <w:tcW w:w="2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Parents</w:t>
            </w:r>
          </w:p>
        </w:tc>
        <w:tc>
          <w:tcPr>
            <w:tcW w:w="1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Subsidiaries</w:t>
            </w:r>
          </w:p>
        </w:tc>
        <w:tc>
          <w:tcPr>
            <w:tcW w:w="2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Adjustments</w:t>
            </w:r>
          </w:p>
        </w:tc>
        <w:tc>
          <w:tcPr>
            <w:tcW w:w="2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Corporation</w:t>
            </w:r>
          </w:p>
        </w:tc>
      </w:tr>
      <w:tr>
        <w:trPr>
          <w:trHeight w:val="110"/>
        </w:trPr>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bl>
    <w:p>
      <w:pPr>
        <w:sectPr>
          <w:pgSz w:w="11900" w:h="16838" w:orient="portrait"/>
          <w:cols w:equalWidth="0" w:num="1">
            <w:col w:w="10219"/>
          </w:cols>
          <w:pgMar w:left="240" w:top="108" w:right="1440" w:bottom="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20" w:type="dxa"/>
            <w:vAlign w:val="bottom"/>
          </w:tcPr>
          <w:p>
            <w:pPr>
              <w:spacing w:after="0"/>
              <w:rPr>
                <w:sz w:val="20"/>
                <w:szCs w:val="20"/>
                <w:color w:val="auto"/>
              </w:rPr>
            </w:pPr>
            <w:r>
              <w:rPr>
                <w:rFonts w:ascii="Arial" w:cs="Arial" w:eastAsia="Arial" w:hAnsi="Arial"/>
                <w:sz w:val="22"/>
                <w:szCs w:val="22"/>
                <w:color w:val="auto"/>
              </w:rPr>
              <w:t>OPERATING ACTIVITIES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Net income (loss)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$3,240</w:t>
            </w: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$653</w:t>
            </w:r>
          </w:p>
        </w:tc>
        <w:tc>
          <w:tcPr>
            <w:tcW w:w="180" w:type="dxa"/>
            <w:vAlign w:val="bottom"/>
          </w:tcPr>
          <w:p>
            <w:pPr>
              <w:spacing w:after="0"/>
              <w:rPr>
                <w:sz w:val="21"/>
                <w:szCs w:val="21"/>
                <w:color w:val="auto"/>
              </w:rPr>
            </w:pPr>
          </w:p>
        </w:tc>
        <w:tc>
          <w:tcPr>
            <w:tcW w:w="9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($598)</w:t>
            </w: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($356)</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$4,784</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($4,483)</w:t>
            </w: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$3,240</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Income from discontinued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operations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(168)</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(168)</w:t>
            </w:r>
          </w:p>
        </w:tc>
        <w:tc>
          <w:tcPr>
            <w:tcW w:w="0" w:type="dxa"/>
            <w:vAlign w:val="bottom"/>
          </w:tcPr>
          <w:p>
            <w:pPr>
              <w:spacing w:after="0"/>
              <w:rPr>
                <w:sz w:val="1"/>
                <w:szCs w:val="1"/>
                <w:color w:val="auto"/>
              </w:rPr>
            </w:pPr>
          </w:p>
        </w:tc>
      </w:tr>
      <w:tr>
        <w:trPr>
          <w:trHeight w:val="275"/>
        </w:trPr>
        <w:tc>
          <w:tcPr>
            <w:tcW w:w="3320" w:type="dxa"/>
            <w:vAlign w:val="bottom"/>
          </w:tcPr>
          <w:p>
            <w:pPr>
              <w:ind w:left="180"/>
              <w:spacing w:after="0"/>
              <w:rPr>
                <w:sz w:val="20"/>
                <w:szCs w:val="20"/>
                <w:color w:val="auto"/>
              </w:rPr>
            </w:pPr>
            <w:r>
              <w:rPr>
                <w:rFonts w:ascii="Arial" w:cs="Arial" w:eastAsia="Arial" w:hAnsi="Arial"/>
                <w:sz w:val="22"/>
                <w:szCs w:val="22"/>
                <w:color w:val="auto"/>
                <w:w w:val="98"/>
              </w:rPr>
              <w:t>Gain on discontinued operations</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(3,290)</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(3,290)</w:t>
            </w:r>
          </w:p>
        </w:tc>
        <w:tc>
          <w:tcPr>
            <w:tcW w:w="0" w:type="dxa"/>
            <w:vAlign w:val="bottom"/>
          </w:tcPr>
          <w:p>
            <w:pPr>
              <w:spacing w:after="0"/>
              <w:rPr>
                <w:sz w:val="1"/>
                <w:szCs w:val="1"/>
                <w:color w:val="auto"/>
              </w:rPr>
            </w:pPr>
          </w:p>
        </w:tc>
      </w:tr>
      <w:tr>
        <w:trPr>
          <w:trHeight w:val="98"/>
        </w:trPr>
        <w:tc>
          <w:tcPr>
            <w:tcW w:w="33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20" w:type="dxa"/>
            <w:vAlign w:val="bottom"/>
          </w:tcPr>
          <w:p>
            <w:pPr>
              <w:ind w:left="180"/>
              <w:spacing w:after="0"/>
              <w:rPr>
                <w:sz w:val="20"/>
                <w:szCs w:val="20"/>
                <w:color w:val="auto"/>
              </w:rPr>
            </w:pPr>
            <w:r>
              <w:rPr>
                <w:rFonts w:ascii="Arial" w:cs="Arial" w:eastAsia="Arial" w:hAnsi="Arial"/>
                <w:sz w:val="22"/>
                <w:szCs w:val="22"/>
                <w:color w:val="auto"/>
              </w:rPr>
              <w:t>Loss from continuing operations</w:t>
            </w:r>
          </w:p>
        </w:tc>
        <w:tc>
          <w:tcPr>
            <w:tcW w:w="700" w:type="dxa"/>
            <w:vAlign w:val="bottom"/>
          </w:tcPr>
          <w:p>
            <w:pPr>
              <w:jc w:val="right"/>
              <w:spacing w:after="0"/>
              <w:rPr>
                <w:sz w:val="20"/>
                <w:szCs w:val="20"/>
                <w:color w:val="auto"/>
              </w:rPr>
            </w:pPr>
            <w:r>
              <w:rPr>
                <w:rFonts w:ascii="Arial" w:cs="Arial" w:eastAsia="Arial" w:hAnsi="Arial"/>
                <w:sz w:val="22"/>
                <w:szCs w:val="22"/>
                <w:color w:val="auto"/>
              </w:rPr>
              <w:t>3,240</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653</w:t>
            </w:r>
          </w:p>
        </w:tc>
        <w:tc>
          <w:tcPr>
            <w:tcW w:w="18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22"/>
                <w:szCs w:val="22"/>
                <w:color w:val="auto"/>
              </w:rPr>
              <w:t>(598)</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(356)</w:t>
            </w:r>
          </w:p>
        </w:tc>
        <w:tc>
          <w:tcPr>
            <w:tcW w:w="860" w:type="dxa"/>
            <w:vAlign w:val="bottom"/>
          </w:tcPr>
          <w:p>
            <w:pPr>
              <w:jc w:val="right"/>
              <w:spacing w:after="0"/>
              <w:rPr>
                <w:sz w:val="20"/>
                <w:szCs w:val="20"/>
                <w:color w:val="auto"/>
              </w:rPr>
            </w:pPr>
            <w:r>
              <w:rPr>
                <w:rFonts w:ascii="Arial" w:cs="Arial" w:eastAsia="Arial" w:hAnsi="Arial"/>
                <w:sz w:val="22"/>
                <w:szCs w:val="22"/>
                <w:color w:val="auto"/>
              </w:rPr>
              <w:t>1,326</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(4,483)</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(218)</w:t>
            </w:r>
          </w:p>
        </w:tc>
        <w:tc>
          <w:tcPr>
            <w:tcW w:w="0" w:type="dxa"/>
            <w:vAlign w:val="bottom"/>
          </w:tcPr>
          <w:p>
            <w:pPr>
              <w:spacing w:after="0"/>
              <w:rPr>
                <w:sz w:val="1"/>
                <w:szCs w:val="1"/>
                <w:color w:val="auto"/>
              </w:rPr>
            </w:pPr>
          </w:p>
        </w:tc>
      </w:tr>
      <w:tr>
        <w:trPr>
          <w:trHeight w:val="455"/>
        </w:trPr>
        <w:tc>
          <w:tcPr>
            <w:tcW w:w="3320" w:type="dxa"/>
            <w:vAlign w:val="bottom"/>
          </w:tcPr>
          <w:p>
            <w:pPr>
              <w:ind w:left="160"/>
              <w:spacing w:after="0"/>
              <w:rPr>
                <w:sz w:val="20"/>
                <w:szCs w:val="20"/>
                <w:color w:val="auto"/>
              </w:rPr>
            </w:pPr>
            <w:r>
              <w:rPr>
                <w:rFonts w:ascii="Arial" w:cs="Arial" w:eastAsia="Arial" w:hAnsi="Arial"/>
                <w:sz w:val="22"/>
                <w:szCs w:val="22"/>
                <w:color w:val="auto"/>
                <w:w w:val="97"/>
              </w:rPr>
              <w:t>Adjustments to reconcile net loss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from</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continuing operations to net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cash</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w w:val="99"/>
              </w:rPr>
              <w:t>provided by (used in) operating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activities from continuing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operations: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Depreciation</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3,166</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3,166</w:t>
            </w:r>
          </w:p>
        </w:tc>
        <w:tc>
          <w:tcPr>
            <w:tcW w:w="0" w:type="dxa"/>
            <w:vAlign w:val="bottom"/>
          </w:tcPr>
          <w:p>
            <w:pPr>
              <w:spacing w:after="0"/>
              <w:rPr>
                <w:sz w:val="1"/>
                <w:szCs w:val="1"/>
                <w:color w:val="auto"/>
              </w:rPr>
            </w:pPr>
          </w:p>
        </w:tc>
      </w:tr>
      <w:tr>
        <w:trPr>
          <w:trHeight w:val="243"/>
        </w:trPr>
        <w:tc>
          <w:tcPr>
            <w:tcW w:w="3320" w:type="dxa"/>
            <w:vAlign w:val="bottom"/>
          </w:tcPr>
          <w:p>
            <w:pPr>
              <w:ind w:left="260"/>
              <w:spacing w:after="0" w:line="243" w:lineRule="exact"/>
              <w:rPr>
                <w:sz w:val="20"/>
                <w:szCs w:val="20"/>
                <w:color w:val="auto"/>
              </w:rPr>
            </w:pPr>
            <w:r>
              <w:rPr>
                <w:rFonts w:ascii="Arial" w:cs="Arial" w:eastAsia="Arial" w:hAnsi="Arial"/>
                <w:sz w:val="22"/>
                <w:szCs w:val="22"/>
                <w:color w:val="auto"/>
              </w:rPr>
              <w:t>Amortization</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1,272</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1,272</w:t>
            </w: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Non-cash interest (income)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expense, net</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c>
          <w:tcPr>
            <w:tcW w:w="180" w:type="dxa"/>
            <w:vAlign w:val="bottom"/>
          </w:tcPr>
          <w:p>
            <w:pPr>
              <w:spacing w:after="0"/>
              <w:rPr>
                <w:sz w:val="21"/>
                <w:szCs w:val="21"/>
                <w:color w:val="auto"/>
              </w:rPr>
            </w:pPr>
          </w:p>
        </w:tc>
        <w:tc>
          <w:tcPr>
            <w:tcW w:w="9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(141)</w:t>
            </w: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(6)</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(113)</w:t>
            </w: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w w:val="98"/>
              </w:rPr>
              <w:t>Equity in net losses (income) of</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380"/>
              <w:spacing w:after="0" w:line="243" w:lineRule="exact"/>
              <w:rPr>
                <w:sz w:val="20"/>
                <w:szCs w:val="20"/>
                <w:color w:val="auto"/>
              </w:rPr>
            </w:pPr>
            <w:r>
              <w:rPr>
                <w:rFonts w:ascii="Arial" w:cs="Arial" w:eastAsia="Arial" w:hAnsi="Arial"/>
                <w:sz w:val="22"/>
                <w:szCs w:val="22"/>
                <w:color w:val="auto"/>
              </w:rPr>
              <w:t>affiliates</w:t>
            </w:r>
          </w:p>
        </w:tc>
        <w:tc>
          <w:tcPr>
            <w:tcW w:w="8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(3,287)</w:t>
            </w:r>
          </w:p>
        </w:tc>
        <w:tc>
          <w:tcPr>
            <w:tcW w:w="9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(996)</w:t>
            </w:r>
          </w:p>
        </w:tc>
        <w:tc>
          <w:tcPr>
            <w:tcW w:w="90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356</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97</w:t>
            </w: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(593)</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4,483</w:t>
            </w: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60</w:t>
            </w: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Losses (gains) on investments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and other</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380"/>
              <w:spacing w:after="0" w:line="243" w:lineRule="exact"/>
              <w:rPr>
                <w:sz w:val="20"/>
                <w:szCs w:val="20"/>
                <w:color w:val="auto"/>
              </w:rPr>
            </w:pPr>
            <w:r>
              <w:rPr>
                <w:rFonts w:ascii="Arial" w:cs="Arial" w:eastAsia="Arial" w:hAnsi="Arial"/>
                <w:sz w:val="22"/>
                <w:szCs w:val="22"/>
                <w:color w:val="auto"/>
              </w:rPr>
              <w:t>(income) expense, net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145</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145</w:t>
            </w: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Minority interest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Deferred income taxes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820</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820</w:t>
            </w: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Proceeds from sales of trading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securities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85</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85</w:t>
            </w: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w w:val="96"/>
              </w:rPr>
              <w:t>Current tax associated with sale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of</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380"/>
              <w:spacing w:after="0" w:line="243" w:lineRule="exact"/>
              <w:rPr>
                <w:sz w:val="20"/>
                <w:szCs w:val="20"/>
                <w:color w:val="auto"/>
              </w:rPr>
            </w:pPr>
            <w:r>
              <w:rPr>
                <w:rFonts w:ascii="Arial" w:cs="Arial" w:eastAsia="Arial" w:hAnsi="Arial"/>
                <w:sz w:val="22"/>
                <w:szCs w:val="22"/>
                <w:color w:val="auto"/>
              </w:rPr>
              <w:t>discontinued operation</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(2,028)</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(2,028)</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Change in operating assets and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liabilities,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w w:val="96"/>
              </w:rPr>
              <w:t>net of effects of acquisitions and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divestitures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w w:val="98"/>
              </w:rPr>
              <w:t>Change in accounts receivable,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net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(45)</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Change in accounts payable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(45)</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w w:val="93"/>
              </w:rPr>
              <w:t>Change in other operating assets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and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20" w:type="dxa"/>
            <w:vAlign w:val="bottom"/>
          </w:tcPr>
          <w:p>
            <w:pPr>
              <w:ind w:left="380"/>
              <w:spacing w:after="0"/>
              <w:rPr>
                <w:sz w:val="20"/>
                <w:szCs w:val="20"/>
                <w:color w:val="auto"/>
              </w:rPr>
            </w:pPr>
            <w:r>
              <w:rPr>
                <w:rFonts w:ascii="Arial" w:cs="Arial" w:eastAsia="Arial" w:hAnsi="Arial"/>
                <w:sz w:val="22"/>
                <w:szCs w:val="22"/>
                <w:color w:val="auto"/>
              </w:rPr>
              <w:t>liabilities</w:t>
            </w:r>
          </w:p>
        </w:tc>
        <w:tc>
          <w:tcPr>
            <w:tcW w:w="700" w:type="dxa"/>
            <w:vAlign w:val="bottom"/>
          </w:tcPr>
          <w:p>
            <w:pPr>
              <w:jc w:val="right"/>
              <w:spacing w:after="0"/>
              <w:rPr>
                <w:sz w:val="20"/>
                <w:szCs w:val="20"/>
                <w:color w:val="auto"/>
              </w:rPr>
            </w:pPr>
            <w:r>
              <w:rPr>
                <w:rFonts w:ascii="Arial" w:cs="Arial" w:eastAsia="Arial" w:hAnsi="Arial"/>
                <w:sz w:val="22"/>
                <w:szCs w:val="22"/>
                <w:color w:val="auto"/>
              </w:rPr>
              <w:t>176</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48</w:t>
            </w:r>
          </w:p>
        </w:tc>
        <w:tc>
          <w:tcPr>
            <w:tcW w:w="18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22"/>
                <w:szCs w:val="22"/>
                <w:color w:val="auto"/>
              </w:rPr>
              <w:t>121</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(153)</w:t>
            </w: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(482)</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(290)</w:t>
            </w:r>
          </w:p>
        </w:tc>
        <w:tc>
          <w:tcPr>
            <w:tcW w:w="0" w:type="dxa"/>
            <w:vAlign w:val="bottom"/>
          </w:tcPr>
          <w:p>
            <w:pPr>
              <w:spacing w:after="0"/>
              <w:rPr>
                <w:sz w:val="1"/>
                <w:szCs w:val="1"/>
                <w:color w:val="auto"/>
              </w:rPr>
            </w:pPr>
          </w:p>
        </w:tc>
      </w:tr>
      <w:tr>
        <w:trPr>
          <w:trHeight w:val="98"/>
        </w:trPr>
        <w:tc>
          <w:tcPr>
            <w:tcW w:w="3320" w:type="dxa"/>
            <w:vAlign w:val="bottom"/>
            <w:vMerge w:val="restart"/>
          </w:tcPr>
          <w:p>
            <w:pPr>
              <w:ind w:left="280"/>
              <w:spacing w:after="0"/>
              <w:rPr>
                <w:sz w:val="20"/>
                <w:szCs w:val="20"/>
                <w:color w:val="auto"/>
              </w:rPr>
            </w:pPr>
            <w:r>
              <w:rPr>
                <w:rFonts w:ascii="Arial" w:cs="Arial" w:eastAsia="Arial" w:hAnsi="Arial"/>
                <w:sz w:val="22"/>
                <w:szCs w:val="22"/>
                <w:color w:val="auto"/>
              </w:rPr>
              <w:t>Net cash provided by (used in)</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380"/>
              <w:spacing w:after="0" w:line="243" w:lineRule="exact"/>
              <w:rPr>
                <w:sz w:val="20"/>
                <w:szCs w:val="20"/>
                <w:color w:val="auto"/>
              </w:rPr>
            </w:pPr>
            <w:r>
              <w:rPr>
                <w:rFonts w:ascii="Arial" w:cs="Arial" w:eastAsia="Arial" w:hAnsi="Arial"/>
                <w:sz w:val="22"/>
                <w:szCs w:val="22"/>
                <w:color w:val="auto"/>
              </w:rPr>
              <w:t>operating activities from</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20" w:type="dxa"/>
            <w:vAlign w:val="bottom"/>
          </w:tcPr>
          <w:p>
            <w:pPr>
              <w:ind w:left="380"/>
              <w:spacing w:after="0"/>
              <w:rPr>
                <w:sz w:val="20"/>
                <w:szCs w:val="20"/>
                <w:color w:val="auto"/>
              </w:rPr>
            </w:pPr>
            <w:r>
              <w:rPr>
                <w:rFonts w:ascii="Arial" w:cs="Arial" w:eastAsia="Arial" w:hAnsi="Arial"/>
                <w:sz w:val="22"/>
                <w:szCs w:val="22"/>
                <w:color w:val="auto"/>
              </w:rPr>
              <w:t>continuing operations</w:t>
            </w:r>
          </w:p>
        </w:tc>
        <w:tc>
          <w:tcPr>
            <w:tcW w:w="700" w:type="dxa"/>
            <w:vAlign w:val="bottom"/>
          </w:tcPr>
          <w:p>
            <w:pPr>
              <w:jc w:val="right"/>
              <w:spacing w:after="0"/>
              <w:rPr>
                <w:sz w:val="20"/>
                <w:szCs w:val="20"/>
                <w:color w:val="auto"/>
              </w:rPr>
            </w:pPr>
            <w:r>
              <w:rPr>
                <w:rFonts w:ascii="Arial" w:cs="Arial" w:eastAsia="Arial" w:hAnsi="Arial"/>
                <w:sz w:val="22"/>
                <w:szCs w:val="22"/>
                <w:color w:val="auto"/>
              </w:rPr>
              <w:t>165</w:t>
            </w:r>
          </w:p>
        </w:tc>
        <w:tc>
          <w:tcPr>
            <w:tcW w:w="18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22"/>
                <w:szCs w:val="22"/>
                <w:color w:val="auto"/>
              </w:rPr>
              <w:t>(297)</w:t>
            </w:r>
          </w:p>
        </w:tc>
        <w:tc>
          <w:tcPr>
            <w:tcW w:w="900" w:type="dxa"/>
            <w:vAlign w:val="bottom"/>
            <w:gridSpan w:val="2"/>
          </w:tcPr>
          <w:p>
            <w:pPr>
              <w:jc w:val="right"/>
              <w:ind w:right="120"/>
              <w:spacing w:after="0"/>
              <w:rPr>
                <w:sz w:val="20"/>
                <w:szCs w:val="20"/>
                <w:color w:val="auto"/>
              </w:rPr>
            </w:pPr>
            <w:r>
              <w:rPr>
                <w:rFonts w:ascii="Arial" w:cs="Arial" w:eastAsia="Arial" w:hAnsi="Arial"/>
                <w:sz w:val="22"/>
                <w:szCs w:val="22"/>
                <w:color w:val="auto"/>
              </w:rPr>
              <w:t>(121)</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(553)</w:t>
            </w:r>
          </w:p>
        </w:tc>
        <w:tc>
          <w:tcPr>
            <w:tcW w:w="860" w:type="dxa"/>
            <w:vAlign w:val="bottom"/>
          </w:tcPr>
          <w:p>
            <w:pPr>
              <w:jc w:val="right"/>
              <w:spacing w:after="0"/>
              <w:rPr>
                <w:sz w:val="20"/>
                <w:szCs w:val="20"/>
                <w:color w:val="auto"/>
              </w:rPr>
            </w:pPr>
            <w:r>
              <w:rPr>
                <w:rFonts w:ascii="Arial" w:cs="Arial" w:eastAsia="Arial" w:hAnsi="Arial"/>
                <w:sz w:val="22"/>
                <w:szCs w:val="22"/>
                <w:color w:val="auto"/>
              </w:rPr>
              <w:t>3,660</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2,854</w:t>
            </w:r>
          </w:p>
        </w:tc>
        <w:tc>
          <w:tcPr>
            <w:tcW w:w="0" w:type="dxa"/>
            <w:vAlign w:val="bottom"/>
          </w:tcPr>
          <w:p>
            <w:pPr>
              <w:spacing w:after="0"/>
              <w:rPr>
                <w:sz w:val="1"/>
                <w:szCs w:val="1"/>
                <w:color w:val="auto"/>
              </w:rPr>
            </w:pPr>
          </w:p>
        </w:tc>
      </w:tr>
      <w:tr>
        <w:trPr>
          <w:trHeight w:val="98"/>
        </w:trPr>
        <w:tc>
          <w:tcPr>
            <w:tcW w:w="3320" w:type="dxa"/>
            <w:vAlign w:val="bottom"/>
            <w:vMerge w:val="restart"/>
          </w:tcPr>
          <w:p>
            <w:pPr>
              <w:spacing w:after="0"/>
              <w:rPr>
                <w:sz w:val="20"/>
                <w:szCs w:val="20"/>
                <w:color w:val="auto"/>
              </w:rPr>
            </w:pPr>
            <w:r>
              <w:rPr>
                <w:rFonts w:ascii="Arial" w:cs="Arial" w:eastAsia="Arial" w:hAnsi="Arial"/>
                <w:sz w:val="22"/>
                <w:szCs w:val="22"/>
                <w:color w:val="auto"/>
              </w:rPr>
              <w:t>FINANCING ACTIVITIES</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Proceeds from borrowings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8,138</w:t>
            </w: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1,150</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110</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9,398</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Retirements and repayments of</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debt</w:t>
            </w:r>
          </w:p>
        </w:tc>
        <w:tc>
          <w:tcPr>
            <w:tcW w:w="8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(4,830)</w:t>
            </w:r>
          </w:p>
        </w:tc>
        <w:tc>
          <w:tcPr>
            <w:tcW w:w="9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(2,104)</w:t>
            </w:r>
          </w:p>
        </w:tc>
        <w:tc>
          <w:tcPr>
            <w:tcW w:w="9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(6,250)</w:t>
            </w: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(2,407)</w:t>
            </w: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(874)</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(16,465)</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w w:val="99"/>
              </w:rPr>
              <w:t>Issuances of common stock and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sales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w w:val="97"/>
              </w:rPr>
              <w:t>of put options on common stock</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67</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Repurchases of common stock</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(14)</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75"/>
        </w:trPr>
        <w:tc>
          <w:tcPr>
            <w:tcW w:w="3320" w:type="dxa"/>
            <w:vAlign w:val="bottom"/>
          </w:tcPr>
          <w:p>
            <w:pPr>
              <w:ind w:left="180"/>
              <w:spacing w:after="0"/>
              <w:rPr>
                <w:sz w:val="20"/>
                <w:szCs w:val="20"/>
                <w:color w:val="auto"/>
              </w:rPr>
            </w:pPr>
            <w:r>
              <w:rPr>
                <w:rFonts w:ascii="Arial" w:cs="Arial" w:eastAsia="Arial" w:hAnsi="Arial"/>
                <w:sz w:val="22"/>
                <w:szCs w:val="22"/>
                <w:color w:val="auto"/>
              </w:rPr>
              <w:t>Deferred financing costs</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(34)</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(34)</w:t>
            </w:r>
          </w:p>
        </w:tc>
        <w:tc>
          <w:tcPr>
            <w:tcW w:w="0" w:type="dxa"/>
            <w:vAlign w:val="bottom"/>
          </w:tcPr>
          <w:p>
            <w:pPr>
              <w:spacing w:after="0"/>
              <w:rPr>
                <w:sz w:val="1"/>
                <w:szCs w:val="1"/>
                <w:color w:val="auto"/>
              </w:rPr>
            </w:pPr>
          </w:p>
        </w:tc>
      </w:tr>
      <w:tr>
        <w:trPr>
          <w:trHeight w:val="98"/>
        </w:trPr>
        <w:tc>
          <w:tcPr>
            <w:tcW w:w="3320" w:type="dxa"/>
            <w:vAlign w:val="bottom"/>
            <w:vMerge w:val="restart"/>
          </w:tcPr>
          <w:p>
            <w:pPr>
              <w:ind w:left="280"/>
              <w:spacing w:after="0"/>
              <w:rPr>
                <w:sz w:val="20"/>
                <w:szCs w:val="20"/>
                <w:color w:val="auto"/>
              </w:rPr>
            </w:pPr>
            <w:r>
              <w:rPr>
                <w:rFonts w:ascii="Arial" w:cs="Arial" w:eastAsia="Arial" w:hAnsi="Arial"/>
                <w:sz w:val="22"/>
                <w:szCs w:val="22"/>
                <w:color w:val="auto"/>
              </w:rPr>
              <w:t>Net cash (used in) provided by</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380"/>
              <w:spacing w:after="0" w:line="243" w:lineRule="exact"/>
              <w:rPr>
                <w:sz w:val="20"/>
                <w:szCs w:val="20"/>
                <w:color w:val="auto"/>
              </w:rPr>
            </w:pPr>
            <w:r>
              <w:rPr>
                <w:rFonts w:ascii="Arial" w:cs="Arial" w:eastAsia="Arial" w:hAnsi="Arial"/>
                <w:sz w:val="22"/>
                <w:szCs w:val="22"/>
                <w:color w:val="auto"/>
              </w:rPr>
              <w:t>financing activities from</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20" w:type="dxa"/>
            <w:vAlign w:val="bottom"/>
          </w:tcPr>
          <w:p>
            <w:pPr>
              <w:ind w:left="380"/>
              <w:spacing w:after="0"/>
              <w:rPr>
                <w:sz w:val="20"/>
                <w:szCs w:val="20"/>
                <w:color w:val="auto"/>
              </w:rPr>
            </w:pPr>
            <w:r>
              <w:rPr>
                <w:rFonts w:ascii="Arial" w:cs="Arial" w:eastAsia="Arial" w:hAnsi="Arial"/>
                <w:sz w:val="22"/>
                <w:szCs w:val="22"/>
                <w:color w:val="auto"/>
              </w:rPr>
              <w:t>continuing operations</w:t>
            </w:r>
          </w:p>
        </w:tc>
        <w:tc>
          <w:tcPr>
            <w:tcW w:w="700" w:type="dxa"/>
            <w:vAlign w:val="bottom"/>
          </w:tcPr>
          <w:p>
            <w:pPr>
              <w:jc w:val="right"/>
              <w:spacing w:after="0"/>
              <w:rPr>
                <w:sz w:val="20"/>
                <w:szCs w:val="20"/>
                <w:color w:val="auto"/>
              </w:rPr>
            </w:pPr>
            <w:r>
              <w:rPr>
                <w:rFonts w:ascii="Arial" w:cs="Arial" w:eastAsia="Arial" w:hAnsi="Arial"/>
                <w:sz w:val="22"/>
                <w:szCs w:val="22"/>
                <w:color w:val="auto"/>
              </w:rPr>
              <w:t>3,308</w:t>
            </w:r>
          </w:p>
        </w:tc>
        <w:tc>
          <w:tcPr>
            <w:tcW w:w="18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22"/>
                <w:szCs w:val="22"/>
                <w:color w:val="auto"/>
              </w:rPr>
              <w:t>(954)</w:t>
            </w:r>
          </w:p>
        </w:tc>
        <w:tc>
          <w:tcPr>
            <w:tcW w:w="900" w:type="dxa"/>
            <w:vAlign w:val="bottom"/>
            <w:gridSpan w:val="2"/>
          </w:tcPr>
          <w:p>
            <w:pPr>
              <w:jc w:val="right"/>
              <w:ind w:right="120"/>
              <w:spacing w:after="0"/>
              <w:rPr>
                <w:sz w:val="20"/>
                <w:szCs w:val="20"/>
                <w:color w:val="auto"/>
              </w:rPr>
            </w:pPr>
            <w:r>
              <w:rPr>
                <w:rFonts w:ascii="Arial" w:cs="Arial" w:eastAsia="Arial" w:hAnsi="Arial"/>
                <w:sz w:val="22"/>
                <w:szCs w:val="22"/>
                <w:color w:val="auto"/>
              </w:rPr>
              <w:t>(6,250)</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(2,407)</w:t>
            </w: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(745)</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(7,048)</w:t>
            </w:r>
          </w:p>
        </w:tc>
        <w:tc>
          <w:tcPr>
            <w:tcW w:w="0" w:type="dxa"/>
            <w:vAlign w:val="bottom"/>
          </w:tcPr>
          <w:p>
            <w:pPr>
              <w:spacing w:after="0"/>
              <w:rPr>
                <w:sz w:val="1"/>
                <w:szCs w:val="1"/>
                <w:color w:val="auto"/>
              </w:rPr>
            </w:pPr>
          </w:p>
        </w:tc>
      </w:tr>
      <w:tr>
        <w:trPr>
          <w:trHeight w:val="98"/>
        </w:trPr>
        <w:tc>
          <w:tcPr>
            <w:tcW w:w="3320" w:type="dxa"/>
            <w:vAlign w:val="bottom"/>
            <w:vMerge w:val="restart"/>
          </w:tcPr>
          <w:p>
            <w:pPr>
              <w:spacing w:after="0"/>
              <w:rPr>
                <w:sz w:val="20"/>
                <w:szCs w:val="20"/>
                <w:color w:val="auto"/>
              </w:rPr>
            </w:pPr>
            <w:r>
              <w:rPr>
                <w:rFonts w:ascii="Arial" w:cs="Arial" w:eastAsia="Arial" w:hAnsi="Arial"/>
                <w:sz w:val="22"/>
                <w:szCs w:val="22"/>
                <w:color w:val="auto"/>
              </w:rPr>
              <w:t>INVESTING ACTIVITIES</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Net transactions with affiliates</w:t>
            </w:r>
          </w:p>
        </w:tc>
        <w:tc>
          <w:tcPr>
            <w:tcW w:w="8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(3,473)</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1,251</w:t>
            </w:r>
          </w:p>
        </w:tc>
        <w:tc>
          <w:tcPr>
            <w:tcW w:w="180" w:type="dxa"/>
            <w:vAlign w:val="bottom"/>
          </w:tcPr>
          <w:p>
            <w:pPr>
              <w:spacing w:after="0"/>
              <w:rPr>
                <w:sz w:val="21"/>
                <w:szCs w:val="21"/>
                <w:color w:val="auto"/>
              </w:rPr>
            </w:pPr>
          </w:p>
        </w:tc>
        <w:tc>
          <w:tcPr>
            <w:tcW w:w="90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6,371</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2,960</w:t>
            </w: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(7,109)</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60"/>
              <w:spacing w:after="0" w:line="243" w:lineRule="exact"/>
              <w:rPr>
                <w:sz w:val="20"/>
                <w:szCs w:val="20"/>
                <w:color w:val="auto"/>
              </w:rPr>
            </w:pPr>
            <w:r>
              <w:rPr>
                <w:rFonts w:ascii="Arial" w:cs="Arial" w:eastAsia="Arial" w:hAnsi="Arial"/>
                <w:sz w:val="22"/>
                <w:szCs w:val="22"/>
                <w:color w:val="auto"/>
                <w:w w:val="95"/>
              </w:rPr>
              <w:t>Acquisitions, net of cash acquired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(152)</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(152)</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w w:val="91"/>
              </w:rPr>
              <w:t>Proceeds from sales of (purchases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20" w:type="dxa"/>
            <w:vAlign w:val="bottom"/>
          </w:tcPr>
          <w:p>
            <w:pPr>
              <w:spacing w:after="0"/>
              <w:rPr>
                <w:sz w:val="20"/>
                <w:szCs w:val="20"/>
                <w:color w:val="auto"/>
              </w:rPr>
            </w:pPr>
            <w:r>
              <w:rPr>
                <w:rFonts w:ascii="Arial" w:cs="Arial" w:eastAsia="Arial" w:hAnsi="Arial"/>
                <w:sz w:val="22"/>
                <w:szCs w:val="22"/>
                <w:color w:val="auto"/>
              </w:rPr>
              <w:t>of)</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08" w:right="1440" w:bottom="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20" w:type="dxa"/>
            <w:vAlign w:val="bottom"/>
          </w:tcPr>
          <w:p>
            <w:pPr>
              <w:ind w:left="280"/>
              <w:spacing w:after="0"/>
              <w:rPr>
                <w:sz w:val="20"/>
                <w:szCs w:val="20"/>
                <w:color w:val="auto"/>
              </w:rPr>
            </w:pPr>
            <w:r>
              <w:rPr>
                <w:rFonts w:ascii="Arial" w:cs="Arial" w:eastAsia="Arial" w:hAnsi="Arial"/>
                <w:sz w:val="22"/>
                <w:szCs w:val="22"/>
                <w:color w:val="auto"/>
              </w:rPr>
              <w:t>short-term investments, net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22"/>
                <w:szCs w:val="22"/>
                <w:color w:val="auto"/>
              </w:rPr>
              <w:t>(32)</w:t>
            </w:r>
          </w:p>
        </w:tc>
        <w:tc>
          <w:tcPr>
            <w:tcW w:w="98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Proceeds from sale of</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discontinued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operations and assets held for</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sale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1,875</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1,875</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Capital contributions to and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purchases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of investments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(202)</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(202)</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w w:val="95"/>
              </w:rPr>
              <w:t>Proceeds from sales, settlements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and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restructuring of investments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7,971</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7,971</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Capital expenditures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(4,161)</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(4,161)</w:t>
            </w:r>
          </w:p>
        </w:tc>
        <w:tc>
          <w:tcPr>
            <w:tcW w:w="0" w:type="dxa"/>
            <w:vAlign w:val="bottom"/>
          </w:tcPr>
          <w:p>
            <w:pPr>
              <w:spacing w:after="0"/>
              <w:rPr>
                <w:sz w:val="1"/>
                <w:szCs w:val="1"/>
                <w:color w:val="auto"/>
              </w:rPr>
            </w:pPr>
          </w:p>
        </w:tc>
      </w:tr>
      <w:tr>
        <w:trPr>
          <w:trHeight w:val="243"/>
        </w:trPr>
        <w:tc>
          <w:tcPr>
            <w:tcW w:w="3320" w:type="dxa"/>
            <w:vAlign w:val="bottom"/>
          </w:tcPr>
          <w:p>
            <w:pPr>
              <w:ind w:left="160"/>
              <w:spacing w:after="0" w:line="243" w:lineRule="exact"/>
              <w:rPr>
                <w:sz w:val="20"/>
                <w:szCs w:val="20"/>
                <w:color w:val="auto"/>
              </w:rPr>
            </w:pPr>
            <w:r>
              <w:rPr>
                <w:rFonts w:ascii="Arial" w:cs="Arial" w:eastAsia="Arial" w:hAnsi="Arial"/>
                <w:sz w:val="22"/>
                <w:szCs w:val="22"/>
                <w:color w:val="auto"/>
                <w:w w:val="99"/>
              </w:rPr>
              <w:t>Additions to intangible and other</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noncurrent assets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(155)</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(155)</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Proceeds from settlement of</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contract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20" w:type="dxa"/>
            <w:vAlign w:val="bottom"/>
          </w:tcPr>
          <w:p>
            <w:pPr>
              <w:ind w:left="280"/>
              <w:spacing w:after="0"/>
              <w:rPr>
                <w:sz w:val="20"/>
                <w:szCs w:val="20"/>
                <w:color w:val="auto"/>
              </w:rPr>
            </w:pPr>
            <w:r>
              <w:rPr>
                <w:rFonts w:ascii="Arial" w:cs="Arial" w:eastAsia="Arial" w:hAnsi="Arial"/>
                <w:sz w:val="22"/>
                <w:szCs w:val="22"/>
                <w:color w:val="auto"/>
              </w:rPr>
              <w:t>of acquired company</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95</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95</w:t>
            </w:r>
          </w:p>
        </w:tc>
        <w:tc>
          <w:tcPr>
            <w:tcW w:w="0" w:type="dxa"/>
            <w:vAlign w:val="bottom"/>
          </w:tcPr>
          <w:p>
            <w:pPr>
              <w:spacing w:after="0"/>
              <w:rPr>
                <w:sz w:val="1"/>
                <w:szCs w:val="1"/>
                <w:color w:val="auto"/>
              </w:rPr>
            </w:pPr>
          </w:p>
        </w:tc>
      </w:tr>
      <w:tr>
        <w:trPr>
          <w:trHeight w:val="98"/>
        </w:trPr>
        <w:tc>
          <w:tcPr>
            <w:tcW w:w="3320" w:type="dxa"/>
            <w:vAlign w:val="bottom"/>
            <w:vMerge w:val="restart"/>
          </w:tcPr>
          <w:p>
            <w:pPr>
              <w:ind w:left="280"/>
              <w:spacing w:after="0"/>
              <w:rPr>
                <w:sz w:val="20"/>
                <w:szCs w:val="20"/>
                <w:color w:val="auto"/>
              </w:rPr>
            </w:pPr>
            <w:r>
              <w:rPr>
                <w:rFonts w:ascii="Arial" w:cs="Arial" w:eastAsia="Arial" w:hAnsi="Arial"/>
                <w:sz w:val="22"/>
                <w:szCs w:val="22"/>
                <w:color w:val="auto"/>
              </w:rPr>
              <w:t>Net cash provided by (used in)</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380"/>
              <w:spacing w:after="0" w:line="243" w:lineRule="exact"/>
              <w:rPr>
                <w:sz w:val="20"/>
                <w:szCs w:val="20"/>
                <w:color w:val="auto"/>
              </w:rPr>
            </w:pPr>
            <w:r>
              <w:rPr>
                <w:rFonts w:ascii="Arial" w:cs="Arial" w:eastAsia="Arial" w:hAnsi="Arial"/>
                <w:sz w:val="22"/>
                <w:szCs w:val="22"/>
                <w:color w:val="auto"/>
              </w:rPr>
              <w:t>investing activities from</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20" w:type="dxa"/>
            <w:vAlign w:val="bottom"/>
          </w:tcPr>
          <w:p>
            <w:pPr>
              <w:ind w:left="380"/>
              <w:spacing w:after="0"/>
              <w:rPr>
                <w:sz w:val="20"/>
                <w:szCs w:val="20"/>
                <w:color w:val="auto"/>
              </w:rPr>
            </w:pPr>
            <w:r>
              <w:rPr>
                <w:rFonts w:ascii="Arial" w:cs="Arial" w:eastAsia="Arial" w:hAnsi="Arial"/>
                <w:sz w:val="22"/>
                <w:szCs w:val="22"/>
                <w:color w:val="auto"/>
              </w:rPr>
              <w:t>continuing operations</w:t>
            </w:r>
          </w:p>
        </w:tc>
        <w:tc>
          <w:tcPr>
            <w:tcW w:w="880" w:type="dxa"/>
            <w:vAlign w:val="bottom"/>
            <w:gridSpan w:val="2"/>
          </w:tcPr>
          <w:p>
            <w:pPr>
              <w:jc w:val="right"/>
              <w:ind w:right="100"/>
              <w:spacing w:after="0"/>
              <w:rPr>
                <w:sz w:val="20"/>
                <w:szCs w:val="20"/>
                <w:color w:val="auto"/>
              </w:rPr>
            </w:pPr>
            <w:r>
              <w:rPr>
                <w:rFonts w:ascii="Arial" w:cs="Arial" w:eastAsia="Arial" w:hAnsi="Arial"/>
                <w:sz w:val="22"/>
                <w:szCs w:val="22"/>
                <w:color w:val="auto"/>
              </w:rPr>
              <w:t>(3,473)</w:t>
            </w:r>
          </w:p>
        </w:tc>
        <w:tc>
          <w:tcPr>
            <w:tcW w:w="720" w:type="dxa"/>
            <w:vAlign w:val="bottom"/>
          </w:tcPr>
          <w:p>
            <w:pPr>
              <w:jc w:val="right"/>
              <w:spacing w:after="0"/>
              <w:rPr>
                <w:sz w:val="20"/>
                <w:szCs w:val="20"/>
                <w:color w:val="auto"/>
              </w:rPr>
            </w:pPr>
            <w:r>
              <w:rPr>
                <w:rFonts w:ascii="Arial" w:cs="Arial" w:eastAsia="Arial" w:hAnsi="Arial"/>
                <w:sz w:val="22"/>
                <w:szCs w:val="22"/>
                <w:color w:val="auto"/>
              </w:rPr>
              <w:t>1,251</w:t>
            </w:r>
          </w:p>
        </w:tc>
        <w:tc>
          <w:tcPr>
            <w:tcW w:w="980" w:type="dxa"/>
            <w:vAlign w:val="bottom"/>
            <w:gridSpan w:val="3"/>
          </w:tcPr>
          <w:p>
            <w:pPr>
              <w:jc w:val="right"/>
              <w:ind w:right="100"/>
              <w:spacing w:after="0"/>
              <w:rPr>
                <w:sz w:val="20"/>
                <w:szCs w:val="20"/>
                <w:color w:val="auto"/>
              </w:rPr>
            </w:pPr>
            <w:r>
              <w:rPr>
                <w:rFonts w:ascii="Arial" w:cs="Arial" w:eastAsia="Arial" w:hAnsi="Arial"/>
                <w:sz w:val="22"/>
                <w:szCs w:val="22"/>
                <w:color w:val="auto"/>
              </w:rPr>
              <w:t>6,371</w:t>
            </w:r>
          </w:p>
        </w:tc>
        <w:tc>
          <w:tcPr>
            <w:tcW w:w="840" w:type="dxa"/>
            <w:vAlign w:val="bottom"/>
            <w:gridSpan w:val="2"/>
          </w:tcPr>
          <w:p>
            <w:pPr>
              <w:jc w:val="right"/>
              <w:spacing w:after="0"/>
              <w:rPr>
                <w:sz w:val="20"/>
                <w:szCs w:val="20"/>
                <w:color w:val="auto"/>
              </w:rPr>
            </w:pPr>
            <w:r>
              <w:rPr>
                <w:rFonts w:ascii="Arial" w:cs="Arial" w:eastAsia="Arial" w:hAnsi="Arial"/>
                <w:sz w:val="22"/>
                <w:szCs w:val="22"/>
                <w:color w:val="auto"/>
              </w:rPr>
              <w:t>2,960</w:t>
            </w:r>
          </w:p>
        </w:tc>
        <w:tc>
          <w:tcPr>
            <w:tcW w:w="1240" w:type="dxa"/>
            <w:vAlign w:val="bottom"/>
            <w:gridSpan w:val="3"/>
          </w:tcPr>
          <w:p>
            <w:pPr>
              <w:jc w:val="right"/>
              <w:ind w:right="120"/>
              <w:spacing w:after="0"/>
              <w:rPr>
                <w:sz w:val="20"/>
                <w:szCs w:val="20"/>
                <w:color w:val="auto"/>
              </w:rPr>
            </w:pPr>
            <w:r>
              <w:rPr>
                <w:rFonts w:ascii="Arial" w:cs="Arial" w:eastAsia="Arial" w:hAnsi="Arial"/>
                <w:sz w:val="22"/>
                <w:szCs w:val="22"/>
                <w:color w:val="auto"/>
              </w:rPr>
              <w:t>(1,870)</w:t>
            </w: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5,239</w:t>
            </w:r>
          </w:p>
        </w:tc>
        <w:tc>
          <w:tcPr>
            <w:tcW w:w="0" w:type="dxa"/>
            <w:vAlign w:val="bottom"/>
          </w:tcPr>
          <w:p>
            <w:pPr>
              <w:spacing w:after="0"/>
              <w:rPr>
                <w:sz w:val="1"/>
                <w:szCs w:val="1"/>
                <w:color w:val="auto"/>
              </w:rPr>
            </w:pPr>
          </w:p>
        </w:tc>
      </w:tr>
      <w:tr>
        <w:trPr>
          <w:trHeight w:val="98"/>
        </w:trPr>
        <w:tc>
          <w:tcPr>
            <w:tcW w:w="3320" w:type="dxa"/>
            <w:vAlign w:val="bottom"/>
            <w:vMerge w:val="restart"/>
          </w:tcPr>
          <w:p>
            <w:pPr>
              <w:spacing w:after="0"/>
              <w:rPr>
                <w:sz w:val="20"/>
                <w:szCs w:val="20"/>
                <w:color w:val="auto"/>
              </w:rPr>
            </w:pPr>
            <w:r>
              <w:rPr>
                <w:rFonts w:ascii="Arial" w:cs="Arial" w:eastAsia="Arial" w:hAnsi="Arial"/>
                <w:sz w:val="22"/>
                <w:szCs w:val="22"/>
                <w:color w:val="auto"/>
              </w:rPr>
              <w:t>INCREASE IN CASH AND</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CASH</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60"/>
              <w:spacing w:after="0" w:line="243" w:lineRule="exact"/>
              <w:rPr>
                <w:sz w:val="20"/>
                <w:szCs w:val="20"/>
                <w:color w:val="auto"/>
              </w:rPr>
            </w:pPr>
            <w:r>
              <w:rPr>
                <w:rFonts w:ascii="Arial" w:cs="Arial" w:eastAsia="Arial" w:hAnsi="Arial"/>
                <w:sz w:val="22"/>
                <w:szCs w:val="22"/>
                <w:color w:val="auto"/>
              </w:rPr>
              <w:t>EQUIVALENTS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1,045</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1,045</w:t>
            </w: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CASH AND CASH</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EQUIVALENTS,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20" w:type="dxa"/>
            <w:vAlign w:val="bottom"/>
          </w:tcPr>
          <w:p>
            <w:pPr>
              <w:ind w:left="180"/>
              <w:spacing w:after="0"/>
              <w:rPr>
                <w:sz w:val="20"/>
                <w:szCs w:val="20"/>
                <w:color w:val="auto"/>
              </w:rPr>
            </w:pPr>
            <w:r>
              <w:rPr>
                <w:rFonts w:ascii="Arial" w:cs="Arial" w:eastAsia="Arial" w:hAnsi="Arial"/>
                <w:sz w:val="22"/>
                <w:szCs w:val="22"/>
                <w:color w:val="auto"/>
              </w:rPr>
              <w:t>beginning of year</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505</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505</w:t>
            </w:r>
          </w:p>
        </w:tc>
        <w:tc>
          <w:tcPr>
            <w:tcW w:w="0" w:type="dxa"/>
            <w:vAlign w:val="bottom"/>
          </w:tcPr>
          <w:p>
            <w:pPr>
              <w:spacing w:after="0"/>
              <w:rPr>
                <w:sz w:val="1"/>
                <w:szCs w:val="1"/>
                <w:color w:val="auto"/>
              </w:rPr>
            </w:pPr>
          </w:p>
        </w:tc>
      </w:tr>
      <w:tr>
        <w:trPr>
          <w:trHeight w:val="98"/>
        </w:trPr>
        <w:tc>
          <w:tcPr>
            <w:tcW w:w="3320" w:type="dxa"/>
            <w:vAlign w:val="bottom"/>
            <w:vMerge w:val="restart"/>
          </w:tcPr>
          <w:p>
            <w:pPr>
              <w:spacing w:after="0"/>
              <w:rPr>
                <w:sz w:val="20"/>
                <w:szCs w:val="20"/>
                <w:color w:val="auto"/>
              </w:rPr>
            </w:pPr>
            <w:r>
              <w:rPr>
                <w:rFonts w:ascii="Arial" w:cs="Arial" w:eastAsia="Arial" w:hAnsi="Arial"/>
                <w:sz w:val="22"/>
                <w:szCs w:val="22"/>
                <w:color w:val="auto"/>
              </w:rPr>
              <w:t>CASH AND CASH</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EQUIVALENTS,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20" w:type="dxa"/>
            <w:vAlign w:val="bottom"/>
          </w:tcPr>
          <w:p>
            <w:pPr>
              <w:ind w:left="180"/>
              <w:spacing w:after="0"/>
              <w:rPr>
                <w:sz w:val="20"/>
                <w:szCs w:val="20"/>
                <w:color w:val="auto"/>
              </w:rPr>
            </w:pPr>
            <w:r>
              <w:rPr>
                <w:rFonts w:ascii="Arial" w:cs="Arial" w:eastAsia="Arial" w:hAnsi="Arial"/>
                <w:sz w:val="22"/>
                <w:szCs w:val="22"/>
                <w:color w:val="auto"/>
              </w:rPr>
              <w:t>end of year</w:t>
            </w:r>
          </w:p>
        </w:tc>
        <w:tc>
          <w:tcPr>
            <w:tcW w:w="700" w:type="dxa"/>
            <w:vAlign w:val="bottom"/>
          </w:tcPr>
          <w:p>
            <w:pPr>
              <w:jc w:val="right"/>
              <w:ind w:right="497"/>
              <w:spacing w:after="0"/>
              <w:rPr>
                <w:sz w:val="20"/>
                <w:szCs w:val="20"/>
                <w:color w:val="auto"/>
              </w:rPr>
            </w:pPr>
            <w:r>
              <w:rPr>
                <w:rFonts w:ascii="Arial" w:cs="Arial" w:eastAsia="Arial" w:hAnsi="Arial"/>
                <w:sz w:val="19"/>
                <w:szCs w:val="19"/>
                <w:color w:val="auto"/>
                <w:w w:val="75"/>
              </w:rPr>
              <w:t>$</w:t>
            </w:r>
          </w:p>
        </w:tc>
        <w:tc>
          <w:tcPr>
            <w:tcW w:w="180" w:type="dxa"/>
            <w:vAlign w:val="bottom"/>
          </w:tcPr>
          <w:p>
            <w:pPr>
              <w:spacing w:after="0"/>
              <w:rPr>
                <w:sz w:val="23"/>
                <w:szCs w:val="23"/>
                <w:color w:val="auto"/>
              </w:rPr>
            </w:pPr>
          </w:p>
        </w:tc>
        <w:tc>
          <w:tcPr>
            <w:tcW w:w="720" w:type="dxa"/>
            <w:vAlign w:val="bottom"/>
          </w:tcPr>
          <w:p>
            <w:pPr>
              <w:jc w:val="right"/>
              <w:ind w:right="492"/>
              <w:spacing w:after="0"/>
              <w:rPr>
                <w:sz w:val="20"/>
                <w:szCs w:val="20"/>
                <w:color w:val="auto"/>
              </w:rPr>
            </w:pPr>
            <w:r>
              <w:rPr>
                <w:rFonts w:ascii="Arial" w:cs="Arial" w:eastAsia="Arial" w:hAnsi="Arial"/>
                <w:sz w:val="22"/>
                <w:szCs w:val="22"/>
                <w:color w:val="auto"/>
                <w:w w:val="81"/>
              </w:rPr>
              <w:t>$</w:t>
            </w:r>
          </w:p>
        </w:tc>
        <w:tc>
          <w:tcPr>
            <w:tcW w:w="880" w:type="dxa"/>
            <w:vAlign w:val="bottom"/>
            <w:gridSpan w:val="2"/>
          </w:tcPr>
          <w:p>
            <w:pPr>
              <w:jc w:val="right"/>
              <w:ind w:right="600"/>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640"/>
              <w:spacing w:after="0"/>
              <w:rPr>
                <w:sz w:val="20"/>
                <w:szCs w:val="20"/>
                <w:color w:val="auto"/>
              </w:rPr>
            </w:pPr>
            <w:r>
              <w:rPr>
                <w:rFonts w:ascii="Arial" w:cs="Arial" w:eastAsia="Arial" w:hAnsi="Arial"/>
                <w:sz w:val="22"/>
                <w:szCs w:val="22"/>
                <w:color w:val="auto"/>
              </w:rPr>
              <w:t>$</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$1,550</w:t>
            </w:r>
          </w:p>
        </w:tc>
        <w:tc>
          <w:tcPr>
            <w:tcW w:w="200" w:type="dxa"/>
            <w:vAlign w:val="bottom"/>
          </w:tcPr>
          <w:p>
            <w:pPr>
              <w:spacing w:after="0"/>
              <w:rPr>
                <w:sz w:val="23"/>
                <w:szCs w:val="23"/>
                <w:color w:val="auto"/>
              </w:rPr>
            </w:pPr>
          </w:p>
        </w:tc>
        <w:tc>
          <w:tcPr>
            <w:tcW w:w="980" w:type="dxa"/>
            <w:vAlign w:val="bottom"/>
          </w:tcPr>
          <w:p>
            <w:pPr>
              <w:jc w:val="right"/>
              <w:ind w:right="783"/>
              <w:spacing w:after="0"/>
              <w:rPr>
                <w:sz w:val="20"/>
                <w:szCs w:val="20"/>
                <w:color w:val="auto"/>
              </w:rPr>
            </w:pPr>
            <w:r>
              <w:rPr>
                <w:rFonts w:ascii="Arial" w:cs="Arial" w:eastAsia="Arial" w:hAnsi="Arial"/>
                <w:sz w:val="19"/>
                <w:szCs w:val="19"/>
                <w:color w:val="auto"/>
                <w:w w:val="75"/>
              </w:rPr>
              <w:t>$</w:t>
            </w: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$1,550</w:t>
            </w:r>
          </w:p>
        </w:tc>
        <w:tc>
          <w:tcPr>
            <w:tcW w:w="0" w:type="dxa"/>
            <w:vAlign w:val="bottom"/>
          </w:tcPr>
          <w:p>
            <w:pPr>
              <w:spacing w:after="0"/>
              <w:rPr>
                <w:sz w:val="1"/>
                <w:szCs w:val="1"/>
                <w:color w:val="auto"/>
              </w:rPr>
            </w:pPr>
          </w:p>
        </w:tc>
      </w:tr>
      <w:tr>
        <w:trPr>
          <w:trHeight w:val="108"/>
        </w:trPr>
        <w:tc>
          <w:tcPr>
            <w:tcW w:w="33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2541270</wp:posOffset>
            </wp:positionH>
            <wp:positionV relativeFrom="paragraph">
              <wp:posOffset>-14605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-14605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-14605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-14605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-14605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-14605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-14605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-14605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-14605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-14605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-14605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-14605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9"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(Continued)</w:t>
      </w:r>
    </w:p>
    <w:p>
      <w:pPr>
        <w:spacing w:after="0" w:line="18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Comcast Corporation</w:t>
      </w:r>
    </w:p>
    <w:p>
      <w:pPr>
        <w:jc w:val="center"/>
        <w:ind w:right="-60"/>
        <w:spacing w:after="0" w:line="238" w:lineRule="auto"/>
        <w:rPr>
          <w:sz w:val="20"/>
          <w:szCs w:val="20"/>
          <w:color w:val="auto"/>
        </w:rPr>
      </w:pPr>
      <w:r>
        <w:rPr>
          <w:rFonts w:ascii="Arial" w:cs="Arial" w:eastAsia="Arial" w:hAnsi="Arial"/>
          <w:sz w:val="22"/>
          <w:szCs w:val="22"/>
          <w:color w:val="auto"/>
        </w:rPr>
        <w:t>Condensed Consolidating Statement of Cash Flows</w:t>
      </w:r>
    </w:p>
    <w:p>
      <w:pPr>
        <w:jc w:val="center"/>
        <w:ind w:right="-60"/>
        <w:spacing w:after="0"/>
        <w:rPr>
          <w:sz w:val="20"/>
          <w:szCs w:val="20"/>
          <w:color w:val="auto"/>
        </w:rPr>
      </w:pPr>
      <w:r>
        <w:rPr>
          <w:rFonts w:ascii="Arial" w:cs="Arial" w:eastAsia="Arial" w:hAnsi="Arial"/>
          <w:sz w:val="22"/>
          <w:szCs w:val="22"/>
          <w:color w:val="auto"/>
        </w:rPr>
        <w:t>For the Year Ended December 31, 2002</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Elimination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Combined</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Non-</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Consolidated</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Comcast</w:t>
            </w:r>
          </w:p>
        </w:tc>
        <w:tc>
          <w:tcPr>
            <w:tcW w:w="720" w:type="dxa"/>
            <w:vAlign w:val="bottom"/>
          </w:tcPr>
          <w:p>
            <w:pPr>
              <w:jc w:val="right"/>
              <w:ind w:right="42"/>
              <w:spacing w:after="0"/>
              <w:rPr>
                <w:sz w:val="20"/>
                <w:szCs w:val="20"/>
                <w:color w:val="auto"/>
              </w:rPr>
            </w:pPr>
            <w:r>
              <w:rPr>
                <w:rFonts w:ascii="Arial" w:cs="Arial" w:eastAsia="Arial" w:hAnsi="Arial"/>
                <w:sz w:val="18"/>
                <w:szCs w:val="18"/>
                <w:color w:val="auto"/>
              </w:rPr>
              <w:t>CCCL</w:t>
            </w: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CCCH</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CCHMO</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Guarantor</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Consolidation</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Comcast</w:t>
            </w:r>
          </w:p>
        </w:tc>
        <w:tc>
          <w:tcPr>
            <w:tcW w:w="0" w:type="dxa"/>
            <w:vAlign w:val="bottom"/>
          </w:tcPr>
          <w:p>
            <w:pPr>
              <w:spacing w:after="0"/>
              <w:rPr>
                <w:sz w:val="1"/>
                <w:szCs w:val="1"/>
                <w:color w:val="auto"/>
              </w:rPr>
            </w:pPr>
          </w:p>
        </w:tc>
      </w:tr>
      <w:tr>
        <w:trPr>
          <w:trHeight w:val="222"/>
        </w:trPr>
        <w:tc>
          <w:tcPr>
            <w:tcW w:w="33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Parent</w:t>
            </w:r>
          </w:p>
        </w:tc>
        <w:tc>
          <w:tcPr>
            <w:tcW w:w="720" w:type="dxa"/>
            <w:vAlign w:val="bottom"/>
          </w:tcPr>
          <w:p>
            <w:pPr>
              <w:jc w:val="right"/>
              <w:ind w:right="42"/>
              <w:spacing w:after="0"/>
              <w:rPr>
                <w:sz w:val="20"/>
                <w:szCs w:val="20"/>
                <w:color w:val="auto"/>
              </w:rPr>
            </w:pPr>
            <w:r>
              <w:rPr>
                <w:rFonts w:ascii="Arial" w:cs="Arial" w:eastAsia="Arial" w:hAnsi="Arial"/>
                <w:sz w:val="18"/>
                <w:szCs w:val="18"/>
                <w:color w:val="auto"/>
              </w:rPr>
              <w:t>Parent</w:t>
            </w:r>
          </w:p>
        </w:tc>
        <w:tc>
          <w:tcPr>
            <w:tcW w:w="1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Parent</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Parents</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Subsidiaries</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Adjustments</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Corporation</w:t>
            </w:r>
          </w:p>
        </w:tc>
        <w:tc>
          <w:tcPr>
            <w:tcW w:w="0" w:type="dxa"/>
            <w:vAlign w:val="bottom"/>
          </w:tcPr>
          <w:p>
            <w:pPr>
              <w:spacing w:after="0"/>
              <w:rPr>
                <w:sz w:val="1"/>
                <w:szCs w:val="1"/>
                <w:color w:val="auto"/>
              </w:rPr>
            </w:pPr>
          </w:p>
        </w:tc>
      </w:tr>
      <w:tr>
        <w:trPr>
          <w:trHeight w:val="110"/>
        </w:trPr>
        <w:tc>
          <w:tcPr>
            <w:tcW w:w="3320" w:type="dxa"/>
            <w:vAlign w:val="bottom"/>
            <w:vMerge w:val="restart"/>
          </w:tcPr>
          <w:p>
            <w:pPr>
              <w:spacing w:after="0"/>
              <w:rPr>
                <w:sz w:val="20"/>
                <w:szCs w:val="20"/>
                <w:color w:val="auto"/>
              </w:rPr>
            </w:pPr>
            <w:r>
              <w:rPr>
                <w:rFonts w:ascii="Arial" w:cs="Arial" w:eastAsia="Arial" w:hAnsi="Arial"/>
                <w:sz w:val="22"/>
                <w:szCs w:val="22"/>
                <w:color w:val="auto"/>
              </w:rPr>
              <w:t>OPERATING ACTIVITIES</w:t>
            </w: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3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Net income (loss)</w:t>
            </w:r>
          </w:p>
        </w:tc>
        <w:tc>
          <w:tcPr>
            <w:tcW w:w="8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($140)</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$502</w:t>
            </w:r>
          </w:p>
        </w:tc>
        <w:tc>
          <w:tcPr>
            <w:tcW w:w="108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($212)</w:t>
            </w: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($176)</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$676</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($924)</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($274)</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Income from discontinued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20" w:type="dxa"/>
            <w:vAlign w:val="bottom"/>
          </w:tcPr>
          <w:p>
            <w:pPr>
              <w:spacing w:after="0"/>
              <w:rPr>
                <w:sz w:val="20"/>
                <w:szCs w:val="20"/>
                <w:color w:val="auto"/>
              </w:rPr>
            </w:pPr>
            <w:r>
              <w:rPr>
                <w:rFonts w:ascii="Arial" w:cs="Arial" w:eastAsia="Arial" w:hAnsi="Arial"/>
                <w:sz w:val="22"/>
                <w:szCs w:val="22"/>
                <w:color w:val="auto"/>
              </w:rPr>
              <w:t>operations</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(195)</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(195)</w:t>
            </w:r>
          </w:p>
        </w:tc>
        <w:tc>
          <w:tcPr>
            <w:tcW w:w="0" w:type="dxa"/>
            <w:vAlign w:val="bottom"/>
          </w:tcPr>
          <w:p>
            <w:pPr>
              <w:spacing w:after="0"/>
              <w:rPr>
                <w:sz w:val="1"/>
                <w:szCs w:val="1"/>
                <w:color w:val="auto"/>
              </w:rPr>
            </w:pPr>
          </w:p>
        </w:tc>
      </w:tr>
      <w:tr>
        <w:trPr>
          <w:trHeight w:val="98"/>
        </w:trPr>
        <w:tc>
          <w:tcPr>
            <w:tcW w:w="3320" w:type="dxa"/>
            <w:vAlign w:val="bottom"/>
            <w:vMerge w:val="restart"/>
          </w:tcPr>
          <w:p>
            <w:pPr>
              <w:ind w:left="180"/>
              <w:spacing w:after="0"/>
              <w:rPr>
                <w:sz w:val="20"/>
                <w:szCs w:val="20"/>
                <w:color w:val="auto"/>
              </w:rPr>
            </w:pPr>
            <w:r>
              <w:rPr>
                <w:rFonts w:ascii="Arial" w:cs="Arial" w:eastAsia="Arial" w:hAnsi="Arial"/>
                <w:sz w:val="22"/>
                <w:szCs w:val="22"/>
                <w:color w:val="auto"/>
              </w:rPr>
              <w:t>Income (loss) from continuing</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320" w:type="dxa"/>
            <w:vAlign w:val="bottom"/>
          </w:tcPr>
          <w:p>
            <w:pPr>
              <w:spacing w:after="0"/>
              <w:rPr>
                <w:sz w:val="20"/>
                <w:szCs w:val="20"/>
                <w:color w:val="auto"/>
              </w:rPr>
            </w:pPr>
            <w:r>
              <w:rPr>
                <w:rFonts w:ascii="Arial" w:cs="Arial" w:eastAsia="Arial" w:hAnsi="Arial"/>
                <w:sz w:val="22"/>
                <w:szCs w:val="22"/>
                <w:color w:val="auto"/>
              </w:rPr>
              <w:t>operations</w:t>
            </w:r>
          </w:p>
        </w:tc>
        <w:tc>
          <w:tcPr>
            <w:tcW w:w="880" w:type="dxa"/>
            <w:vAlign w:val="bottom"/>
            <w:gridSpan w:val="2"/>
          </w:tcPr>
          <w:p>
            <w:pPr>
              <w:jc w:val="right"/>
              <w:ind w:right="100"/>
              <w:spacing w:after="0"/>
              <w:rPr>
                <w:sz w:val="20"/>
                <w:szCs w:val="20"/>
                <w:color w:val="auto"/>
              </w:rPr>
            </w:pPr>
            <w:r>
              <w:rPr>
                <w:rFonts w:ascii="Arial" w:cs="Arial" w:eastAsia="Arial" w:hAnsi="Arial"/>
                <w:sz w:val="22"/>
                <w:szCs w:val="22"/>
                <w:color w:val="auto"/>
              </w:rPr>
              <w:t>(140)</w:t>
            </w:r>
          </w:p>
        </w:tc>
        <w:tc>
          <w:tcPr>
            <w:tcW w:w="720" w:type="dxa"/>
            <w:vAlign w:val="bottom"/>
          </w:tcPr>
          <w:p>
            <w:pPr>
              <w:jc w:val="right"/>
              <w:spacing w:after="0"/>
              <w:rPr>
                <w:sz w:val="20"/>
                <w:szCs w:val="20"/>
                <w:color w:val="auto"/>
              </w:rPr>
            </w:pPr>
            <w:r>
              <w:rPr>
                <w:rFonts w:ascii="Arial" w:cs="Arial" w:eastAsia="Arial" w:hAnsi="Arial"/>
                <w:sz w:val="22"/>
                <w:szCs w:val="22"/>
                <w:color w:val="auto"/>
              </w:rPr>
              <w:t>502</w:t>
            </w:r>
          </w:p>
        </w:tc>
        <w:tc>
          <w:tcPr>
            <w:tcW w:w="1080" w:type="dxa"/>
            <w:vAlign w:val="bottom"/>
            <w:gridSpan w:val="3"/>
          </w:tcPr>
          <w:p>
            <w:pPr>
              <w:jc w:val="right"/>
              <w:ind w:right="120"/>
              <w:spacing w:after="0"/>
              <w:rPr>
                <w:sz w:val="20"/>
                <w:szCs w:val="20"/>
                <w:color w:val="auto"/>
              </w:rPr>
            </w:pPr>
            <w:r>
              <w:rPr>
                <w:rFonts w:ascii="Arial" w:cs="Arial" w:eastAsia="Arial" w:hAnsi="Arial"/>
                <w:sz w:val="22"/>
                <w:szCs w:val="22"/>
                <w:color w:val="auto"/>
              </w:rPr>
              <w:t>(212)</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(176)</w:t>
            </w:r>
          </w:p>
        </w:tc>
        <w:tc>
          <w:tcPr>
            <w:tcW w:w="860" w:type="dxa"/>
            <w:vAlign w:val="bottom"/>
          </w:tcPr>
          <w:p>
            <w:pPr>
              <w:jc w:val="right"/>
              <w:spacing w:after="0"/>
              <w:rPr>
                <w:sz w:val="20"/>
                <w:szCs w:val="20"/>
                <w:color w:val="auto"/>
              </w:rPr>
            </w:pPr>
            <w:r>
              <w:rPr>
                <w:rFonts w:ascii="Arial" w:cs="Arial" w:eastAsia="Arial" w:hAnsi="Arial"/>
                <w:sz w:val="22"/>
                <w:szCs w:val="22"/>
                <w:color w:val="auto"/>
              </w:rPr>
              <w:t>481</w:t>
            </w: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(924)</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(469)</w:t>
            </w:r>
          </w:p>
        </w:tc>
        <w:tc>
          <w:tcPr>
            <w:tcW w:w="0" w:type="dxa"/>
            <w:vAlign w:val="bottom"/>
          </w:tcPr>
          <w:p>
            <w:pPr>
              <w:spacing w:after="0"/>
              <w:rPr>
                <w:sz w:val="1"/>
                <w:szCs w:val="1"/>
                <w:color w:val="auto"/>
              </w:rPr>
            </w:pPr>
          </w:p>
        </w:tc>
      </w:tr>
      <w:tr>
        <w:trPr>
          <w:trHeight w:val="455"/>
        </w:trPr>
        <w:tc>
          <w:tcPr>
            <w:tcW w:w="3320" w:type="dxa"/>
            <w:vAlign w:val="bottom"/>
          </w:tcPr>
          <w:p>
            <w:pPr>
              <w:ind w:left="160"/>
              <w:spacing w:after="0"/>
              <w:rPr>
                <w:sz w:val="20"/>
                <w:szCs w:val="20"/>
                <w:color w:val="auto"/>
              </w:rPr>
            </w:pPr>
            <w:r>
              <w:rPr>
                <w:rFonts w:ascii="Arial" w:cs="Arial" w:eastAsia="Arial" w:hAnsi="Arial"/>
                <w:sz w:val="22"/>
                <w:szCs w:val="22"/>
                <w:color w:val="auto"/>
              </w:rPr>
              <w:t>Adjustments to reconcile net</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income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(loss) from continuing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operations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net of cash provided by</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operating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activities from continuing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20" w:type="dxa"/>
            <w:vAlign w:val="bottom"/>
          </w:tcPr>
          <w:p>
            <w:pPr>
              <w:spacing w:after="0"/>
              <w:rPr>
                <w:sz w:val="20"/>
                <w:szCs w:val="20"/>
                <w:color w:val="auto"/>
              </w:rPr>
            </w:pPr>
            <w:r>
              <w:rPr>
                <w:rFonts w:ascii="Arial" w:cs="Arial" w:eastAsia="Arial" w:hAnsi="Arial"/>
                <w:sz w:val="22"/>
                <w:szCs w:val="22"/>
                <w:color w:val="auto"/>
              </w:rPr>
              <w:t>operations:</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08" w:right="1440" w:bottom="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20" w:type="dxa"/>
            <w:vAlign w:val="bottom"/>
          </w:tcPr>
          <w:p>
            <w:pPr>
              <w:ind w:left="280"/>
              <w:spacing w:after="0"/>
              <w:rPr>
                <w:sz w:val="20"/>
                <w:szCs w:val="20"/>
                <w:color w:val="auto"/>
              </w:rPr>
            </w:pPr>
            <w:r>
              <w:rPr>
                <w:rFonts w:ascii="Arial" w:cs="Arial" w:eastAsia="Arial" w:hAnsi="Arial"/>
                <w:sz w:val="22"/>
                <w:szCs w:val="22"/>
                <w:color w:val="auto"/>
              </w:rPr>
              <w:t>Depreciation</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1,694</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1,694</w:t>
            </w:r>
          </w:p>
        </w:tc>
        <w:tc>
          <w:tcPr>
            <w:tcW w:w="0" w:type="dxa"/>
            <w:vAlign w:val="bottom"/>
          </w:tcPr>
          <w:p>
            <w:pPr>
              <w:spacing w:after="0"/>
              <w:rPr>
                <w:sz w:val="1"/>
                <w:szCs w:val="1"/>
                <w:color w:val="auto"/>
              </w:rPr>
            </w:pPr>
          </w:p>
        </w:tc>
      </w:tr>
      <w:tr>
        <w:trPr>
          <w:trHeight w:val="243"/>
        </w:trPr>
        <w:tc>
          <w:tcPr>
            <w:tcW w:w="3320" w:type="dxa"/>
            <w:vAlign w:val="bottom"/>
          </w:tcPr>
          <w:p>
            <w:pPr>
              <w:ind w:left="260"/>
              <w:spacing w:after="0" w:line="243" w:lineRule="exact"/>
              <w:rPr>
                <w:sz w:val="20"/>
                <w:szCs w:val="20"/>
                <w:color w:val="auto"/>
              </w:rPr>
            </w:pPr>
            <w:r>
              <w:rPr>
                <w:rFonts w:ascii="Arial" w:cs="Arial" w:eastAsia="Arial" w:hAnsi="Arial"/>
                <w:sz w:val="22"/>
                <w:szCs w:val="22"/>
                <w:color w:val="auto"/>
              </w:rPr>
              <w:t>Amortization</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221</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221</w:t>
            </w: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w w:val="99"/>
              </w:rPr>
              <w:t>Non-cash interest expense, net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(16)</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(11)</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w w:val="98"/>
              </w:rPr>
              <w:t>Equity in net losses (income) of</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380"/>
              <w:spacing w:after="0" w:line="243" w:lineRule="exact"/>
              <w:rPr>
                <w:sz w:val="20"/>
                <w:szCs w:val="20"/>
                <w:color w:val="auto"/>
              </w:rPr>
            </w:pPr>
            <w:r>
              <w:rPr>
                <w:rFonts w:ascii="Arial" w:cs="Arial" w:eastAsia="Arial" w:hAnsi="Arial"/>
                <w:sz w:val="22"/>
                <w:szCs w:val="22"/>
                <w:color w:val="auto"/>
              </w:rPr>
              <w:t>affiliates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124</w:t>
            </w:r>
          </w:p>
        </w:tc>
        <w:tc>
          <w:tcPr>
            <w:tcW w:w="180" w:type="dxa"/>
            <w:vAlign w:val="bottom"/>
          </w:tcPr>
          <w:p>
            <w:pPr>
              <w:spacing w:after="0"/>
              <w:rPr>
                <w:sz w:val="21"/>
                <w:szCs w:val="21"/>
                <w:color w:val="auto"/>
              </w:rPr>
            </w:pPr>
          </w:p>
        </w:tc>
        <w:tc>
          <w:tcPr>
            <w:tcW w:w="9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(847)</w:t>
            </w:r>
          </w:p>
        </w:tc>
        <w:tc>
          <w:tcPr>
            <w:tcW w:w="90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176</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125</w:t>
            </w: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(439)</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924</w:t>
            </w: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63</w:t>
            </w: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Losses (gains) on investments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and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380"/>
              <w:spacing w:after="0" w:line="243" w:lineRule="exact"/>
              <w:rPr>
                <w:sz w:val="20"/>
                <w:szCs w:val="20"/>
                <w:color w:val="auto"/>
              </w:rPr>
            </w:pPr>
            <w:r>
              <w:rPr>
                <w:rFonts w:ascii="Arial" w:cs="Arial" w:eastAsia="Arial" w:hAnsi="Arial"/>
                <w:sz w:val="22"/>
                <w:szCs w:val="22"/>
                <w:color w:val="auto"/>
              </w:rPr>
              <w:t>other (income) expense, net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604</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604</w:t>
            </w: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Minority interest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Deferred income taxes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(95)</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(95)</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Change in operating assets and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liabilities, net of effects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of acquisitions and divestitures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w w:val="98"/>
              </w:rPr>
              <w:t>Change in accounts receivable,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net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80</w:t>
            </w: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Change in accounts payable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51</w:t>
            </w: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w w:val="93"/>
              </w:rPr>
              <w:t>Change in other operating assets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20" w:type="dxa"/>
            <w:vAlign w:val="bottom"/>
          </w:tcPr>
          <w:p>
            <w:pPr>
              <w:ind w:left="380"/>
              <w:spacing w:after="0"/>
              <w:rPr>
                <w:sz w:val="20"/>
                <w:szCs w:val="20"/>
                <w:color w:val="auto"/>
              </w:rPr>
            </w:pPr>
            <w:r>
              <w:rPr>
                <w:rFonts w:ascii="Arial" w:cs="Arial" w:eastAsia="Arial" w:hAnsi="Arial"/>
                <w:sz w:val="22"/>
                <w:szCs w:val="22"/>
                <w:color w:val="auto"/>
              </w:rPr>
              <w:t>and liabilities</w:t>
            </w:r>
          </w:p>
        </w:tc>
        <w:tc>
          <w:tcPr>
            <w:tcW w:w="700" w:type="dxa"/>
            <w:vAlign w:val="bottom"/>
          </w:tcPr>
          <w:p>
            <w:pPr>
              <w:jc w:val="right"/>
              <w:spacing w:after="0"/>
              <w:rPr>
                <w:sz w:val="20"/>
                <w:szCs w:val="20"/>
                <w:color w:val="auto"/>
              </w:rPr>
            </w:pPr>
            <w:r>
              <w:rPr>
                <w:rFonts w:ascii="Arial" w:cs="Arial" w:eastAsia="Arial" w:hAnsi="Arial"/>
                <w:sz w:val="22"/>
                <w:szCs w:val="22"/>
                <w:color w:val="auto"/>
              </w:rPr>
              <w:t>16</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3</w:t>
            </w:r>
          </w:p>
        </w:tc>
        <w:tc>
          <w:tcPr>
            <w:tcW w:w="18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22"/>
                <w:szCs w:val="22"/>
                <w:color w:val="auto"/>
              </w:rPr>
              <w:t>(15)</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(112)</w:t>
            </w:r>
          </w:p>
        </w:tc>
        <w:tc>
          <w:tcPr>
            <w:tcW w:w="860" w:type="dxa"/>
            <w:vAlign w:val="bottom"/>
          </w:tcPr>
          <w:p>
            <w:pPr>
              <w:jc w:val="right"/>
              <w:spacing w:after="0"/>
              <w:rPr>
                <w:sz w:val="20"/>
                <w:szCs w:val="20"/>
                <w:color w:val="auto"/>
              </w:rPr>
            </w:pPr>
            <w:r>
              <w:rPr>
                <w:rFonts w:ascii="Arial" w:cs="Arial" w:eastAsia="Arial" w:hAnsi="Arial"/>
                <w:sz w:val="22"/>
                <w:szCs w:val="22"/>
                <w:color w:val="auto"/>
              </w:rPr>
              <w:t>327</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219</w:t>
            </w:r>
          </w:p>
        </w:tc>
        <w:tc>
          <w:tcPr>
            <w:tcW w:w="0" w:type="dxa"/>
            <w:vAlign w:val="bottom"/>
          </w:tcPr>
          <w:p>
            <w:pPr>
              <w:spacing w:after="0"/>
              <w:rPr>
                <w:sz w:val="1"/>
                <w:szCs w:val="1"/>
                <w:color w:val="auto"/>
              </w:rPr>
            </w:pPr>
          </w:p>
        </w:tc>
      </w:tr>
      <w:tr>
        <w:trPr>
          <w:trHeight w:val="98"/>
        </w:trPr>
        <w:tc>
          <w:tcPr>
            <w:tcW w:w="3320" w:type="dxa"/>
            <w:vAlign w:val="bottom"/>
            <w:vMerge w:val="restart"/>
          </w:tcPr>
          <w:p>
            <w:pPr>
              <w:ind w:left="280"/>
              <w:spacing w:after="0"/>
              <w:rPr>
                <w:sz w:val="20"/>
                <w:szCs w:val="20"/>
                <w:color w:val="auto"/>
              </w:rPr>
            </w:pPr>
            <w:r>
              <w:rPr>
                <w:rFonts w:ascii="Arial" w:cs="Arial" w:eastAsia="Arial" w:hAnsi="Arial"/>
                <w:sz w:val="22"/>
                <w:szCs w:val="22"/>
                <w:color w:val="auto"/>
              </w:rPr>
              <w:t>Net cash provided by (used in)</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380"/>
              <w:spacing w:after="0" w:line="243" w:lineRule="exact"/>
              <w:rPr>
                <w:sz w:val="20"/>
                <w:szCs w:val="20"/>
                <w:color w:val="auto"/>
              </w:rPr>
            </w:pPr>
            <w:r>
              <w:rPr>
                <w:rFonts w:ascii="Arial" w:cs="Arial" w:eastAsia="Arial" w:hAnsi="Arial"/>
                <w:sz w:val="22"/>
                <w:szCs w:val="22"/>
                <w:color w:val="auto"/>
              </w:rPr>
              <w:t>operating activities from</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20" w:type="dxa"/>
            <w:vAlign w:val="bottom"/>
          </w:tcPr>
          <w:p>
            <w:pPr>
              <w:ind w:left="380"/>
              <w:spacing w:after="0"/>
              <w:rPr>
                <w:sz w:val="20"/>
                <w:szCs w:val="20"/>
                <w:color w:val="auto"/>
              </w:rPr>
            </w:pPr>
            <w:r>
              <w:rPr>
                <w:rFonts w:ascii="Arial" w:cs="Arial" w:eastAsia="Arial" w:hAnsi="Arial"/>
                <w:sz w:val="22"/>
                <w:szCs w:val="22"/>
                <w:color w:val="auto"/>
              </w:rPr>
              <w:t>continuing operations</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22"/>
                <w:szCs w:val="22"/>
                <w:color w:val="auto"/>
              </w:rPr>
              <w:t>(358)</w:t>
            </w:r>
          </w:p>
        </w:tc>
        <w:tc>
          <w:tcPr>
            <w:tcW w:w="900" w:type="dxa"/>
            <w:vAlign w:val="bottom"/>
            <w:gridSpan w:val="2"/>
          </w:tcPr>
          <w:p>
            <w:pPr>
              <w:jc w:val="right"/>
              <w:ind w:right="120"/>
              <w:spacing w:after="0"/>
              <w:rPr>
                <w:sz w:val="20"/>
                <w:szCs w:val="20"/>
                <w:color w:val="auto"/>
              </w:rPr>
            </w:pPr>
            <w:r>
              <w:rPr>
                <w:rFonts w:ascii="Arial" w:cs="Arial" w:eastAsia="Arial" w:hAnsi="Arial"/>
                <w:sz w:val="22"/>
                <w:szCs w:val="22"/>
                <w:color w:val="auto"/>
              </w:rPr>
              <w:t>(51)</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(174)</w:t>
            </w:r>
          </w:p>
        </w:tc>
        <w:tc>
          <w:tcPr>
            <w:tcW w:w="860" w:type="dxa"/>
            <w:vAlign w:val="bottom"/>
          </w:tcPr>
          <w:p>
            <w:pPr>
              <w:jc w:val="right"/>
              <w:spacing w:after="0"/>
              <w:rPr>
                <w:sz w:val="20"/>
                <w:szCs w:val="20"/>
                <w:color w:val="auto"/>
              </w:rPr>
            </w:pPr>
            <w:r>
              <w:rPr>
                <w:rFonts w:ascii="Arial" w:cs="Arial" w:eastAsia="Arial" w:hAnsi="Arial"/>
                <w:sz w:val="22"/>
                <w:szCs w:val="22"/>
                <w:color w:val="auto"/>
              </w:rPr>
              <w:t>3,004</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2,421</w:t>
            </w:r>
          </w:p>
        </w:tc>
        <w:tc>
          <w:tcPr>
            <w:tcW w:w="0" w:type="dxa"/>
            <w:vAlign w:val="bottom"/>
          </w:tcPr>
          <w:p>
            <w:pPr>
              <w:spacing w:after="0"/>
              <w:rPr>
                <w:sz w:val="1"/>
                <w:szCs w:val="1"/>
                <w:color w:val="auto"/>
              </w:rPr>
            </w:pPr>
          </w:p>
        </w:tc>
      </w:tr>
      <w:tr>
        <w:trPr>
          <w:trHeight w:val="98"/>
        </w:trPr>
        <w:tc>
          <w:tcPr>
            <w:tcW w:w="3320" w:type="dxa"/>
            <w:vAlign w:val="bottom"/>
            <w:vMerge w:val="restart"/>
          </w:tcPr>
          <w:p>
            <w:pPr>
              <w:spacing w:after="0"/>
              <w:rPr>
                <w:sz w:val="20"/>
                <w:szCs w:val="20"/>
                <w:color w:val="auto"/>
              </w:rPr>
            </w:pPr>
            <w:r>
              <w:rPr>
                <w:rFonts w:ascii="Arial" w:cs="Arial" w:eastAsia="Arial" w:hAnsi="Arial"/>
                <w:sz w:val="22"/>
                <w:szCs w:val="22"/>
                <w:color w:val="auto"/>
              </w:rPr>
              <w:t>FINANCING ACTIVITIES</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Proceeds from borrowings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680</w:t>
            </w: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1,568</w:t>
            </w:r>
          </w:p>
        </w:tc>
        <w:tc>
          <w:tcPr>
            <w:tcW w:w="180" w:type="dxa"/>
            <w:vAlign w:val="bottom"/>
          </w:tcPr>
          <w:p>
            <w:pPr>
              <w:spacing w:after="0"/>
              <w:rPr>
                <w:sz w:val="21"/>
                <w:szCs w:val="21"/>
                <w:color w:val="auto"/>
              </w:rPr>
            </w:pPr>
          </w:p>
        </w:tc>
        <w:tc>
          <w:tcPr>
            <w:tcW w:w="90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6,501</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8,759</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Retirements and repayments of</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debt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(2,216)</w:t>
            </w:r>
          </w:p>
        </w:tc>
        <w:tc>
          <w:tcPr>
            <w:tcW w:w="9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(6,100)</w:t>
            </w: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(10)</w:t>
            </w: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(1,182)</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(9,508)</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Proceeds from settlement of</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interest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340"/>
              <w:spacing w:after="0" w:line="243" w:lineRule="exact"/>
              <w:rPr>
                <w:sz w:val="20"/>
                <w:szCs w:val="20"/>
                <w:color w:val="auto"/>
              </w:rPr>
            </w:pPr>
            <w:r>
              <w:rPr>
                <w:rFonts w:ascii="Arial" w:cs="Arial" w:eastAsia="Arial" w:hAnsi="Arial"/>
                <w:sz w:val="22"/>
                <w:szCs w:val="22"/>
                <w:color w:val="auto"/>
              </w:rPr>
              <w:t>rate exchange agreements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57</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Issuances of common stock</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75"/>
        </w:trPr>
        <w:tc>
          <w:tcPr>
            <w:tcW w:w="3320" w:type="dxa"/>
            <w:vAlign w:val="bottom"/>
          </w:tcPr>
          <w:p>
            <w:pPr>
              <w:ind w:left="180"/>
              <w:spacing w:after="0"/>
              <w:rPr>
                <w:sz w:val="20"/>
                <w:szCs w:val="20"/>
                <w:color w:val="auto"/>
              </w:rPr>
            </w:pPr>
            <w:r>
              <w:rPr>
                <w:rFonts w:ascii="Arial" w:cs="Arial" w:eastAsia="Arial" w:hAnsi="Arial"/>
                <w:sz w:val="22"/>
                <w:szCs w:val="22"/>
                <w:color w:val="auto"/>
              </w:rPr>
              <w:t>Deferred financings costs</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22"/>
                <w:szCs w:val="22"/>
                <w:color w:val="auto"/>
              </w:rPr>
              <w:t>(225)</w:t>
            </w: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(107)</w:t>
            </w:r>
          </w:p>
        </w:tc>
        <w:tc>
          <w:tcPr>
            <w:tcW w:w="98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(332)</w:t>
            </w:r>
          </w:p>
        </w:tc>
        <w:tc>
          <w:tcPr>
            <w:tcW w:w="0" w:type="dxa"/>
            <w:vAlign w:val="bottom"/>
          </w:tcPr>
          <w:p>
            <w:pPr>
              <w:spacing w:after="0"/>
              <w:rPr>
                <w:sz w:val="1"/>
                <w:szCs w:val="1"/>
                <w:color w:val="auto"/>
              </w:rPr>
            </w:pPr>
          </w:p>
        </w:tc>
      </w:tr>
      <w:tr>
        <w:trPr>
          <w:trHeight w:val="98"/>
        </w:trPr>
        <w:tc>
          <w:tcPr>
            <w:tcW w:w="3320" w:type="dxa"/>
            <w:vAlign w:val="bottom"/>
            <w:vMerge w:val="restart"/>
          </w:tcPr>
          <w:p>
            <w:pPr>
              <w:ind w:left="280"/>
              <w:spacing w:after="0"/>
              <w:rPr>
                <w:sz w:val="20"/>
                <w:szCs w:val="20"/>
                <w:color w:val="auto"/>
              </w:rPr>
            </w:pPr>
            <w:r>
              <w:rPr>
                <w:rFonts w:ascii="Arial" w:cs="Arial" w:eastAsia="Arial" w:hAnsi="Arial"/>
                <w:sz w:val="22"/>
                <w:szCs w:val="22"/>
                <w:color w:val="auto"/>
              </w:rPr>
              <w:t>Net cash (used in) provided by</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380"/>
              <w:spacing w:after="0" w:line="243" w:lineRule="exact"/>
              <w:rPr>
                <w:sz w:val="20"/>
                <w:szCs w:val="20"/>
                <w:color w:val="auto"/>
              </w:rPr>
            </w:pPr>
            <w:r>
              <w:rPr>
                <w:rFonts w:ascii="Arial" w:cs="Arial" w:eastAsia="Arial" w:hAnsi="Arial"/>
                <w:sz w:val="22"/>
                <w:szCs w:val="22"/>
                <w:color w:val="auto"/>
              </w:rPr>
              <w:t>financing activities from</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20" w:type="dxa"/>
            <w:vAlign w:val="bottom"/>
          </w:tcPr>
          <w:p>
            <w:pPr>
              <w:ind w:left="380"/>
              <w:spacing w:after="0"/>
              <w:rPr>
                <w:sz w:val="20"/>
                <w:szCs w:val="20"/>
                <w:color w:val="auto"/>
              </w:rPr>
            </w:pPr>
            <w:r>
              <w:rPr>
                <w:rFonts w:ascii="Arial" w:cs="Arial" w:eastAsia="Arial" w:hAnsi="Arial"/>
                <w:sz w:val="22"/>
                <w:szCs w:val="22"/>
                <w:color w:val="auto"/>
              </w:rPr>
              <w:t>continuing operations</w:t>
            </w:r>
          </w:p>
        </w:tc>
        <w:tc>
          <w:tcPr>
            <w:tcW w:w="700" w:type="dxa"/>
            <w:vAlign w:val="bottom"/>
          </w:tcPr>
          <w:p>
            <w:pPr>
              <w:jc w:val="right"/>
              <w:spacing w:after="0"/>
              <w:rPr>
                <w:sz w:val="20"/>
                <w:szCs w:val="20"/>
                <w:color w:val="auto"/>
              </w:rPr>
            </w:pPr>
            <w:r>
              <w:rPr>
                <w:rFonts w:ascii="Arial" w:cs="Arial" w:eastAsia="Arial" w:hAnsi="Arial"/>
                <w:sz w:val="22"/>
                <w:szCs w:val="22"/>
                <w:color w:val="auto"/>
              </w:rPr>
              <w:t>680</w:t>
            </w:r>
          </w:p>
        </w:tc>
        <w:tc>
          <w:tcPr>
            <w:tcW w:w="18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22"/>
                <w:szCs w:val="22"/>
                <w:color w:val="auto"/>
              </w:rPr>
              <w:t>(816)</w:t>
            </w:r>
          </w:p>
        </w:tc>
        <w:tc>
          <w:tcPr>
            <w:tcW w:w="900" w:type="dxa"/>
            <w:vAlign w:val="bottom"/>
            <w:gridSpan w:val="2"/>
          </w:tcPr>
          <w:p>
            <w:pPr>
              <w:jc w:val="right"/>
              <w:ind w:right="200"/>
              <w:spacing w:after="0"/>
              <w:rPr>
                <w:sz w:val="20"/>
                <w:szCs w:val="20"/>
                <w:color w:val="auto"/>
              </w:rPr>
            </w:pPr>
            <w:r>
              <w:rPr>
                <w:rFonts w:ascii="Arial" w:cs="Arial" w:eastAsia="Arial" w:hAnsi="Arial"/>
                <w:sz w:val="22"/>
                <w:szCs w:val="22"/>
                <w:color w:val="auto"/>
              </w:rPr>
              <w:t>401</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(10)</w:t>
            </w: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(1,260)</w:t>
            </w:r>
          </w:p>
        </w:tc>
        <w:tc>
          <w:tcPr>
            <w:tcW w:w="98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(1,005)</w:t>
            </w:r>
          </w:p>
        </w:tc>
        <w:tc>
          <w:tcPr>
            <w:tcW w:w="0" w:type="dxa"/>
            <w:vAlign w:val="bottom"/>
          </w:tcPr>
          <w:p>
            <w:pPr>
              <w:spacing w:after="0"/>
              <w:rPr>
                <w:sz w:val="1"/>
                <w:szCs w:val="1"/>
                <w:color w:val="auto"/>
              </w:rPr>
            </w:pPr>
          </w:p>
        </w:tc>
      </w:tr>
      <w:tr>
        <w:trPr>
          <w:trHeight w:val="98"/>
        </w:trPr>
        <w:tc>
          <w:tcPr>
            <w:tcW w:w="3320" w:type="dxa"/>
            <w:vAlign w:val="bottom"/>
            <w:vMerge w:val="restart"/>
          </w:tcPr>
          <w:p>
            <w:pPr>
              <w:spacing w:after="0"/>
              <w:rPr>
                <w:sz w:val="20"/>
                <w:szCs w:val="20"/>
                <w:color w:val="auto"/>
              </w:rPr>
            </w:pPr>
            <w:r>
              <w:rPr>
                <w:rFonts w:ascii="Arial" w:cs="Arial" w:eastAsia="Arial" w:hAnsi="Arial"/>
                <w:sz w:val="22"/>
                <w:szCs w:val="22"/>
                <w:color w:val="auto"/>
              </w:rPr>
              <w:t>INVESTING ACTIVITIES</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Net transactions with affiliates</w:t>
            </w:r>
          </w:p>
        </w:tc>
        <w:tc>
          <w:tcPr>
            <w:tcW w:w="8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(680)</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1,174</w:t>
            </w:r>
          </w:p>
        </w:tc>
        <w:tc>
          <w:tcPr>
            <w:tcW w:w="180" w:type="dxa"/>
            <w:vAlign w:val="bottom"/>
          </w:tcPr>
          <w:p>
            <w:pPr>
              <w:spacing w:after="0"/>
              <w:rPr>
                <w:sz w:val="21"/>
                <w:szCs w:val="21"/>
                <w:color w:val="auto"/>
              </w:rPr>
            </w:pPr>
          </w:p>
        </w:tc>
        <w:tc>
          <w:tcPr>
            <w:tcW w:w="9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(350)</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184</w:t>
            </w: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(328)</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60"/>
              <w:spacing w:after="0" w:line="243" w:lineRule="exact"/>
              <w:rPr>
                <w:sz w:val="20"/>
                <w:szCs w:val="20"/>
                <w:color w:val="auto"/>
              </w:rPr>
            </w:pPr>
            <w:r>
              <w:rPr>
                <w:rFonts w:ascii="Arial" w:cs="Arial" w:eastAsia="Arial" w:hAnsi="Arial"/>
                <w:sz w:val="22"/>
                <w:szCs w:val="22"/>
                <w:color w:val="auto"/>
                <w:w w:val="95"/>
              </w:rPr>
              <w:t>Acquisitions, net of cash acquired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(251)</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(251)</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w w:val="91"/>
              </w:rPr>
              <w:t>Proceeds from sales of (purchases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of)</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short-term investments, net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(21)</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Capital contributions to and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purchases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of investments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(67)</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(67)</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Proceeds from sales and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settlements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of investments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1,263</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1,263</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Capital expenditures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(1,852)</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(1,852)</w:t>
            </w:r>
          </w:p>
        </w:tc>
        <w:tc>
          <w:tcPr>
            <w:tcW w:w="0" w:type="dxa"/>
            <w:vAlign w:val="bottom"/>
          </w:tcPr>
          <w:p>
            <w:pPr>
              <w:spacing w:after="0"/>
              <w:rPr>
                <w:sz w:val="1"/>
                <w:szCs w:val="1"/>
                <w:color w:val="auto"/>
              </w:rPr>
            </w:pPr>
          </w:p>
        </w:tc>
      </w:tr>
      <w:tr>
        <w:trPr>
          <w:trHeight w:val="243"/>
        </w:trPr>
        <w:tc>
          <w:tcPr>
            <w:tcW w:w="3320" w:type="dxa"/>
            <w:vAlign w:val="bottom"/>
          </w:tcPr>
          <w:p>
            <w:pPr>
              <w:ind w:left="160"/>
              <w:spacing w:after="0" w:line="243" w:lineRule="exact"/>
              <w:rPr>
                <w:sz w:val="20"/>
                <w:szCs w:val="20"/>
                <w:color w:val="auto"/>
              </w:rPr>
            </w:pPr>
            <w:r>
              <w:rPr>
                <w:rFonts w:ascii="Arial" w:cs="Arial" w:eastAsia="Arial" w:hAnsi="Arial"/>
                <w:sz w:val="22"/>
                <w:szCs w:val="22"/>
                <w:color w:val="auto"/>
                <w:w w:val="99"/>
              </w:rPr>
              <w:t>Additions to intangible and other</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20" w:type="dxa"/>
            <w:vAlign w:val="bottom"/>
          </w:tcPr>
          <w:p>
            <w:pPr>
              <w:ind w:left="280"/>
              <w:spacing w:after="0"/>
              <w:rPr>
                <w:sz w:val="20"/>
                <w:szCs w:val="20"/>
                <w:color w:val="auto"/>
              </w:rPr>
            </w:pPr>
            <w:r>
              <w:rPr>
                <w:rFonts w:ascii="Arial" w:cs="Arial" w:eastAsia="Arial" w:hAnsi="Arial"/>
                <w:sz w:val="22"/>
                <w:szCs w:val="22"/>
                <w:color w:val="auto"/>
              </w:rPr>
              <w:t>noncurrent assets</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(197)</w:t>
            </w:r>
          </w:p>
        </w:tc>
        <w:tc>
          <w:tcPr>
            <w:tcW w:w="98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(197)</w:t>
            </w:r>
          </w:p>
        </w:tc>
        <w:tc>
          <w:tcPr>
            <w:tcW w:w="0" w:type="dxa"/>
            <w:vAlign w:val="bottom"/>
          </w:tcPr>
          <w:p>
            <w:pPr>
              <w:spacing w:after="0"/>
              <w:rPr>
                <w:sz w:val="1"/>
                <w:szCs w:val="1"/>
                <w:color w:val="auto"/>
              </w:rPr>
            </w:pPr>
          </w:p>
        </w:tc>
      </w:tr>
      <w:tr>
        <w:trPr>
          <w:trHeight w:val="98"/>
        </w:trPr>
        <w:tc>
          <w:tcPr>
            <w:tcW w:w="3320" w:type="dxa"/>
            <w:vAlign w:val="bottom"/>
            <w:vMerge w:val="restart"/>
          </w:tcPr>
          <w:p>
            <w:pPr>
              <w:ind w:left="280"/>
              <w:spacing w:after="0"/>
              <w:rPr>
                <w:sz w:val="20"/>
                <w:szCs w:val="20"/>
                <w:color w:val="auto"/>
              </w:rPr>
            </w:pPr>
            <w:r>
              <w:rPr>
                <w:rFonts w:ascii="Arial" w:cs="Arial" w:eastAsia="Arial" w:hAnsi="Arial"/>
                <w:sz w:val="22"/>
                <w:szCs w:val="22"/>
                <w:color w:val="auto"/>
              </w:rPr>
              <w:t>Net cash (used in) provided by</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380"/>
              <w:spacing w:after="0" w:line="243" w:lineRule="exact"/>
              <w:rPr>
                <w:sz w:val="20"/>
                <w:szCs w:val="20"/>
                <w:color w:val="auto"/>
              </w:rPr>
            </w:pPr>
            <w:r>
              <w:rPr>
                <w:rFonts w:ascii="Arial" w:cs="Arial" w:eastAsia="Arial" w:hAnsi="Arial"/>
                <w:sz w:val="22"/>
                <w:szCs w:val="22"/>
                <w:color w:val="auto"/>
              </w:rPr>
              <w:t>investing activities from</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20" w:type="dxa"/>
            <w:vAlign w:val="bottom"/>
          </w:tcPr>
          <w:p>
            <w:pPr>
              <w:ind w:left="380"/>
              <w:spacing w:after="0"/>
              <w:rPr>
                <w:sz w:val="20"/>
                <w:szCs w:val="20"/>
                <w:color w:val="auto"/>
              </w:rPr>
            </w:pPr>
            <w:r>
              <w:rPr>
                <w:rFonts w:ascii="Arial" w:cs="Arial" w:eastAsia="Arial" w:hAnsi="Arial"/>
                <w:sz w:val="22"/>
                <w:szCs w:val="22"/>
                <w:color w:val="auto"/>
              </w:rPr>
              <w:t>continuing operations</w:t>
            </w:r>
          </w:p>
        </w:tc>
        <w:tc>
          <w:tcPr>
            <w:tcW w:w="880" w:type="dxa"/>
            <w:vAlign w:val="bottom"/>
            <w:gridSpan w:val="2"/>
          </w:tcPr>
          <w:p>
            <w:pPr>
              <w:jc w:val="right"/>
              <w:ind w:right="100"/>
              <w:spacing w:after="0"/>
              <w:rPr>
                <w:sz w:val="20"/>
                <w:szCs w:val="20"/>
                <w:color w:val="auto"/>
              </w:rPr>
            </w:pPr>
            <w:r>
              <w:rPr>
                <w:rFonts w:ascii="Arial" w:cs="Arial" w:eastAsia="Arial" w:hAnsi="Arial"/>
                <w:sz w:val="22"/>
                <w:szCs w:val="22"/>
                <w:color w:val="auto"/>
              </w:rPr>
              <w:t>(680)</w:t>
            </w:r>
          </w:p>
        </w:tc>
        <w:tc>
          <w:tcPr>
            <w:tcW w:w="720" w:type="dxa"/>
            <w:vAlign w:val="bottom"/>
          </w:tcPr>
          <w:p>
            <w:pPr>
              <w:jc w:val="right"/>
              <w:spacing w:after="0"/>
              <w:rPr>
                <w:sz w:val="20"/>
                <w:szCs w:val="20"/>
                <w:color w:val="auto"/>
              </w:rPr>
            </w:pPr>
            <w:r>
              <w:rPr>
                <w:rFonts w:ascii="Arial" w:cs="Arial" w:eastAsia="Arial" w:hAnsi="Arial"/>
                <w:sz w:val="22"/>
                <w:szCs w:val="22"/>
                <w:color w:val="auto"/>
              </w:rPr>
              <w:t>1,174</w:t>
            </w:r>
          </w:p>
        </w:tc>
        <w:tc>
          <w:tcPr>
            <w:tcW w:w="18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22"/>
                <w:szCs w:val="22"/>
                <w:color w:val="auto"/>
              </w:rPr>
              <w:t>(350)</w:t>
            </w:r>
          </w:p>
        </w:tc>
        <w:tc>
          <w:tcPr>
            <w:tcW w:w="740" w:type="dxa"/>
            <w:vAlign w:val="bottom"/>
          </w:tcPr>
          <w:p>
            <w:pPr>
              <w:jc w:val="right"/>
              <w:spacing w:after="0"/>
              <w:rPr>
                <w:sz w:val="20"/>
                <w:szCs w:val="20"/>
                <w:color w:val="auto"/>
              </w:rPr>
            </w:pPr>
            <w:r>
              <w:rPr>
                <w:rFonts w:ascii="Arial" w:cs="Arial" w:eastAsia="Arial" w:hAnsi="Arial"/>
                <w:sz w:val="22"/>
                <w:szCs w:val="22"/>
                <w:color w:val="auto"/>
              </w:rPr>
              <w:t>184</w:t>
            </w: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(1,453)</w:t>
            </w:r>
          </w:p>
        </w:tc>
        <w:tc>
          <w:tcPr>
            <w:tcW w:w="98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(1,125)</w:t>
            </w:r>
          </w:p>
        </w:tc>
        <w:tc>
          <w:tcPr>
            <w:tcW w:w="0" w:type="dxa"/>
            <w:vAlign w:val="bottom"/>
          </w:tcPr>
          <w:p>
            <w:pPr>
              <w:spacing w:after="0"/>
              <w:rPr>
                <w:sz w:val="1"/>
                <w:szCs w:val="1"/>
                <w:color w:val="auto"/>
              </w:rPr>
            </w:pPr>
          </w:p>
        </w:tc>
      </w:tr>
      <w:tr>
        <w:trPr>
          <w:trHeight w:val="98"/>
        </w:trPr>
        <w:tc>
          <w:tcPr>
            <w:tcW w:w="3320" w:type="dxa"/>
            <w:vAlign w:val="bottom"/>
            <w:vMerge w:val="restart"/>
          </w:tcPr>
          <w:p>
            <w:pPr>
              <w:spacing w:after="0"/>
              <w:rPr>
                <w:sz w:val="20"/>
                <w:szCs w:val="20"/>
                <w:color w:val="auto"/>
              </w:rPr>
            </w:pPr>
            <w:r>
              <w:rPr>
                <w:rFonts w:ascii="Arial" w:cs="Arial" w:eastAsia="Arial" w:hAnsi="Arial"/>
                <w:sz w:val="22"/>
                <w:szCs w:val="22"/>
                <w:color w:val="auto"/>
              </w:rPr>
              <w:t>INCREASE IN CASH AND</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CASH</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60"/>
              <w:spacing w:after="0" w:line="243" w:lineRule="exact"/>
              <w:rPr>
                <w:sz w:val="20"/>
                <w:szCs w:val="20"/>
                <w:color w:val="auto"/>
              </w:rPr>
            </w:pPr>
            <w:r>
              <w:rPr>
                <w:rFonts w:ascii="Arial" w:cs="Arial" w:eastAsia="Arial" w:hAnsi="Arial"/>
                <w:sz w:val="22"/>
                <w:szCs w:val="22"/>
                <w:color w:val="auto"/>
              </w:rPr>
              <w:t>EQUIVALENTS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291</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291</w:t>
            </w: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CASH AND CASH</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EQUIVALENTS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20" w:type="dxa"/>
            <w:vAlign w:val="bottom"/>
          </w:tcPr>
          <w:p>
            <w:pPr>
              <w:ind w:left="180"/>
              <w:spacing w:after="0"/>
              <w:rPr>
                <w:sz w:val="20"/>
                <w:szCs w:val="20"/>
                <w:color w:val="auto"/>
              </w:rPr>
            </w:pPr>
            <w:r>
              <w:rPr>
                <w:rFonts w:ascii="Arial" w:cs="Arial" w:eastAsia="Arial" w:hAnsi="Arial"/>
                <w:sz w:val="22"/>
                <w:szCs w:val="22"/>
                <w:color w:val="auto"/>
              </w:rPr>
              <w:t>beginning of year</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214</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214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62230</wp:posOffset>
            </wp:positionV>
            <wp:extent cx="429641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CASH AND CASH</w:t>
      </w:r>
    </w:p>
    <w:p>
      <w:pPr>
        <w:sectPr>
          <w:pgSz w:w="11900" w:h="16838" w:orient="portrait"/>
          <w:cols w:equalWidth="0" w:num="1">
            <w:col w:w="10219"/>
          </w:cols>
          <w:pgMar w:left="240" w:top="108" w:right="1440" w:bottom="0" w:gutter="0" w:footer="0" w:header="0"/>
        </w:sectPr>
      </w:pPr>
    </w:p>
    <w:bookmarkStart w:id="106" w:name="page107"/>
    <w:bookmarkEnd w:id="106"/>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00" w:type="dxa"/>
            <w:vAlign w:val="bottom"/>
          </w:tcPr>
          <w:p>
            <w:pPr>
              <w:spacing w:after="0"/>
              <w:rPr>
                <w:sz w:val="20"/>
                <w:szCs w:val="20"/>
                <w:color w:val="auto"/>
              </w:rPr>
            </w:pPr>
            <w:r>
              <w:rPr>
                <w:rFonts w:ascii="Arial" w:cs="Arial" w:eastAsia="Arial" w:hAnsi="Arial"/>
                <w:sz w:val="22"/>
                <w:szCs w:val="22"/>
                <w:color w:val="auto"/>
              </w:rPr>
              <w:t>EQUIVALENTS</w:t>
            </w:r>
          </w:p>
        </w:tc>
        <w:tc>
          <w:tcPr>
            <w:tcW w:w="1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5"/>
        </w:trPr>
        <w:tc>
          <w:tcPr>
            <w:tcW w:w="2400" w:type="dxa"/>
            <w:vAlign w:val="bottom"/>
          </w:tcPr>
          <w:p>
            <w:pPr>
              <w:ind w:left="180"/>
              <w:spacing w:after="0"/>
              <w:rPr>
                <w:sz w:val="20"/>
                <w:szCs w:val="20"/>
                <w:color w:val="auto"/>
              </w:rPr>
            </w:pPr>
            <w:r>
              <w:rPr>
                <w:rFonts w:ascii="Arial" w:cs="Arial" w:eastAsia="Arial" w:hAnsi="Arial"/>
                <w:sz w:val="22"/>
                <w:szCs w:val="22"/>
                <w:color w:val="auto"/>
              </w:rPr>
              <w:t>end of year</w:t>
            </w:r>
          </w:p>
        </w:tc>
        <w:tc>
          <w:tcPr>
            <w:tcW w:w="142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272"/>
              <w:spacing w:after="0"/>
              <w:rPr>
                <w:sz w:val="20"/>
                <w:szCs w:val="20"/>
                <w:color w:val="auto"/>
              </w:rPr>
            </w:pPr>
            <w:r>
              <w:rPr>
                <w:rFonts w:ascii="Arial" w:cs="Arial" w:eastAsia="Arial" w:hAnsi="Arial"/>
                <w:sz w:val="22"/>
                <w:szCs w:val="22"/>
                <w:color w:val="auto"/>
              </w:rPr>
              <w:t>$</w:t>
            </w:r>
          </w:p>
        </w:tc>
        <w:tc>
          <w:tcPr>
            <w:tcW w:w="900" w:type="dxa"/>
            <w:vAlign w:val="bottom"/>
          </w:tcPr>
          <w:p>
            <w:pPr>
              <w:jc w:val="right"/>
              <w:ind w:right="292"/>
              <w:spacing w:after="0"/>
              <w:rPr>
                <w:sz w:val="20"/>
                <w:szCs w:val="20"/>
                <w:color w:val="auto"/>
              </w:rPr>
            </w:pPr>
            <w:r>
              <w:rPr>
                <w:rFonts w:ascii="Arial" w:cs="Arial" w:eastAsia="Arial" w:hAnsi="Arial"/>
                <w:sz w:val="22"/>
                <w:szCs w:val="22"/>
                <w:color w:val="auto"/>
              </w:rPr>
              <w:t>$</w:t>
            </w:r>
          </w:p>
        </w:tc>
        <w:tc>
          <w:tcPr>
            <w:tcW w:w="1120" w:type="dxa"/>
            <w:vAlign w:val="bottom"/>
          </w:tcPr>
          <w:p>
            <w:pPr>
              <w:jc w:val="right"/>
              <w:ind w:right="512"/>
              <w:spacing w:after="0"/>
              <w:rPr>
                <w:sz w:val="20"/>
                <w:szCs w:val="20"/>
                <w:color w:val="auto"/>
              </w:rPr>
            </w:pPr>
            <w:r>
              <w:rPr>
                <w:rFonts w:ascii="Arial" w:cs="Arial" w:eastAsia="Arial" w:hAnsi="Arial"/>
                <w:sz w:val="22"/>
                <w:szCs w:val="22"/>
                <w:color w:val="auto"/>
              </w:rPr>
              <w:t>$</w:t>
            </w:r>
          </w:p>
        </w:tc>
        <w:tc>
          <w:tcPr>
            <w:tcW w:w="1160" w:type="dxa"/>
            <w:vAlign w:val="bottom"/>
          </w:tcPr>
          <w:p>
            <w:pPr>
              <w:jc w:val="right"/>
              <w:spacing w:after="0"/>
              <w:rPr>
                <w:sz w:val="20"/>
                <w:szCs w:val="20"/>
                <w:color w:val="auto"/>
              </w:rPr>
            </w:pPr>
            <w:r>
              <w:rPr>
                <w:rFonts w:ascii="Arial" w:cs="Arial" w:eastAsia="Arial" w:hAnsi="Arial"/>
                <w:sz w:val="22"/>
                <w:szCs w:val="22"/>
                <w:color w:val="auto"/>
              </w:rPr>
              <w:t>$505</w:t>
            </w:r>
          </w:p>
        </w:tc>
        <w:tc>
          <w:tcPr>
            <w:tcW w:w="980" w:type="dxa"/>
            <w:vAlign w:val="bottom"/>
          </w:tcPr>
          <w:p>
            <w:pPr>
              <w:jc w:val="right"/>
              <w:ind w:right="672"/>
              <w:spacing w:after="0"/>
              <w:rPr>
                <w:sz w:val="20"/>
                <w:szCs w:val="20"/>
                <w:color w:val="auto"/>
              </w:rPr>
            </w:pPr>
            <w:r>
              <w:rPr>
                <w:rFonts w:ascii="Arial" w:cs="Arial" w:eastAsia="Arial" w:hAnsi="Arial"/>
                <w:sz w:val="22"/>
                <w:szCs w:val="22"/>
                <w:color w:val="auto"/>
              </w:rPr>
              <w:t>$</w:t>
            </w:r>
          </w:p>
        </w:tc>
        <w:tc>
          <w:tcPr>
            <w:tcW w:w="1220" w:type="dxa"/>
            <w:vAlign w:val="bottom"/>
          </w:tcPr>
          <w:p>
            <w:pPr>
              <w:jc w:val="right"/>
              <w:spacing w:after="0"/>
              <w:rPr>
                <w:sz w:val="20"/>
                <w:szCs w:val="20"/>
                <w:color w:val="auto"/>
              </w:rPr>
            </w:pPr>
            <w:r>
              <w:rPr>
                <w:rFonts w:ascii="Arial" w:cs="Arial" w:eastAsia="Arial" w:hAnsi="Arial"/>
                <w:sz w:val="22"/>
                <w:szCs w:val="22"/>
                <w:color w:val="auto"/>
              </w:rPr>
              <w:t>$505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2104390</wp:posOffset>
            </wp:positionH>
            <wp:positionV relativeFrom="paragraph">
              <wp:posOffset>60325</wp:posOffset>
            </wp:positionV>
            <wp:extent cx="4300855"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300855" cy="215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COMCAST CORPORATION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YEARS ENDED DECEMBER 31, 2003, 2002 AND 2001 (Concluded)</w:t>
      </w:r>
    </w:p>
    <w:p>
      <w:pPr>
        <w:spacing w:after="0" w:line="18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Comcast Corporation</w:t>
      </w:r>
    </w:p>
    <w:p>
      <w:pPr>
        <w:jc w:val="center"/>
        <w:ind w:right="-60"/>
        <w:spacing w:after="0" w:line="238" w:lineRule="auto"/>
        <w:rPr>
          <w:sz w:val="20"/>
          <w:szCs w:val="20"/>
          <w:color w:val="auto"/>
        </w:rPr>
      </w:pPr>
      <w:r>
        <w:rPr>
          <w:rFonts w:ascii="Arial" w:cs="Arial" w:eastAsia="Arial" w:hAnsi="Arial"/>
          <w:sz w:val="22"/>
          <w:szCs w:val="22"/>
          <w:color w:val="auto"/>
        </w:rPr>
        <w:t>Condensed Consolidating Statement of Cash Flows</w:t>
      </w:r>
    </w:p>
    <w:p>
      <w:pPr>
        <w:jc w:val="center"/>
        <w:ind w:right="-60"/>
        <w:spacing w:after="0"/>
        <w:rPr>
          <w:sz w:val="20"/>
          <w:szCs w:val="20"/>
          <w:color w:val="auto"/>
        </w:rPr>
      </w:pPr>
      <w:r>
        <w:rPr>
          <w:rFonts w:ascii="Arial" w:cs="Arial" w:eastAsia="Arial" w:hAnsi="Arial"/>
          <w:sz w:val="22"/>
          <w:szCs w:val="22"/>
          <w:color w:val="auto"/>
        </w:rPr>
        <w:t>For the Year Ended December 31, 2001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Elimination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Combined</w:t>
            </w:r>
          </w:p>
        </w:tc>
        <w:tc>
          <w:tcPr>
            <w:tcW w:w="18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Non-</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Consolidated</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4"/>
              </w:rPr>
              <w:t>Comcast</w:t>
            </w: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CCCL</w:t>
            </w:r>
          </w:p>
        </w:tc>
        <w:tc>
          <w:tcPr>
            <w:tcW w:w="6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CCCH</w:t>
            </w:r>
          </w:p>
        </w:tc>
        <w:tc>
          <w:tcPr>
            <w:tcW w:w="2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CCHMO</w:t>
            </w:r>
          </w:p>
        </w:tc>
        <w:tc>
          <w:tcPr>
            <w:tcW w:w="18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Guarantor</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Consolidation</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Comcast</w:t>
            </w:r>
          </w:p>
        </w:tc>
        <w:tc>
          <w:tcPr>
            <w:tcW w:w="0" w:type="dxa"/>
            <w:vAlign w:val="bottom"/>
          </w:tcPr>
          <w:p>
            <w:pPr>
              <w:spacing w:after="0"/>
              <w:rPr>
                <w:sz w:val="1"/>
                <w:szCs w:val="1"/>
                <w:color w:val="auto"/>
              </w:rPr>
            </w:pPr>
          </w:p>
        </w:tc>
      </w:tr>
      <w:tr>
        <w:trPr>
          <w:trHeight w:val="222"/>
        </w:trPr>
        <w:tc>
          <w:tcPr>
            <w:tcW w:w="334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2"/>
              </w:rPr>
              <w:t>Parent</w:t>
            </w:r>
          </w:p>
        </w:tc>
        <w:tc>
          <w:tcPr>
            <w:tcW w:w="18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Parent</w:t>
            </w:r>
          </w:p>
        </w:tc>
        <w:tc>
          <w:tcPr>
            <w:tcW w:w="6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auto"/>
              </w:rPr>
              <w:t>Parent</w:t>
            </w:r>
          </w:p>
        </w:tc>
        <w:tc>
          <w:tcPr>
            <w:tcW w:w="2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Parents</w:t>
            </w:r>
          </w:p>
        </w:tc>
        <w:tc>
          <w:tcPr>
            <w:tcW w:w="180" w:type="dxa"/>
            <w:vAlign w:val="bottom"/>
          </w:tcPr>
          <w:p>
            <w:pPr>
              <w:spacing w:after="0"/>
              <w:rPr>
                <w:sz w:val="19"/>
                <w:szCs w:val="19"/>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Subsidiaries</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Adjustments</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Corporation</w:t>
            </w:r>
          </w:p>
        </w:tc>
        <w:tc>
          <w:tcPr>
            <w:tcW w:w="0" w:type="dxa"/>
            <w:vAlign w:val="bottom"/>
          </w:tcPr>
          <w:p>
            <w:pPr>
              <w:spacing w:after="0"/>
              <w:rPr>
                <w:sz w:val="1"/>
                <w:szCs w:val="1"/>
                <w:color w:val="auto"/>
              </w:rPr>
            </w:pPr>
          </w:p>
        </w:tc>
      </w:tr>
      <w:tr>
        <w:trPr>
          <w:trHeight w:val="110"/>
        </w:trPr>
        <w:tc>
          <w:tcPr>
            <w:tcW w:w="3340" w:type="dxa"/>
            <w:vAlign w:val="bottom"/>
            <w:vMerge w:val="restart"/>
          </w:tcPr>
          <w:p>
            <w:pPr>
              <w:spacing w:after="0"/>
              <w:rPr>
                <w:sz w:val="20"/>
                <w:szCs w:val="20"/>
                <w:color w:val="auto"/>
              </w:rPr>
            </w:pPr>
            <w:r>
              <w:rPr>
                <w:rFonts w:ascii="Arial" w:cs="Arial" w:eastAsia="Arial" w:hAnsi="Arial"/>
                <w:sz w:val="22"/>
                <w:szCs w:val="22"/>
                <w:color w:val="auto"/>
              </w:rPr>
              <w:t>OPERATING ACTIVITIES</w:t>
            </w: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Net income (loss)</w:t>
            </w:r>
          </w:p>
        </w:tc>
        <w:tc>
          <w:tcPr>
            <w:tcW w:w="700" w:type="dxa"/>
            <w:vAlign w:val="bottom"/>
          </w:tcPr>
          <w:p>
            <w:pPr>
              <w:jc w:val="right"/>
              <w:ind w:right="509"/>
              <w:spacing w:after="0"/>
              <w:rPr>
                <w:sz w:val="20"/>
                <w:szCs w:val="20"/>
                <w:color w:val="auto"/>
              </w:rPr>
            </w:pPr>
            <w:r>
              <w:rPr>
                <w:rFonts w:ascii="Arial" w:cs="Arial" w:eastAsia="Arial" w:hAnsi="Arial"/>
                <w:sz w:val="19"/>
                <w:szCs w:val="19"/>
                <w:color w:val="auto"/>
                <w:w w:val="75"/>
              </w:rPr>
              <w:t>$</w:t>
            </w:r>
          </w:p>
        </w:tc>
        <w:tc>
          <w:tcPr>
            <w:tcW w:w="1020" w:type="dxa"/>
            <w:vAlign w:val="bottom"/>
            <w:gridSpan w:val="3"/>
          </w:tcPr>
          <w:p>
            <w:pPr>
              <w:jc w:val="right"/>
              <w:ind w:right="60"/>
              <w:spacing w:after="0" w:line="243" w:lineRule="exact"/>
              <w:rPr>
                <w:sz w:val="20"/>
                <w:szCs w:val="20"/>
                <w:color w:val="auto"/>
              </w:rPr>
            </w:pPr>
            <w:r>
              <w:rPr>
                <w:rFonts w:ascii="Arial" w:cs="Arial" w:eastAsia="Arial" w:hAnsi="Arial"/>
                <w:sz w:val="22"/>
                <w:szCs w:val="22"/>
                <w:color w:val="auto"/>
              </w:rPr>
              <w:t>($422)</w:t>
            </w:r>
          </w:p>
        </w:tc>
        <w:tc>
          <w:tcPr>
            <w:tcW w:w="740" w:type="dxa"/>
            <w:vAlign w:val="bottom"/>
            <w:gridSpan w:val="2"/>
          </w:tcPr>
          <w:p>
            <w:pPr>
              <w:jc w:val="right"/>
              <w:ind w:right="492"/>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2"/>
          </w:tcPr>
          <w:p>
            <w:pPr>
              <w:jc w:val="right"/>
              <w:ind w:right="552"/>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$542</w:t>
            </w:r>
          </w:p>
        </w:tc>
        <w:tc>
          <w:tcPr>
            <w:tcW w:w="20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$489</w:t>
            </w: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$609</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Income from discontinued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0"/>
                <w:szCs w:val="20"/>
                <w:color w:val="auto"/>
              </w:rPr>
            </w:pPr>
            <w:r>
              <w:rPr>
                <w:rFonts w:ascii="Arial" w:cs="Arial" w:eastAsia="Arial" w:hAnsi="Arial"/>
                <w:sz w:val="22"/>
                <w:szCs w:val="22"/>
                <w:color w:val="auto"/>
              </w:rPr>
              <w:t>operations</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22"/>
                <w:szCs w:val="22"/>
                <w:color w:val="auto"/>
              </w:rPr>
              <w:t>(220)</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(220)</w:t>
            </w:r>
          </w:p>
        </w:tc>
        <w:tc>
          <w:tcPr>
            <w:tcW w:w="0" w:type="dxa"/>
            <w:vAlign w:val="bottom"/>
          </w:tcPr>
          <w:p>
            <w:pPr>
              <w:spacing w:after="0"/>
              <w:rPr>
                <w:sz w:val="1"/>
                <w:szCs w:val="1"/>
                <w:color w:val="auto"/>
              </w:rPr>
            </w:pPr>
          </w:p>
        </w:tc>
      </w:tr>
      <w:tr>
        <w:trPr>
          <w:trHeight w:val="98"/>
        </w:trPr>
        <w:tc>
          <w:tcPr>
            <w:tcW w:w="3340" w:type="dxa"/>
            <w:vAlign w:val="bottom"/>
            <w:vMerge w:val="restart"/>
          </w:tcPr>
          <w:p>
            <w:pPr>
              <w:ind w:left="180"/>
              <w:spacing w:after="0"/>
              <w:rPr>
                <w:sz w:val="20"/>
                <w:szCs w:val="20"/>
                <w:color w:val="auto"/>
              </w:rPr>
            </w:pPr>
            <w:r>
              <w:rPr>
                <w:rFonts w:ascii="Arial" w:cs="Arial" w:eastAsia="Arial" w:hAnsi="Arial"/>
                <w:sz w:val="22"/>
                <w:szCs w:val="22"/>
                <w:color w:val="auto"/>
              </w:rPr>
              <w:t>Income (loss) from continuing</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0"/>
                <w:szCs w:val="20"/>
                <w:color w:val="auto"/>
              </w:rPr>
            </w:pPr>
            <w:r>
              <w:rPr>
                <w:rFonts w:ascii="Arial" w:cs="Arial" w:eastAsia="Arial" w:hAnsi="Arial"/>
                <w:sz w:val="22"/>
                <w:szCs w:val="22"/>
                <w:color w:val="auto"/>
              </w:rPr>
              <w:t>operations</w:t>
            </w:r>
          </w:p>
        </w:tc>
        <w:tc>
          <w:tcPr>
            <w:tcW w:w="700" w:type="dxa"/>
            <w:vAlign w:val="bottom"/>
          </w:tcPr>
          <w:p>
            <w:pPr>
              <w:spacing w:after="0"/>
              <w:rPr>
                <w:sz w:val="23"/>
                <w:szCs w:val="23"/>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22"/>
                <w:szCs w:val="22"/>
                <w:color w:val="auto"/>
              </w:rPr>
              <w:t>(422)</w:t>
            </w: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322</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489</w:t>
            </w:r>
          </w:p>
        </w:tc>
        <w:tc>
          <w:tcPr>
            <w:tcW w:w="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389</w:t>
            </w:r>
          </w:p>
        </w:tc>
        <w:tc>
          <w:tcPr>
            <w:tcW w:w="0" w:type="dxa"/>
            <w:vAlign w:val="bottom"/>
          </w:tcPr>
          <w:p>
            <w:pPr>
              <w:spacing w:after="0"/>
              <w:rPr>
                <w:sz w:val="1"/>
                <w:szCs w:val="1"/>
                <w:color w:val="auto"/>
              </w:rPr>
            </w:pPr>
          </w:p>
        </w:tc>
      </w:tr>
      <w:tr>
        <w:trPr>
          <w:trHeight w:val="455"/>
        </w:trPr>
        <w:tc>
          <w:tcPr>
            <w:tcW w:w="3340" w:type="dxa"/>
            <w:vAlign w:val="bottom"/>
          </w:tcPr>
          <w:p>
            <w:pPr>
              <w:ind w:left="160"/>
              <w:spacing w:after="0"/>
              <w:rPr>
                <w:sz w:val="20"/>
                <w:szCs w:val="20"/>
                <w:color w:val="auto"/>
              </w:rPr>
            </w:pPr>
            <w:r>
              <w:rPr>
                <w:rFonts w:ascii="Arial" w:cs="Arial" w:eastAsia="Arial" w:hAnsi="Arial"/>
                <w:sz w:val="22"/>
                <w:szCs w:val="22"/>
                <w:color w:val="auto"/>
              </w:rPr>
              <w:t>Adjustments to reconcile net</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income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line="243" w:lineRule="exact"/>
              <w:rPr>
                <w:sz w:val="20"/>
                <w:szCs w:val="20"/>
                <w:color w:val="auto"/>
              </w:rPr>
            </w:pPr>
            <w:r>
              <w:rPr>
                <w:rFonts w:ascii="Arial" w:cs="Arial" w:eastAsia="Arial" w:hAnsi="Arial"/>
                <w:sz w:val="22"/>
                <w:szCs w:val="22"/>
                <w:color w:val="auto"/>
                <w:w w:val="98"/>
              </w:rPr>
              <w:t>(loss) from continuing operation</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line="243" w:lineRule="exact"/>
              <w:rPr>
                <w:sz w:val="20"/>
                <w:szCs w:val="20"/>
                <w:color w:val="auto"/>
              </w:rPr>
            </w:pPr>
            <w:r>
              <w:rPr>
                <w:rFonts w:ascii="Arial" w:cs="Arial" w:eastAsia="Arial" w:hAnsi="Arial"/>
                <w:sz w:val="22"/>
                <w:szCs w:val="22"/>
                <w:color w:val="auto"/>
              </w:rPr>
              <w:t>net of cash provided by</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operating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line="243" w:lineRule="exact"/>
              <w:rPr>
                <w:sz w:val="20"/>
                <w:szCs w:val="20"/>
                <w:color w:val="auto"/>
              </w:rPr>
            </w:pPr>
            <w:r>
              <w:rPr>
                <w:rFonts w:ascii="Arial" w:cs="Arial" w:eastAsia="Arial" w:hAnsi="Arial"/>
                <w:sz w:val="22"/>
                <w:szCs w:val="22"/>
                <w:color w:val="auto"/>
              </w:rPr>
              <w:t>activities from continuing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operations: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line="243" w:lineRule="exact"/>
              <w:rPr>
                <w:sz w:val="20"/>
                <w:szCs w:val="20"/>
                <w:color w:val="auto"/>
              </w:rPr>
            </w:pPr>
            <w:r>
              <w:rPr>
                <w:rFonts w:ascii="Arial" w:cs="Arial" w:eastAsia="Arial" w:hAnsi="Arial"/>
                <w:sz w:val="22"/>
                <w:szCs w:val="22"/>
                <w:color w:val="auto"/>
              </w:rPr>
              <w:t>Depreciation</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1,130</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1,130</w:t>
            </w:r>
          </w:p>
        </w:tc>
        <w:tc>
          <w:tcPr>
            <w:tcW w:w="0" w:type="dxa"/>
            <w:vAlign w:val="bottom"/>
          </w:tcPr>
          <w:p>
            <w:pPr>
              <w:spacing w:after="0"/>
              <w:rPr>
                <w:sz w:val="1"/>
                <w:szCs w:val="1"/>
                <w:color w:val="auto"/>
              </w:rPr>
            </w:pPr>
          </w:p>
        </w:tc>
      </w:tr>
      <w:tr>
        <w:trPr>
          <w:trHeight w:val="243"/>
        </w:trPr>
        <w:tc>
          <w:tcPr>
            <w:tcW w:w="3340" w:type="dxa"/>
            <w:vAlign w:val="bottom"/>
          </w:tcPr>
          <w:p>
            <w:pPr>
              <w:ind w:left="260"/>
              <w:spacing w:after="0" w:line="243" w:lineRule="exact"/>
              <w:rPr>
                <w:sz w:val="20"/>
                <w:szCs w:val="20"/>
                <w:color w:val="auto"/>
              </w:rPr>
            </w:pPr>
            <w:r>
              <w:rPr>
                <w:rFonts w:ascii="Arial" w:cs="Arial" w:eastAsia="Arial" w:hAnsi="Arial"/>
                <w:sz w:val="22"/>
                <w:szCs w:val="22"/>
                <w:color w:val="auto"/>
              </w:rPr>
              <w:t>Amortization</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2,143</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2,143</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line="243" w:lineRule="exact"/>
              <w:rPr>
                <w:sz w:val="20"/>
                <w:szCs w:val="20"/>
                <w:color w:val="auto"/>
              </w:rPr>
            </w:pPr>
            <w:r>
              <w:rPr>
                <w:rFonts w:ascii="Arial" w:cs="Arial" w:eastAsia="Arial" w:hAnsi="Arial"/>
                <w:sz w:val="22"/>
                <w:szCs w:val="22"/>
                <w:color w:val="auto"/>
                <w:w w:val="99"/>
              </w:rPr>
              <w:t>Non-cash interest expense, net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43</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line="243" w:lineRule="exact"/>
              <w:rPr>
                <w:sz w:val="20"/>
                <w:szCs w:val="20"/>
                <w:color w:val="auto"/>
              </w:rPr>
            </w:pPr>
            <w:r>
              <w:rPr>
                <w:rFonts w:ascii="Arial" w:cs="Arial" w:eastAsia="Arial" w:hAnsi="Arial"/>
                <w:sz w:val="22"/>
                <w:szCs w:val="22"/>
                <w:color w:val="auto"/>
                <w:w w:val="99"/>
              </w:rPr>
              <w:t>Equity in net losses (income) of</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line="243" w:lineRule="exact"/>
              <w:rPr>
                <w:sz w:val="20"/>
                <w:szCs w:val="20"/>
                <w:color w:val="auto"/>
              </w:rPr>
            </w:pPr>
            <w:r>
              <w:rPr>
                <w:rFonts w:ascii="Arial" w:cs="Arial" w:eastAsia="Arial" w:hAnsi="Arial"/>
                <w:sz w:val="22"/>
                <w:szCs w:val="22"/>
                <w:color w:val="auto"/>
              </w:rPr>
              <w:t>affiliates</w:t>
            </w:r>
          </w:p>
        </w:tc>
        <w:tc>
          <w:tcPr>
            <w:tcW w:w="700" w:type="dxa"/>
            <w:vAlign w:val="bottom"/>
          </w:tcPr>
          <w:p>
            <w:pPr>
              <w:spacing w:after="0"/>
              <w:rPr>
                <w:sz w:val="21"/>
                <w:szCs w:val="21"/>
                <w:color w:val="auto"/>
              </w:rPr>
            </w:pPr>
          </w:p>
        </w:tc>
        <w:tc>
          <w:tcPr>
            <w:tcW w:w="102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67</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438</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(489)</w:t>
            </w: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line="243" w:lineRule="exact"/>
              <w:rPr>
                <w:sz w:val="20"/>
                <w:szCs w:val="20"/>
                <w:color w:val="auto"/>
              </w:rPr>
            </w:pPr>
            <w:r>
              <w:rPr>
                <w:rFonts w:ascii="Arial" w:cs="Arial" w:eastAsia="Arial" w:hAnsi="Arial"/>
                <w:sz w:val="22"/>
                <w:szCs w:val="22"/>
                <w:color w:val="auto"/>
              </w:rPr>
              <w:t>(Gains) losses on investments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and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line="243" w:lineRule="exact"/>
              <w:rPr>
                <w:sz w:val="20"/>
                <w:szCs w:val="20"/>
                <w:color w:val="auto"/>
              </w:rPr>
            </w:pPr>
            <w:r>
              <w:rPr>
                <w:rFonts w:ascii="Arial" w:cs="Arial" w:eastAsia="Arial" w:hAnsi="Arial"/>
                <w:sz w:val="22"/>
                <w:szCs w:val="22"/>
                <w:color w:val="auto"/>
              </w:rPr>
              <w:t>other (income) expense, net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(2,229)</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(2,229)</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line="243" w:lineRule="exact"/>
              <w:rPr>
                <w:sz w:val="20"/>
                <w:szCs w:val="20"/>
                <w:color w:val="auto"/>
              </w:rPr>
            </w:pPr>
            <w:r>
              <w:rPr>
                <w:rFonts w:ascii="Arial" w:cs="Arial" w:eastAsia="Arial" w:hAnsi="Arial"/>
                <w:sz w:val="22"/>
                <w:szCs w:val="22"/>
                <w:color w:val="auto"/>
              </w:rPr>
              <w:t>Minority interest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line="243" w:lineRule="exact"/>
              <w:rPr>
                <w:sz w:val="20"/>
                <w:szCs w:val="20"/>
                <w:color w:val="auto"/>
              </w:rPr>
            </w:pPr>
            <w:r>
              <w:rPr>
                <w:rFonts w:ascii="Arial" w:cs="Arial" w:eastAsia="Arial" w:hAnsi="Arial"/>
                <w:sz w:val="22"/>
                <w:szCs w:val="22"/>
                <w:color w:val="auto"/>
                <w:w w:val="99"/>
              </w:rPr>
              <w:t>Cumulative effect of accounting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change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(385)</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(385)</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line="243" w:lineRule="exact"/>
              <w:rPr>
                <w:sz w:val="20"/>
                <w:szCs w:val="20"/>
                <w:color w:val="auto"/>
              </w:rPr>
            </w:pPr>
            <w:r>
              <w:rPr>
                <w:rFonts w:ascii="Arial" w:cs="Arial" w:eastAsia="Arial" w:hAnsi="Arial"/>
                <w:sz w:val="22"/>
                <w:szCs w:val="22"/>
                <w:color w:val="auto"/>
              </w:rPr>
              <w:t>Deferred income taxes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(253)</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(253)</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line="243" w:lineRule="exact"/>
              <w:rPr>
                <w:sz w:val="20"/>
                <w:szCs w:val="20"/>
                <w:color w:val="auto"/>
              </w:rPr>
            </w:pPr>
            <w:r>
              <w:rPr>
                <w:rFonts w:ascii="Arial" w:cs="Arial" w:eastAsia="Arial" w:hAnsi="Arial"/>
                <w:sz w:val="22"/>
                <w:szCs w:val="22"/>
                <w:color w:val="auto"/>
              </w:rPr>
              <w:t>Proceeds from sales of trading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line="243" w:lineRule="exact"/>
              <w:rPr>
                <w:sz w:val="20"/>
                <w:szCs w:val="20"/>
                <w:color w:val="auto"/>
              </w:rPr>
            </w:pPr>
            <w:r>
              <w:rPr>
                <w:rFonts w:ascii="Arial" w:cs="Arial" w:eastAsia="Arial" w:hAnsi="Arial"/>
                <w:sz w:val="22"/>
                <w:szCs w:val="22"/>
                <w:color w:val="auto"/>
              </w:rPr>
              <w:t>securities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367</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367</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Change in operating assets and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line="243" w:lineRule="exact"/>
              <w:rPr>
                <w:sz w:val="20"/>
                <w:szCs w:val="20"/>
                <w:color w:val="auto"/>
              </w:rPr>
            </w:pPr>
            <w:r>
              <w:rPr>
                <w:rFonts w:ascii="Arial" w:cs="Arial" w:eastAsia="Arial" w:hAnsi="Arial"/>
                <w:sz w:val="22"/>
                <w:szCs w:val="22"/>
                <w:color w:val="auto"/>
              </w:rPr>
              <w:t>liabilities, net of effects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line="243" w:lineRule="exact"/>
              <w:rPr>
                <w:sz w:val="20"/>
                <w:szCs w:val="20"/>
                <w:color w:val="auto"/>
              </w:rPr>
            </w:pPr>
            <w:r>
              <w:rPr>
                <w:rFonts w:ascii="Arial" w:cs="Arial" w:eastAsia="Arial" w:hAnsi="Arial"/>
                <w:sz w:val="22"/>
                <w:szCs w:val="22"/>
                <w:color w:val="auto"/>
              </w:rPr>
              <w:t>of acquisitions and divestitures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line="243" w:lineRule="exact"/>
              <w:rPr>
                <w:sz w:val="20"/>
                <w:szCs w:val="20"/>
                <w:color w:val="auto"/>
              </w:rPr>
            </w:pPr>
            <w:r>
              <w:rPr>
                <w:rFonts w:ascii="Arial" w:cs="Arial" w:eastAsia="Arial" w:hAnsi="Arial"/>
                <w:sz w:val="22"/>
                <w:szCs w:val="22"/>
                <w:color w:val="auto"/>
                <w:w w:val="99"/>
              </w:rPr>
              <w:t>Change in accounts receivable,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net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(15)</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line="243" w:lineRule="exact"/>
              <w:rPr>
                <w:sz w:val="20"/>
                <w:szCs w:val="20"/>
                <w:color w:val="auto"/>
              </w:rPr>
            </w:pPr>
            <w:r>
              <w:rPr>
                <w:rFonts w:ascii="Arial" w:cs="Arial" w:eastAsia="Arial" w:hAnsi="Arial"/>
                <w:sz w:val="22"/>
                <w:szCs w:val="22"/>
                <w:color w:val="auto"/>
              </w:rPr>
              <w:t>Change in accounts payable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line="243" w:lineRule="exact"/>
              <w:rPr>
                <w:sz w:val="20"/>
                <w:szCs w:val="20"/>
                <w:color w:val="auto"/>
              </w:rPr>
            </w:pPr>
            <w:r>
              <w:rPr>
                <w:rFonts w:ascii="Arial" w:cs="Arial" w:eastAsia="Arial" w:hAnsi="Arial"/>
                <w:sz w:val="22"/>
                <w:szCs w:val="22"/>
                <w:color w:val="auto"/>
                <w:w w:val="93"/>
              </w:rPr>
              <w:t>Change in other operating assets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ind w:left="380"/>
              <w:spacing w:after="0"/>
              <w:rPr>
                <w:sz w:val="20"/>
                <w:szCs w:val="20"/>
                <w:color w:val="auto"/>
              </w:rPr>
            </w:pPr>
            <w:r>
              <w:rPr>
                <w:rFonts w:ascii="Arial" w:cs="Arial" w:eastAsia="Arial" w:hAnsi="Arial"/>
                <w:sz w:val="22"/>
                <w:szCs w:val="22"/>
                <w:color w:val="auto"/>
              </w:rPr>
              <w:t>and liabilities</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22"/>
                <w:szCs w:val="22"/>
                <w:color w:val="auto"/>
              </w:rPr>
              <w:t>(54)</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(54)</w:t>
            </w:r>
          </w:p>
        </w:tc>
        <w:tc>
          <w:tcPr>
            <w:tcW w:w="0" w:type="dxa"/>
            <w:vAlign w:val="bottom"/>
          </w:tcPr>
          <w:p>
            <w:pPr>
              <w:spacing w:after="0"/>
              <w:rPr>
                <w:sz w:val="1"/>
                <w:szCs w:val="1"/>
                <w:color w:val="auto"/>
              </w:rPr>
            </w:pPr>
          </w:p>
        </w:tc>
      </w:tr>
      <w:tr>
        <w:trPr>
          <w:trHeight w:val="98"/>
        </w:trPr>
        <w:tc>
          <w:tcPr>
            <w:tcW w:w="3340" w:type="dxa"/>
            <w:vAlign w:val="bottom"/>
            <w:vMerge w:val="restart"/>
          </w:tcPr>
          <w:p>
            <w:pPr>
              <w:ind w:left="280"/>
              <w:spacing w:after="0"/>
              <w:rPr>
                <w:sz w:val="20"/>
                <w:szCs w:val="20"/>
                <w:color w:val="auto"/>
              </w:rPr>
            </w:pPr>
            <w:r>
              <w:rPr>
                <w:rFonts w:ascii="Arial" w:cs="Arial" w:eastAsia="Arial" w:hAnsi="Arial"/>
                <w:sz w:val="22"/>
                <w:szCs w:val="22"/>
                <w:color w:val="auto"/>
              </w:rPr>
              <w:t>Net cash provided by (used in)</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line="243" w:lineRule="exact"/>
              <w:rPr>
                <w:sz w:val="20"/>
                <w:szCs w:val="20"/>
                <w:color w:val="auto"/>
              </w:rPr>
            </w:pPr>
            <w:r>
              <w:rPr>
                <w:rFonts w:ascii="Arial" w:cs="Arial" w:eastAsia="Arial" w:hAnsi="Arial"/>
                <w:sz w:val="22"/>
                <w:szCs w:val="22"/>
                <w:color w:val="auto"/>
              </w:rPr>
              <w:t>operating activities from</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ind w:left="380"/>
              <w:spacing w:after="0"/>
              <w:rPr>
                <w:sz w:val="20"/>
                <w:szCs w:val="20"/>
                <w:color w:val="auto"/>
              </w:rPr>
            </w:pPr>
            <w:r>
              <w:rPr>
                <w:rFonts w:ascii="Arial" w:cs="Arial" w:eastAsia="Arial" w:hAnsi="Arial"/>
                <w:sz w:val="22"/>
                <w:szCs w:val="22"/>
                <w:color w:val="auto"/>
              </w:rPr>
              <w:t>continuing operations</w:t>
            </w:r>
          </w:p>
        </w:tc>
        <w:tc>
          <w:tcPr>
            <w:tcW w:w="700" w:type="dxa"/>
            <w:vAlign w:val="bottom"/>
          </w:tcPr>
          <w:p>
            <w:pPr>
              <w:spacing w:after="0"/>
              <w:rPr>
                <w:sz w:val="23"/>
                <w:szCs w:val="23"/>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22"/>
                <w:szCs w:val="22"/>
                <w:color w:val="auto"/>
              </w:rPr>
              <w:t>(355)</w:t>
            </w: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1,524</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1,169</w:t>
            </w:r>
          </w:p>
        </w:tc>
        <w:tc>
          <w:tcPr>
            <w:tcW w:w="0" w:type="dxa"/>
            <w:vAlign w:val="bottom"/>
          </w:tcPr>
          <w:p>
            <w:pPr>
              <w:spacing w:after="0"/>
              <w:rPr>
                <w:sz w:val="1"/>
                <w:szCs w:val="1"/>
                <w:color w:val="auto"/>
              </w:rPr>
            </w:pPr>
          </w:p>
        </w:tc>
      </w:tr>
      <w:tr>
        <w:trPr>
          <w:trHeight w:val="98"/>
        </w:trPr>
        <w:tc>
          <w:tcPr>
            <w:tcW w:w="3340" w:type="dxa"/>
            <w:vAlign w:val="bottom"/>
            <w:vMerge w:val="restart"/>
          </w:tcPr>
          <w:p>
            <w:pPr>
              <w:spacing w:after="0"/>
              <w:rPr>
                <w:sz w:val="20"/>
                <w:szCs w:val="20"/>
                <w:color w:val="auto"/>
              </w:rPr>
            </w:pPr>
            <w:r>
              <w:rPr>
                <w:rFonts w:ascii="Arial" w:cs="Arial" w:eastAsia="Arial" w:hAnsi="Arial"/>
                <w:sz w:val="22"/>
                <w:szCs w:val="22"/>
                <w:color w:val="auto"/>
              </w:rPr>
              <w:t>FINANCING ACTIVITIES</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Proceeds from borrowings</w:t>
            </w:r>
          </w:p>
        </w:tc>
        <w:tc>
          <w:tcPr>
            <w:tcW w:w="700" w:type="dxa"/>
            <w:vAlign w:val="bottom"/>
          </w:tcPr>
          <w:p>
            <w:pPr>
              <w:spacing w:after="0"/>
              <w:rPr>
                <w:sz w:val="21"/>
                <w:szCs w:val="21"/>
                <w:color w:val="auto"/>
              </w:rPr>
            </w:pPr>
          </w:p>
        </w:tc>
        <w:tc>
          <w:tcPr>
            <w:tcW w:w="102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5,515</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172</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5,687</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Retirements and repayments of</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debt</w:t>
            </w:r>
          </w:p>
        </w:tc>
        <w:tc>
          <w:tcPr>
            <w:tcW w:w="700" w:type="dxa"/>
            <w:vAlign w:val="bottom"/>
          </w:tcPr>
          <w:p>
            <w:pPr>
              <w:spacing w:after="0"/>
              <w:rPr>
                <w:sz w:val="21"/>
                <w:szCs w:val="21"/>
                <w:color w:val="auto"/>
              </w:rPr>
            </w:pPr>
          </w:p>
        </w:tc>
        <w:tc>
          <w:tcPr>
            <w:tcW w:w="1020" w:type="dxa"/>
            <w:vAlign w:val="bottom"/>
            <w:gridSpan w:val="3"/>
          </w:tcPr>
          <w:p>
            <w:pPr>
              <w:jc w:val="right"/>
              <w:ind w:right="60"/>
              <w:spacing w:after="0" w:line="243" w:lineRule="exact"/>
              <w:rPr>
                <w:sz w:val="20"/>
                <w:szCs w:val="20"/>
                <w:color w:val="auto"/>
              </w:rPr>
            </w:pPr>
            <w:r>
              <w:rPr>
                <w:rFonts w:ascii="Arial" w:cs="Arial" w:eastAsia="Arial" w:hAnsi="Arial"/>
                <w:sz w:val="22"/>
                <w:szCs w:val="22"/>
                <w:color w:val="auto"/>
              </w:rPr>
              <w:t>(3,725)</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(288)</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(4,013)</w:t>
            </w:r>
          </w:p>
        </w:tc>
        <w:tc>
          <w:tcPr>
            <w:tcW w:w="0" w:type="dxa"/>
            <w:vAlign w:val="bottom"/>
          </w:tcPr>
          <w:p>
            <w:pPr>
              <w:spacing w:after="0"/>
              <w:rPr>
                <w:sz w:val="1"/>
                <w:szCs w:val="1"/>
                <w:color w:val="auto"/>
              </w:rPr>
            </w:pPr>
          </w:p>
        </w:tc>
      </w:tr>
      <w:tr>
        <w:trPr>
          <w:trHeight w:val="275"/>
        </w:trPr>
        <w:tc>
          <w:tcPr>
            <w:tcW w:w="3340" w:type="dxa"/>
            <w:vAlign w:val="bottom"/>
          </w:tcPr>
          <w:p>
            <w:pPr>
              <w:ind w:left="180"/>
              <w:spacing w:after="0"/>
              <w:rPr>
                <w:sz w:val="20"/>
                <w:szCs w:val="20"/>
                <w:color w:val="auto"/>
              </w:rPr>
            </w:pPr>
            <w:r>
              <w:rPr>
                <w:rFonts w:ascii="Arial" w:cs="Arial" w:eastAsia="Arial" w:hAnsi="Arial"/>
                <w:sz w:val="22"/>
                <w:szCs w:val="22"/>
                <w:color w:val="auto"/>
              </w:rPr>
              <w:t>Proceeds from settlement of</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40" w:orient="portrait"/>
          <w:cols w:equalWidth="0" w:num="1">
            <w:col w:w="10219"/>
          </w:cols>
          <w:pgMar w:left="240" w:top="108" w:right="1440" w:bottom="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0"/>
                <w:szCs w:val="20"/>
                <w:color w:val="auto"/>
              </w:rPr>
            </w:pPr>
            <w:r>
              <w:rPr>
                <w:rFonts w:ascii="Arial" w:cs="Arial" w:eastAsia="Arial" w:hAnsi="Arial"/>
                <w:sz w:val="22"/>
                <w:szCs w:val="22"/>
                <w:color w:val="auto"/>
              </w:rPr>
              <w:t>interest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40"/>
              <w:spacing w:after="0" w:line="243" w:lineRule="exact"/>
              <w:rPr>
                <w:sz w:val="20"/>
                <w:szCs w:val="20"/>
                <w:color w:val="auto"/>
              </w:rPr>
            </w:pPr>
            <w:r>
              <w:rPr>
                <w:rFonts w:ascii="Arial" w:cs="Arial" w:eastAsia="Arial" w:hAnsi="Arial"/>
                <w:sz w:val="22"/>
                <w:szCs w:val="22"/>
                <w:color w:val="auto"/>
              </w:rPr>
              <w:t>rate exchange agreements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Issuances of common stock</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27</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80" w:type="dxa"/>
            <w:vAlign w:val="bottom"/>
            <w:gridSpan w:val="3"/>
          </w:tcPr>
          <w:p>
            <w:pPr>
              <w:jc w:val="right"/>
              <w:ind w:right="1360"/>
              <w:spacing w:after="0" w:line="243" w:lineRule="exact"/>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Repurchases of common stock</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(27)</w:t>
            </w:r>
          </w:p>
        </w:tc>
        <w:tc>
          <w:tcPr>
            <w:tcW w:w="980" w:type="dxa"/>
            <w:vAlign w:val="bottom"/>
          </w:tcPr>
          <w:p>
            <w:pPr>
              <w:spacing w:after="0"/>
              <w:rPr>
                <w:sz w:val="21"/>
                <w:szCs w:val="21"/>
                <w:color w:val="auto"/>
              </w:rPr>
            </w:pPr>
          </w:p>
        </w:tc>
        <w:tc>
          <w:tcPr>
            <w:tcW w:w="2480" w:type="dxa"/>
            <w:vAlign w:val="bottom"/>
            <w:gridSpan w:val="3"/>
          </w:tcPr>
          <w:p>
            <w:pPr>
              <w:jc w:val="right"/>
              <w:ind w:right="1280"/>
              <w:spacing w:after="0" w:line="243" w:lineRule="exact"/>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75"/>
        </w:trPr>
        <w:tc>
          <w:tcPr>
            <w:tcW w:w="3340" w:type="dxa"/>
            <w:vAlign w:val="bottom"/>
          </w:tcPr>
          <w:p>
            <w:pPr>
              <w:ind w:left="180"/>
              <w:spacing w:after="0"/>
              <w:rPr>
                <w:sz w:val="20"/>
                <w:szCs w:val="20"/>
                <w:color w:val="auto"/>
              </w:rPr>
            </w:pPr>
            <w:r>
              <w:rPr>
                <w:rFonts w:ascii="Arial" w:cs="Arial" w:eastAsia="Arial" w:hAnsi="Arial"/>
                <w:sz w:val="22"/>
                <w:szCs w:val="22"/>
                <w:color w:val="auto"/>
              </w:rPr>
              <w:t>Deferred financings costs</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22"/>
                <w:szCs w:val="22"/>
                <w:color w:val="auto"/>
              </w:rPr>
              <w:t>(23)</w:t>
            </w:r>
          </w:p>
        </w:tc>
        <w:tc>
          <w:tcPr>
            <w:tcW w:w="980" w:type="dxa"/>
            <w:vAlign w:val="bottom"/>
          </w:tcPr>
          <w:p>
            <w:pPr>
              <w:spacing w:after="0"/>
              <w:rPr>
                <w:sz w:val="23"/>
                <w:szCs w:val="23"/>
                <w:color w:val="auto"/>
              </w:rPr>
            </w:pPr>
          </w:p>
        </w:tc>
        <w:tc>
          <w:tcPr>
            <w:tcW w:w="2480" w:type="dxa"/>
            <w:vAlign w:val="bottom"/>
            <w:gridSpan w:val="3"/>
          </w:tcPr>
          <w:p>
            <w:pPr>
              <w:jc w:val="right"/>
              <w:ind w:right="1280"/>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98"/>
        </w:trPr>
        <w:tc>
          <w:tcPr>
            <w:tcW w:w="3340" w:type="dxa"/>
            <w:vAlign w:val="bottom"/>
            <w:vMerge w:val="restart"/>
          </w:tcPr>
          <w:p>
            <w:pPr>
              <w:ind w:left="280"/>
              <w:spacing w:after="0"/>
              <w:rPr>
                <w:sz w:val="20"/>
                <w:szCs w:val="20"/>
                <w:color w:val="auto"/>
              </w:rPr>
            </w:pPr>
            <w:r>
              <w:rPr>
                <w:rFonts w:ascii="Arial" w:cs="Arial" w:eastAsia="Arial" w:hAnsi="Arial"/>
                <w:sz w:val="22"/>
                <w:szCs w:val="22"/>
                <w:color w:val="auto"/>
              </w:rPr>
              <w:t>Net cash provided by (used in)</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line="243" w:lineRule="exact"/>
              <w:rPr>
                <w:sz w:val="20"/>
                <w:szCs w:val="20"/>
                <w:color w:val="auto"/>
              </w:rPr>
            </w:pPr>
            <w:r>
              <w:rPr>
                <w:rFonts w:ascii="Arial" w:cs="Arial" w:eastAsia="Arial" w:hAnsi="Arial"/>
                <w:sz w:val="22"/>
                <w:szCs w:val="22"/>
                <w:color w:val="auto"/>
              </w:rPr>
              <w:t>financing activities from</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ind w:left="380"/>
              <w:spacing w:after="0"/>
              <w:rPr>
                <w:sz w:val="20"/>
                <w:szCs w:val="20"/>
                <w:color w:val="auto"/>
              </w:rPr>
            </w:pPr>
            <w:r>
              <w:rPr>
                <w:rFonts w:ascii="Arial" w:cs="Arial" w:eastAsia="Arial" w:hAnsi="Arial"/>
                <w:sz w:val="22"/>
                <w:szCs w:val="22"/>
                <w:color w:val="auto"/>
              </w:rPr>
              <w:t>continuing operations</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22"/>
                <w:szCs w:val="22"/>
                <w:color w:val="auto"/>
              </w:rPr>
              <w:t>1,790</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22"/>
                <w:szCs w:val="22"/>
                <w:color w:val="auto"/>
              </w:rPr>
              <w:t>(139)</w:t>
            </w:r>
          </w:p>
        </w:tc>
        <w:tc>
          <w:tcPr>
            <w:tcW w:w="980" w:type="dxa"/>
            <w:vAlign w:val="bottom"/>
          </w:tcPr>
          <w:p>
            <w:pPr>
              <w:spacing w:after="0"/>
              <w:rPr>
                <w:sz w:val="23"/>
                <w:szCs w:val="23"/>
                <w:color w:val="auto"/>
              </w:rPr>
            </w:pPr>
          </w:p>
        </w:tc>
        <w:tc>
          <w:tcPr>
            <w:tcW w:w="2480" w:type="dxa"/>
            <w:vAlign w:val="bottom"/>
            <w:gridSpan w:val="3"/>
          </w:tcPr>
          <w:p>
            <w:pPr>
              <w:jc w:val="right"/>
              <w:ind w:right="1360"/>
              <w:spacing w:after="0"/>
              <w:rPr>
                <w:sz w:val="20"/>
                <w:szCs w:val="20"/>
                <w:color w:val="auto"/>
              </w:rPr>
            </w:pPr>
            <w:r>
              <w:rPr>
                <w:rFonts w:ascii="Arial" w:cs="Arial" w:eastAsia="Arial" w:hAnsi="Arial"/>
                <w:sz w:val="22"/>
                <w:szCs w:val="22"/>
                <w:color w:val="auto"/>
              </w:rPr>
              <w:t>1,651</w:t>
            </w:r>
          </w:p>
        </w:tc>
        <w:tc>
          <w:tcPr>
            <w:tcW w:w="0" w:type="dxa"/>
            <w:vAlign w:val="bottom"/>
          </w:tcPr>
          <w:p>
            <w:pPr>
              <w:spacing w:after="0"/>
              <w:rPr>
                <w:sz w:val="1"/>
                <w:szCs w:val="1"/>
                <w:color w:val="auto"/>
              </w:rPr>
            </w:pPr>
          </w:p>
        </w:tc>
      </w:tr>
      <w:tr>
        <w:trPr>
          <w:trHeight w:val="98"/>
        </w:trPr>
        <w:tc>
          <w:tcPr>
            <w:tcW w:w="3340" w:type="dxa"/>
            <w:vAlign w:val="bottom"/>
            <w:vMerge w:val="restart"/>
          </w:tcPr>
          <w:p>
            <w:pPr>
              <w:spacing w:after="0"/>
              <w:rPr>
                <w:sz w:val="20"/>
                <w:szCs w:val="20"/>
                <w:color w:val="auto"/>
              </w:rPr>
            </w:pPr>
            <w:r>
              <w:rPr>
                <w:rFonts w:ascii="Arial" w:cs="Arial" w:eastAsia="Arial" w:hAnsi="Arial"/>
                <w:sz w:val="22"/>
                <w:szCs w:val="22"/>
                <w:color w:val="auto"/>
              </w:rPr>
              <w:t>INVESTING ACTIVITIES</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Net transactions with affiliates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w w:val="91"/>
              </w:rPr>
              <w:t>(1,435)</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1,435</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60"/>
              <w:spacing w:after="0" w:line="243" w:lineRule="exact"/>
              <w:rPr>
                <w:sz w:val="20"/>
                <w:szCs w:val="20"/>
                <w:color w:val="auto"/>
              </w:rPr>
            </w:pPr>
            <w:r>
              <w:rPr>
                <w:rFonts w:ascii="Arial" w:cs="Arial" w:eastAsia="Arial" w:hAnsi="Arial"/>
                <w:sz w:val="22"/>
                <w:szCs w:val="22"/>
                <w:color w:val="auto"/>
                <w:w w:val="96"/>
              </w:rPr>
              <w:t>Acquisitions, net of cash acquired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(1,329)</w:t>
            </w:r>
          </w:p>
        </w:tc>
        <w:tc>
          <w:tcPr>
            <w:tcW w:w="980" w:type="dxa"/>
            <w:vAlign w:val="bottom"/>
          </w:tcPr>
          <w:p>
            <w:pPr>
              <w:spacing w:after="0"/>
              <w:rPr>
                <w:sz w:val="21"/>
                <w:szCs w:val="21"/>
                <w:color w:val="auto"/>
              </w:rPr>
            </w:pPr>
          </w:p>
        </w:tc>
        <w:tc>
          <w:tcPr>
            <w:tcW w:w="2480" w:type="dxa"/>
            <w:vAlign w:val="bottom"/>
            <w:gridSpan w:val="3"/>
          </w:tcPr>
          <w:p>
            <w:pPr>
              <w:jc w:val="right"/>
              <w:ind w:right="1280"/>
              <w:spacing w:after="0" w:line="243" w:lineRule="exact"/>
              <w:rPr>
                <w:sz w:val="20"/>
                <w:szCs w:val="20"/>
                <w:color w:val="auto"/>
              </w:rPr>
            </w:pPr>
            <w:r>
              <w:rPr>
                <w:rFonts w:ascii="Arial" w:cs="Arial" w:eastAsia="Arial" w:hAnsi="Arial"/>
                <w:sz w:val="22"/>
                <w:szCs w:val="22"/>
                <w:color w:val="auto"/>
              </w:rPr>
              <w:t>(1,329)</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Proceeds from (purchases of)</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sales of</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20"/>
              <w:spacing w:after="0" w:line="243" w:lineRule="exact"/>
              <w:rPr>
                <w:sz w:val="20"/>
                <w:szCs w:val="20"/>
                <w:color w:val="auto"/>
              </w:rPr>
            </w:pPr>
            <w:r>
              <w:rPr>
                <w:rFonts w:ascii="Arial" w:cs="Arial" w:eastAsia="Arial" w:hAnsi="Arial"/>
                <w:sz w:val="22"/>
                <w:szCs w:val="22"/>
                <w:color w:val="auto"/>
              </w:rPr>
              <w:t>short-term investments, net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(6)</w:t>
            </w:r>
          </w:p>
        </w:tc>
        <w:tc>
          <w:tcPr>
            <w:tcW w:w="980" w:type="dxa"/>
            <w:vAlign w:val="bottom"/>
          </w:tcPr>
          <w:p>
            <w:pPr>
              <w:spacing w:after="0"/>
              <w:rPr>
                <w:sz w:val="21"/>
                <w:szCs w:val="21"/>
                <w:color w:val="auto"/>
              </w:rPr>
            </w:pPr>
          </w:p>
        </w:tc>
        <w:tc>
          <w:tcPr>
            <w:tcW w:w="2480" w:type="dxa"/>
            <w:vAlign w:val="bottom"/>
            <w:gridSpan w:val="3"/>
          </w:tcPr>
          <w:p>
            <w:pPr>
              <w:jc w:val="right"/>
              <w:ind w:right="1280"/>
              <w:spacing w:after="0" w:line="243" w:lineRule="exact"/>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Capital contributions to and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purchases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of investments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(277)</w:t>
            </w:r>
          </w:p>
        </w:tc>
        <w:tc>
          <w:tcPr>
            <w:tcW w:w="980" w:type="dxa"/>
            <w:vAlign w:val="bottom"/>
          </w:tcPr>
          <w:p>
            <w:pPr>
              <w:spacing w:after="0"/>
              <w:rPr>
                <w:sz w:val="21"/>
                <w:szCs w:val="21"/>
                <w:color w:val="auto"/>
              </w:rPr>
            </w:pPr>
          </w:p>
        </w:tc>
        <w:tc>
          <w:tcPr>
            <w:tcW w:w="2480" w:type="dxa"/>
            <w:vAlign w:val="bottom"/>
            <w:gridSpan w:val="3"/>
          </w:tcPr>
          <w:p>
            <w:pPr>
              <w:jc w:val="right"/>
              <w:ind w:right="1280"/>
              <w:spacing w:after="0" w:line="243" w:lineRule="exact"/>
              <w:rPr>
                <w:sz w:val="20"/>
                <w:szCs w:val="20"/>
                <w:color w:val="auto"/>
              </w:rPr>
            </w:pPr>
            <w:r>
              <w:rPr>
                <w:rFonts w:ascii="Arial" w:cs="Arial" w:eastAsia="Arial" w:hAnsi="Arial"/>
                <w:sz w:val="22"/>
                <w:szCs w:val="22"/>
                <w:color w:val="auto"/>
              </w:rPr>
              <w:t>(277)</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Proceeds from sales and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settlements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of investments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806</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80" w:type="dxa"/>
            <w:vAlign w:val="bottom"/>
            <w:gridSpan w:val="3"/>
          </w:tcPr>
          <w:p>
            <w:pPr>
              <w:jc w:val="right"/>
              <w:ind w:right="1360"/>
              <w:spacing w:after="0" w:line="243" w:lineRule="exact"/>
              <w:rPr>
                <w:sz w:val="20"/>
                <w:szCs w:val="20"/>
                <w:color w:val="auto"/>
              </w:rPr>
            </w:pPr>
            <w:r>
              <w:rPr>
                <w:rFonts w:ascii="Arial" w:cs="Arial" w:eastAsia="Arial" w:hAnsi="Arial"/>
                <w:sz w:val="22"/>
                <w:szCs w:val="22"/>
                <w:color w:val="auto"/>
              </w:rPr>
              <w:t>806</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Capital expenditures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(2,039)</w:t>
            </w:r>
          </w:p>
        </w:tc>
        <w:tc>
          <w:tcPr>
            <w:tcW w:w="980" w:type="dxa"/>
            <w:vAlign w:val="bottom"/>
          </w:tcPr>
          <w:p>
            <w:pPr>
              <w:spacing w:after="0"/>
              <w:rPr>
                <w:sz w:val="21"/>
                <w:szCs w:val="21"/>
                <w:color w:val="auto"/>
              </w:rPr>
            </w:pPr>
          </w:p>
        </w:tc>
        <w:tc>
          <w:tcPr>
            <w:tcW w:w="2480" w:type="dxa"/>
            <w:vAlign w:val="bottom"/>
            <w:gridSpan w:val="3"/>
          </w:tcPr>
          <w:p>
            <w:pPr>
              <w:jc w:val="right"/>
              <w:ind w:right="1280"/>
              <w:spacing w:after="0" w:line="243" w:lineRule="exact"/>
              <w:rPr>
                <w:sz w:val="20"/>
                <w:szCs w:val="20"/>
                <w:color w:val="auto"/>
              </w:rPr>
            </w:pPr>
            <w:r>
              <w:rPr>
                <w:rFonts w:ascii="Arial" w:cs="Arial" w:eastAsia="Arial" w:hAnsi="Arial"/>
                <w:sz w:val="22"/>
                <w:szCs w:val="22"/>
                <w:color w:val="auto"/>
              </w:rPr>
              <w:t>(2,039)</w:t>
            </w:r>
          </w:p>
        </w:tc>
        <w:tc>
          <w:tcPr>
            <w:tcW w:w="0" w:type="dxa"/>
            <w:vAlign w:val="bottom"/>
          </w:tcPr>
          <w:p>
            <w:pPr>
              <w:spacing w:after="0"/>
              <w:rPr>
                <w:sz w:val="1"/>
                <w:szCs w:val="1"/>
                <w:color w:val="auto"/>
              </w:rPr>
            </w:pPr>
          </w:p>
        </w:tc>
      </w:tr>
      <w:tr>
        <w:trPr>
          <w:trHeight w:val="243"/>
        </w:trPr>
        <w:tc>
          <w:tcPr>
            <w:tcW w:w="3340" w:type="dxa"/>
            <w:vAlign w:val="bottom"/>
          </w:tcPr>
          <w:p>
            <w:pPr>
              <w:ind w:left="160"/>
              <w:spacing w:after="0" w:line="243" w:lineRule="exact"/>
              <w:rPr>
                <w:sz w:val="20"/>
                <w:szCs w:val="20"/>
                <w:color w:val="auto"/>
              </w:rPr>
            </w:pPr>
            <w:r>
              <w:rPr>
                <w:rFonts w:ascii="Arial" w:cs="Arial" w:eastAsia="Arial" w:hAnsi="Arial"/>
                <w:sz w:val="22"/>
                <w:szCs w:val="22"/>
                <w:color w:val="auto"/>
              </w:rPr>
              <w:t>Additions to intangible and other</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ind w:left="280"/>
              <w:spacing w:after="0"/>
              <w:rPr>
                <w:sz w:val="20"/>
                <w:szCs w:val="20"/>
                <w:color w:val="auto"/>
              </w:rPr>
            </w:pPr>
            <w:r>
              <w:rPr>
                <w:rFonts w:ascii="Arial" w:cs="Arial" w:eastAsia="Arial" w:hAnsi="Arial"/>
                <w:sz w:val="22"/>
                <w:szCs w:val="22"/>
                <w:color w:val="auto"/>
              </w:rPr>
              <w:t>noncurrent assets</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22"/>
                <w:szCs w:val="22"/>
                <w:color w:val="auto"/>
              </w:rPr>
              <w:t>(305)</w:t>
            </w:r>
          </w:p>
        </w:tc>
        <w:tc>
          <w:tcPr>
            <w:tcW w:w="980" w:type="dxa"/>
            <w:vAlign w:val="bottom"/>
          </w:tcPr>
          <w:p>
            <w:pPr>
              <w:spacing w:after="0"/>
              <w:rPr>
                <w:sz w:val="23"/>
                <w:szCs w:val="23"/>
                <w:color w:val="auto"/>
              </w:rPr>
            </w:pPr>
          </w:p>
        </w:tc>
        <w:tc>
          <w:tcPr>
            <w:tcW w:w="2480" w:type="dxa"/>
            <w:vAlign w:val="bottom"/>
            <w:gridSpan w:val="3"/>
          </w:tcPr>
          <w:p>
            <w:pPr>
              <w:jc w:val="right"/>
              <w:ind w:right="1280"/>
              <w:spacing w:after="0"/>
              <w:rPr>
                <w:sz w:val="20"/>
                <w:szCs w:val="20"/>
                <w:color w:val="auto"/>
              </w:rPr>
            </w:pPr>
            <w:r>
              <w:rPr>
                <w:rFonts w:ascii="Arial" w:cs="Arial" w:eastAsia="Arial" w:hAnsi="Arial"/>
                <w:sz w:val="22"/>
                <w:szCs w:val="22"/>
                <w:color w:val="auto"/>
              </w:rPr>
              <w:t>(305)</w:t>
            </w:r>
          </w:p>
        </w:tc>
        <w:tc>
          <w:tcPr>
            <w:tcW w:w="0" w:type="dxa"/>
            <w:vAlign w:val="bottom"/>
          </w:tcPr>
          <w:p>
            <w:pPr>
              <w:spacing w:after="0"/>
              <w:rPr>
                <w:sz w:val="1"/>
                <w:szCs w:val="1"/>
                <w:color w:val="auto"/>
              </w:rPr>
            </w:pPr>
          </w:p>
        </w:tc>
      </w:tr>
      <w:tr>
        <w:trPr>
          <w:trHeight w:val="98"/>
        </w:trPr>
        <w:tc>
          <w:tcPr>
            <w:tcW w:w="3340" w:type="dxa"/>
            <w:vAlign w:val="bottom"/>
            <w:vMerge w:val="restart"/>
          </w:tcPr>
          <w:p>
            <w:pPr>
              <w:ind w:left="280"/>
              <w:spacing w:after="0"/>
              <w:rPr>
                <w:sz w:val="20"/>
                <w:szCs w:val="20"/>
                <w:color w:val="auto"/>
              </w:rPr>
            </w:pPr>
            <w:r>
              <w:rPr>
                <w:rFonts w:ascii="Arial" w:cs="Arial" w:eastAsia="Arial" w:hAnsi="Arial"/>
                <w:sz w:val="22"/>
                <w:szCs w:val="22"/>
                <w:color w:val="auto"/>
              </w:rPr>
              <w:t>Net cash used in investing</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activities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ind w:left="380"/>
              <w:spacing w:after="0"/>
              <w:rPr>
                <w:sz w:val="20"/>
                <w:szCs w:val="20"/>
                <w:color w:val="auto"/>
              </w:rPr>
            </w:pPr>
            <w:r>
              <w:rPr>
                <w:rFonts w:ascii="Arial" w:cs="Arial" w:eastAsia="Arial" w:hAnsi="Arial"/>
                <w:sz w:val="22"/>
                <w:szCs w:val="22"/>
                <w:color w:val="auto"/>
              </w:rPr>
              <w:t>from continuing operations</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22"/>
                <w:szCs w:val="22"/>
                <w:color w:val="auto"/>
                <w:w w:val="91"/>
              </w:rPr>
              <w:t>(1,435)</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22"/>
                <w:szCs w:val="22"/>
                <w:color w:val="auto"/>
              </w:rPr>
              <w:t>(1,715)</w:t>
            </w:r>
          </w:p>
        </w:tc>
        <w:tc>
          <w:tcPr>
            <w:tcW w:w="980" w:type="dxa"/>
            <w:vAlign w:val="bottom"/>
          </w:tcPr>
          <w:p>
            <w:pPr>
              <w:spacing w:after="0"/>
              <w:rPr>
                <w:sz w:val="23"/>
                <w:szCs w:val="23"/>
                <w:color w:val="auto"/>
              </w:rPr>
            </w:pPr>
          </w:p>
        </w:tc>
        <w:tc>
          <w:tcPr>
            <w:tcW w:w="2480" w:type="dxa"/>
            <w:vAlign w:val="bottom"/>
            <w:gridSpan w:val="3"/>
          </w:tcPr>
          <w:p>
            <w:pPr>
              <w:jc w:val="right"/>
              <w:ind w:right="1280"/>
              <w:spacing w:after="0"/>
              <w:rPr>
                <w:sz w:val="20"/>
                <w:szCs w:val="20"/>
                <w:color w:val="auto"/>
              </w:rPr>
            </w:pPr>
            <w:r>
              <w:rPr>
                <w:rFonts w:ascii="Arial" w:cs="Arial" w:eastAsia="Arial" w:hAnsi="Arial"/>
                <w:sz w:val="22"/>
                <w:szCs w:val="22"/>
                <w:color w:val="auto"/>
              </w:rPr>
              <w:t>(3,150)</w:t>
            </w:r>
          </w:p>
        </w:tc>
        <w:tc>
          <w:tcPr>
            <w:tcW w:w="0" w:type="dxa"/>
            <w:vAlign w:val="bottom"/>
          </w:tcPr>
          <w:p>
            <w:pPr>
              <w:spacing w:after="0"/>
              <w:rPr>
                <w:sz w:val="1"/>
                <w:szCs w:val="1"/>
                <w:color w:val="auto"/>
              </w:rPr>
            </w:pPr>
          </w:p>
        </w:tc>
      </w:tr>
      <w:tr>
        <w:trPr>
          <w:trHeight w:val="98"/>
        </w:trPr>
        <w:tc>
          <w:tcPr>
            <w:tcW w:w="3340" w:type="dxa"/>
            <w:vAlign w:val="bottom"/>
            <w:vMerge w:val="restart"/>
          </w:tcPr>
          <w:p>
            <w:pPr>
              <w:spacing w:after="0"/>
              <w:rPr>
                <w:sz w:val="20"/>
                <w:szCs w:val="20"/>
                <w:color w:val="auto"/>
              </w:rPr>
            </w:pPr>
            <w:r>
              <w:rPr>
                <w:rFonts w:ascii="Arial" w:cs="Arial" w:eastAsia="Arial" w:hAnsi="Arial"/>
                <w:sz w:val="22"/>
                <w:szCs w:val="22"/>
                <w:color w:val="auto"/>
              </w:rPr>
              <w:t>DECREASE IN CASH AND</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CASH</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60"/>
              <w:spacing w:after="0" w:line="243" w:lineRule="exact"/>
              <w:rPr>
                <w:sz w:val="20"/>
                <w:szCs w:val="20"/>
                <w:color w:val="auto"/>
              </w:rPr>
            </w:pPr>
            <w:r>
              <w:rPr>
                <w:rFonts w:ascii="Arial" w:cs="Arial" w:eastAsia="Arial" w:hAnsi="Arial"/>
                <w:sz w:val="22"/>
                <w:szCs w:val="22"/>
                <w:color w:val="auto"/>
              </w:rPr>
              <w:t>EQUIVALENTS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(330)</w:t>
            </w:r>
          </w:p>
        </w:tc>
        <w:tc>
          <w:tcPr>
            <w:tcW w:w="980" w:type="dxa"/>
            <w:vAlign w:val="bottom"/>
          </w:tcPr>
          <w:p>
            <w:pPr>
              <w:spacing w:after="0"/>
              <w:rPr>
                <w:sz w:val="21"/>
                <w:szCs w:val="21"/>
                <w:color w:val="auto"/>
              </w:rPr>
            </w:pPr>
          </w:p>
        </w:tc>
        <w:tc>
          <w:tcPr>
            <w:tcW w:w="2480" w:type="dxa"/>
            <w:vAlign w:val="bottom"/>
            <w:gridSpan w:val="3"/>
          </w:tcPr>
          <w:p>
            <w:pPr>
              <w:jc w:val="right"/>
              <w:ind w:right="1280"/>
              <w:spacing w:after="0" w:line="243" w:lineRule="exact"/>
              <w:rPr>
                <w:sz w:val="20"/>
                <w:szCs w:val="20"/>
                <w:color w:val="auto"/>
              </w:rPr>
            </w:pPr>
            <w:r>
              <w:rPr>
                <w:rFonts w:ascii="Arial" w:cs="Arial" w:eastAsia="Arial" w:hAnsi="Arial"/>
                <w:sz w:val="22"/>
                <w:szCs w:val="22"/>
                <w:color w:val="auto"/>
              </w:rPr>
              <w:t>(330)</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CASH AND CASH</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EQUIVALENTS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ind w:left="180"/>
              <w:spacing w:after="0"/>
              <w:rPr>
                <w:sz w:val="20"/>
                <w:szCs w:val="20"/>
                <w:color w:val="auto"/>
              </w:rPr>
            </w:pPr>
            <w:r>
              <w:rPr>
                <w:rFonts w:ascii="Arial" w:cs="Arial" w:eastAsia="Arial" w:hAnsi="Arial"/>
                <w:sz w:val="22"/>
                <w:szCs w:val="22"/>
                <w:color w:val="auto"/>
              </w:rPr>
              <w:t>beginning of year</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544</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80" w:type="dxa"/>
            <w:vAlign w:val="bottom"/>
            <w:gridSpan w:val="3"/>
          </w:tcPr>
          <w:p>
            <w:pPr>
              <w:jc w:val="right"/>
              <w:ind w:right="1360"/>
              <w:spacing w:after="0"/>
              <w:rPr>
                <w:sz w:val="20"/>
                <w:szCs w:val="20"/>
                <w:color w:val="auto"/>
              </w:rPr>
            </w:pPr>
            <w:r>
              <w:rPr>
                <w:rFonts w:ascii="Arial" w:cs="Arial" w:eastAsia="Arial" w:hAnsi="Arial"/>
                <w:sz w:val="22"/>
                <w:szCs w:val="22"/>
                <w:color w:val="auto"/>
              </w:rPr>
              <w:t>544</w:t>
            </w:r>
          </w:p>
        </w:tc>
        <w:tc>
          <w:tcPr>
            <w:tcW w:w="0" w:type="dxa"/>
            <w:vAlign w:val="bottom"/>
          </w:tcPr>
          <w:p>
            <w:pPr>
              <w:spacing w:after="0"/>
              <w:rPr>
                <w:sz w:val="1"/>
                <w:szCs w:val="1"/>
                <w:color w:val="auto"/>
              </w:rPr>
            </w:pPr>
          </w:p>
        </w:tc>
      </w:tr>
      <w:tr>
        <w:trPr>
          <w:trHeight w:val="98"/>
        </w:trPr>
        <w:tc>
          <w:tcPr>
            <w:tcW w:w="3340" w:type="dxa"/>
            <w:vAlign w:val="bottom"/>
            <w:vMerge w:val="restart"/>
          </w:tcPr>
          <w:p>
            <w:pPr>
              <w:spacing w:after="0"/>
              <w:rPr>
                <w:sz w:val="20"/>
                <w:szCs w:val="20"/>
                <w:color w:val="auto"/>
              </w:rPr>
            </w:pPr>
            <w:r>
              <w:rPr>
                <w:rFonts w:ascii="Arial" w:cs="Arial" w:eastAsia="Arial" w:hAnsi="Arial"/>
                <w:sz w:val="22"/>
                <w:szCs w:val="22"/>
                <w:color w:val="auto"/>
              </w:rPr>
              <w:t>CASH AND CASH</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EQUIVALENTS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ind w:left="180"/>
              <w:spacing w:after="0"/>
              <w:rPr>
                <w:sz w:val="20"/>
                <w:szCs w:val="20"/>
                <w:color w:val="auto"/>
              </w:rPr>
            </w:pPr>
            <w:r>
              <w:rPr>
                <w:rFonts w:ascii="Arial" w:cs="Arial" w:eastAsia="Arial" w:hAnsi="Arial"/>
                <w:sz w:val="22"/>
                <w:szCs w:val="22"/>
                <w:color w:val="auto"/>
              </w:rPr>
              <w:t>end of year</w:t>
            </w:r>
          </w:p>
        </w:tc>
        <w:tc>
          <w:tcPr>
            <w:tcW w:w="700" w:type="dxa"/>
            <w:vAlign w:val="bottom"/>
          </w:tcPr>
          <w:p>
            <w:pPr>
              <w:jc w:val="right"/>
              <w:ind w:right="503"/>
              <w:spacing w:after="0"/>
              <w:rPr>
                <w:sz w:val="20"/>
                <w:szCs w:val="20"/>
                <w:color w:val="auto"/>
              </w:rPr>
            </w:pPr>
            <w:r>
              <w:rPr>
                <w:rFonts w:ascii="Arial" w:cs="Arial" w:eastAsia="Arial" w:hAnsi="Arial"/>
                <w:sz w:val="19"/>
                <w:szCs w:val="19"/>
                <w:color w:val="auto"/>
                <w:w w:val="75"/>
              </w:rPr>
              <w:t>$</w:t>
            </w:r>
          </w:p>
        </w:tc>
        <w:tc>
          <w:tcPr>
            <w:tcW w:w="30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1380" w:type="dxa"/>
            <w:vAlign w:val="bottom"/>
            <w:gridSpan w:val="3"/>
          </w:tcPr>
          <w:p>
            <w:pPr>
              <w:jc w:val="right"/>
              <w:ind w:right="640"/>
              <w:spacing w:after="0"/>
              <w:rPr>
                <w:sz w:val="20"/>
                <w:szCs w:val="20"/>
                <w:color w:val="auto"/>
              </w:rPr>
            </w:pPr>
            <w:r>
              <w:rPr>
                <w:rFonts w:ascii="Arial" w:cs="Arial" w:eastAsia="Arial" w:hAnsi="Arial"/>
                <w:sz w:val="22"/>
                <w:szCs w:val="22"/>
                <w:color w:val="auto"/>
              </w:rPr>
              <w:t>$</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$214</w:t>
            </w:r>
          </w:p>
        </w:tc>
        <w:tc>
          <w:tcPr>
            <w:tcW w:w="200" w:type="dxa"/>
            <w:vAlign w:val="bottom"/>
          </w:tcPr>
          <w:p>
            <w:pPr>
              <w:spacing w:after="0"/>
              <w:rPr>
                <w:sz w:val="23"/>
                <w:szCs w:val="23"/>
                <w:color w:val="auto"/>
              </w:rPr>
            </w:pPr>
          </w:p>
        </w:tc>
        <w:tc>
          <w:tcPr>
            <w:tcW w:w="980" w:type="dxa"/>
            <w:vAlign w:val="bottom"/>
          </w:tcPr>
          <w:p>
            <w:pPr>
              <w:jc w:val="right"/>
              <w:ind w:right="783"/>
              <w:spacing w:after="0"/>
              <w:rPr>
                <w:sz w:val="20"/>
                <w:szCs w:val="20"/>
                <w:color w:val="auto"/>
              </w:rPr>
            </w:pPr>
            <w:r>
              <w:rPr>
                <w:rFonts w:ascii="Arial" w:cs="Arial" w:eastAsia="Arial" w:hAnsi="Arial"/>
                <w:sz w:val="19"/>
                <w:szCs w:val="19"/>
                <w:color w:val="auto"/>
                <w:w w:val="75"/>
              </w:rPr>
              <w:t>$</w:t>
            </w:r>
          </w:p>
        </w:tc>
        <w:tc>
          <w:tcPr>
            <w:tcW w:w="2480" w:type="dxa"/>
            <w:vAlign w:val="bottom"/>
            <w:gridSpan w:val="3"/>
          </w:tcPr>
          <w:p>
            <w:pPr>
              <w:jc w:val="right"/>
              <w:ind w:right="1360"/>
              <w:spacing w:after="0"/>
              <w:rPr>
                <w:sz w:val="20"/>
                <w:szCs w:val="20"/>
                <w:color w:val="auto"/>
              </w:rPr>
            </w:pPr>
            <w:r>
              <w:rPr>
                <w:rFonts w:ascii="Arial" w:cs="Arial" w:eastAsia="Arial" w:hAnsi="Arial"/>
                <w:sz w:val="22"/>
                <w:szCs w:val="22"/>
                <w:color w:val="auto"/>
              </w:rPr>
              <w:t>$214</w:t>
            </w: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4"/>
        </w:trPr>
        <w:tc>
          <w:tcPr>
            <w:tcW w:w="3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22"/>
                <w:szCs w:val="22"/>
                <w:color w:val="auto"/>
              </w:rPr>
              <w:t>- 53 -</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-518160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-518160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-518160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-518160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-518160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-518160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-518160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-518160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-518160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-518160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-518160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-518160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-518160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-518160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b w:val="1"/>
          <w:bCs w:val="1"/>
          <w:u w:val="single" w:color="auto"/>
          <w:color w:val="auto"/>
        </w:rPr>
        <w:t>CONSENT OF INDEPENDENT REGISTERED PUBLIC ACCOUNTING FIRM</w:t>
      </w:r>
    </w:p>
    <w:p>
      <w:pPr>
        <w:spacing w:after="0" w:line="213"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We consent to the incorporation by reference in Registration Statements of Comcast Corporation on Form S-8 (Nos. 333-101645, 333-101295 and 333-104385), Form S-3 (Nos. 333-101861 and 333-104034), and Form S-4 (Nos. 333-101264 and 333-102883) of our report dated March 11, 2004 (August 31, 2004 as to Notes 14 and 16) (which report expresses an unqualified opinion and includes an explanatory paragraph related to the adoption of Statement of Financial Accounting Standards No. 133, “Accounting for Derivative Instruments and Hedging Activities,” as amended, effective January 1, 2001, and Statement of Financial Accounting Standards No. 142, “Goodwill and Other Intangible Assets,” effective January 1, 2002) which appears in this Current Report on Form 8-K of Comcast Corporation.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Philadelphia, Pennsylvania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September 21, 2004</w:t>
      </w:r>
    </w:p>
    <w:sectPr>
      <w:pgSz w:w="11900" w:h="16838" w:orient="portrait"/>
      <w:cols w:equalWidth="0" w:num="1">
        <w:col w:w="11380"/>
      </w:cols>
      <w:pgMar w:left="240" w:top="11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1."/>
      <w:numFmt w:val="decimal"/>
      <w:start w:val="1"/>
    </w:lvl>
  </w:abstractNum>
  <w:abstractNum w:abstractNumId="2">
    <w:nsid w:val="77AE35EB"/>
    <w:multiLevelType w:val="hybridMultilevel"/>
    <w:lvl w:ilvl="0">
      <w:lvlJc w:val="left"/>
      <w:lvlText w:val="%1."/>
      <w:numFmt w:val="decimal"/>
      <w:start w:val="1"/>
    </w:lvl>
  </w:abstractNum>
  <w:abstractNum w:abstractNumId="3">
    <w:nsid w:val="579BE4F1"/>
    <w:multiLevelType w:val="hybridMultilevel"/>
    <w:lvl w:ilvl="0">
      <w:lvlJc w:val="left"/>
      <w:lvlText w:val="%1."/>
      <w:numFmt w:val="decimal"/>
      <w:start w:val="1"/>
    </w:lvl>
  </w:abstractNum>
  <w:abstractNum w:abstractNumId="4">
    <w:nsid w:val="310C50B3"/>
    <w:multiLevelType w:val="hybridMultilevel"/>
    <w:lvl w:ilvl="0">
      <w:lvlJc w:val="left"/>
      <w:lvlText w:val="%1."/>
      <w:numFmt w:val="decimal"/>
      <w:start w:val="3"/>
    </w:lvl>
  </w:abstractNum>
  <w:abstractNum w:abstractNumId="5">
    <w:nsid w:val="5FF87E0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
    <w:nsid w:val="2F305DEF"/>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5"/>
    </w:lvl>
  </w:abstractNum>
  <w:abstractNum w:abstractNumId="7">
    <w:nsid w:val="25A70BF7"/>
    <w:multiLevelType w:val="hybridMultilevel"/>
    <w:lvl w:ilvl="0">
      <w:lvlJc w:val="left"/>
      <w:lvlText w:val="(%1)"/>
      <w:numFmt w:val="lowerLetter"/>
      <w:start w:val="15"/>
    </w:lvl>
    <w:lvl w:ilvl="1">
      <w:lvlJc w:val="left"/>
      <w:lvlText w:val="(%2)"/>
      <w:numFmt w:val="lowerRoman"/>
      <w:start w:val="1"/>
    </w:lvl>
  </w:abstractNum>
  <w:abstractNum w:abstractNumId="8">
    <w:nsid w:val="1DBABF00"/>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9">
    <w:nsid w:val="4AD084E9"/>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0">
    <w:nsid w:val="1F48EAA1"/>
    <w:multiLevelType w:val="hybridMultilevel"/>
    <w:lvl w:ilvl="0">
      <w:lvlJc w:val="left"/>
      <w:lvlText w:val="(%1)"/>
      <w:numFmt w:val="lowerLetter"/>
      <w:start w:val="21"/>
    </w:lvl>
  </w:abstractNum>
  <w:abstractNum w:abstractNumId="11">
    <w:nsid w:val="1381823A"/>
    <w:multiLevelType w:val="hybridMultilevel"/>
    <w:lvl w:ilvl="0">
      <w:lvlJc w:val="left"/>
      <w:lvlText w:val="(%1)"/>
      <w:numFmt w:val="lowerLetter"/>
      <w:start w:val="24"/>
    </w:lvl>
  </w:abstractNum>
  <w:abstractNum w:abstractNumId="12">
    <w:nsid w:val="5DB70AE5"/>
    <w:multiLevelType w:val="hybridMultilevel"/>
    <w:lvl w:ilvl="0">
      <w:lvlJc w:val="left"/>
      <w:lvlText w:val="%1"/>
      <w:numFmt w:val="decimal"/>
      <w:start w:val="1"/>
    </w:lvl>
    <w:lvl w:ilvl="1">
      <w:lvlJc w:val="left"/>
      <w:lvlText w:val="(%2)"/>
      <w:numFmt w:val="lowerLetter"/>
      <w:start w:val="27"/>
    </w:lvl>
    <w:lvl w:ilvl="2">
      <w:lvlJc w:val="left"/>
      <w:lvlText w:val="(%3)"/>
      <w:numFmt w:val="lowerRoman"/>
      <w:start w:val="1"/>
    </w:lvl>
  </w:abstractNum>
  <w:abstractNum w:abstractNumId="13">
    <w:nsid w:val="100F8FC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4">
    <w:nsid w:val="6590700B"/>
    <w:multiLevelType w:val="hybridMultilevel"/>
    <w:lvl w:ilvl="0">
      <w:lvlJc w:val="left"/>
      <w:lvlText w:val="%1"/>
      <w:numFmt w:val="decimal"/>
      <w:start w:val="1"/>
    </w:lvl>
    <w:lvl w:ilvl="1">
      <w:lvlJc w:val="left"/>
      <w:lvlText w:val="(%2)"/>
      <w:numFmt w:val="lowerLetter"/>
      <w:start w:val="1"/>
    </w:lvl>
  </w:abstractNum>
  <w:abstractNum w:abstractNumId="15">
    <w:nsid w:val="15014ACB"/>
    <w:multiLevelType w:val="hybridMultilevel"/>
    <w:lvl w:ilvl="0">
      <w:lvlJc w:val="left"/>
      <w:lvlText w:val="%1."/>
      <w:numFmt w:val="decimal"/>
      <w:start w:val="5"/>
    </w:lvl>
    <w:lvl w:ilvl="1">
      <w:lvlJc w:val="left"/>
      <w:lvlText w:val="%2"/>
      <w:numFmt w:val="lowerLetter"/>
      <w:start w:val="1"/>
    </w:lvl>
  </w:abstractNum>
  <w:abstractNum w:abstractNumId="16">
    <w:nsid w:val="5F5E7FD0"/>
    <w:multiLevelType w:val="hybridMultilevel"/>
    <w:lvl w:ilvl="0">
      <w:lvlJc w:val="left"/>
      <w:lvlText w:val="%1."/>
      <w:numFmt w:val="decimal"/>
      <w:start w:val="8"/>
    </w:lvl>
  </w:abstractNum>
  <w:abstractNum w:abstractNumId="17">
    <w:nsid w:val="98A3148"/>
    <w:multiLevelType w:val="hybridMultilevel"/>
    <w:lvl w:ilvl="0">
      <w:lvlJc w:val="left"/>
      <w:lvlText w:val="%1."/>
      <w:numFmt w:val="decimal"/>
      <w:start w:val="13"/>
    </w:lvl>
    <w:lvl w:ilvl="1">
      <w:lvlJc w:val="left"/>
      <w:lvlText w:val="(%2)"/>
      <w:numFmt w:val="lowerLetter"/>
      <w:start w:val="1"/>
    </w:lvl>
  </w:abstractNum>
  <w:abstractNum w:abstractNumId="18">
    <w:nsid w:val="799D0247"/>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9">
    <w:nsid w:val="6B94764"/>
    <w:multiLevelType w:val="hybridMultilevel"/>
    <w:lvl w:ilvl="0">
      <w:lvlJc w:val="left"/>
      <w:lvlText w:val="%1."/>
      <w:numFmt w:val="decimal"/>
      <w:start w:val="2"/>
    </w:lvl>
    <w:lvl w:ilvl="1">
      <w:lvlJc w:val="left"/>
      <w:lvlText w:val="%2"/>
      <w:numFmt w:val="lowerLetter"/>
      <w:start w:val="1"/>
    </w:lvl>
  </w:abstractNum>
  <w:abstractNum w:abstractNumId="20">
    <w:nsid w:val="42C296BD"/>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1">
    <w:nsid w:val="168E121F"/>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22">
    <w:nsid w:val="1EBA5D23"/>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23">
    <w:nsid w:val="661E3F1E"/>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24">
    <w:nsid w:val="5DC79EA8"/>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25">
    <w:nsid w:val="540A471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26">
    <w:nsid w:val="7BD3EE7B"/>
    <w:multiLevelType w:val="hybridMultilevel"/>
    <w:lvl w:ilvl="0">
      <w:lvlJc w:val="left"/>
      <w:lvlText w:val="%1"/>
      <w:numFmt w:val="lowerLetter"/>
      <w:start w:val="1"/>
    </w:lvl>
    <w:lvl w:ilvl="1">
      <w:lvlJc w:val="left"/>
      <w:lvlText w:val="(%2)"/>
      <w:numFmt w:val="decimal"/>
      <w:start w:val="4"/>
    </w:lvl>
    <w:lvl w:ilvl="2">
      <w:lvlJc w:val="left"/>
      <w:lvlText w:val="%3"/>
      <w:numFmt w:val="upperLetter"/>
      <w:start w:val="1"/>
    </w:lvl>
  </w:abstractNum>
  <w:abstractNum w:abstractNumId="27">
    <w:nsid w:val="51D9C564"/>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28">
    <w:nsid w:val="613EFDC5"/>
    <w:multiLevelType w:val="hybridMultilevel"/>
    <w:lvl w:ilvl="0">
      <w:lvlJc w:val="left"/>
      <w:lvlText w:val="%1."/>
      <w:numFmt w:val="decimal"/>
      <w:start w:val="8"/>
    </w:lvl>
    <w:lvl w:ilvl="1">
      <w:lvlJc w:val="left"/>
      <w:lvlText w:val="%2."/>
      <w:numFmt w:val="lowerLetter"/>
      <w:start w:val="1"/>
    </w:lvl>
  </w:abstractNum>
  <w:abstractNum w:abstractNumId="29">
    <w:nsid w:val="BF72B14"/>
    <w:multiLevelType w:val="hybridMultilevel"/>
    <w:lvl w:ilvl="0">
      <w:lvlJc w:val="left"/>
      <w:lvlText w:val="%1."/>
      <w:numFmt w:val="decimal"/>
      <w:start w:val="1"/>
    </w:lvl>
    <w:lvl w:ilvl="1">
      <w:lvlJc w:val="left"/>
      <w:lvlText w:val="%2."/>
      <w:numFmt w:val="lowerLetter"/>
      <w:start w:val="1"/>
    </w:lvl>
  </w:abstractNum>
  <w:abstractNum w:abstractNumId="30">
    <w:nsid w:val="11447B73"/>
    <w:multiLevelType w:val="hybridMultilevel"/>
    <w:lvl w:ilvl="0">
      <w:lvlJc w:val="left"/>
      <w:lvlText w:val="(%1)"/>
      <w:numFmt w:val="decimal"/>
      <w:start w:val="1"/>
    </w:lvl>
  </w:abstractNum>
  <w:abstractNum w:abstractNumId="31">
    <w:nsid w:val="42963E5A"/>
    <w:multiLevelType w:val="hybridMultilevel"/>
    <w:lvl w:ilvl="0">
      <w:lvlJc w:val="left"/>
      <w:lvlText w:val="%1."/>
      <w:numFmt w:val="decimal"/>
      <w:start w:val="2"/>
    </w:lvl>
    <w:lvl w:ilvl="1">
      <w:lvlJc w:val="left"/>
      <w:lvlText w:val="%2."/>
      <w:numFmt w:val="lowerLetter"/>
      <w:start w:val="1"/>
    </w:lvl>
  </w:abstractNum>
  <w:abstractNum w:abstractNumId="32">
    <w:nsid w:val="A0382C5"/>
    <w:multiLevelType w:val="hybridMultilevel"/>
    <w:lvl w:ilvl="0">
      <w:lvlJc w:val="left"/>
      <w:lvlText w:val="(%1)"/>
      <w:numFmt w:val="decimal"/>
      <w:start w:val="1"/>
    </w:lvl>
  </w:abstractNum>
  <w:abstractNum w:abstractNumId="33">
    <w:nsid w:val="8F2B15E"/>
    <w:multiLevelType w:val="hybridMultilevel"/>
    <w:lvl w:ilvl="0">
      <w:lvlJc w:val="left"/>
      <w:lvlText w:val="%1."/>
      <w:numFmt w:val="decimal"/>
      <w:start w:val="4"/>
    </w:lvl>
    <w:lvl w:ilvl="1">
      <w:lvlJc w:val="left"/>
      <w:lvlText w:val="%2."/>
      <w:numFmt w:val="lowerLetter"/>
      <w:start w:val="1"/>
    </w:lvl>
  </w:abstractNum>
  <w:abstractNum w:abstractNumId="34">
    <w:nsid w:val="1A32234B"/>
    <w:multiLevelType w:val="hybridMultilevel"/>
    <w:lvl w:ilvl="0">
      <w:lvlJc w:val="left"/>
      <w:lvlText w:val="(%1)"/>
      <w:numFmt w:val="decimal"/>
      <w:start w:val="1"/>
    </w:lvl>
  </w:abstractNum>
  <w:abstractNum w:abstractNumId="35">
    <w:nsid w:val="3B0FD379"/>
    <w:multiLevelType w:val="hybridMultilevel"/>
    <w:lvl w:ilvl="0">
      <w:lvlJc w:val="left"/>
      <w:lvlText w:val="(%1)"/>
      <w:numFmt w:val="decimal"/>
      <w:start w:val="3"/>
    </w:lvl>
  </w:abstractNum>
  <w:abstractNum w:abstractNumId="36">
    <w:nsid w:val="68EB2F63"/>
    <w:multiLevelType w:val="hybridMultilevel"/>
    <w:lvl w:ilvl="0">
      <w:lvlJc w:val="left"/>
      <w:lvlText w:val="(%1)"/>
      <w:numFmt w:val="decimal"/>
      <w:start w:val="1"/>
    </w:lvl>
  </w:abstractNum>
  <w:abstractNum w:abstractNumId="37">
    <w:nsid w:val="4962813B"/>
    <w:multiLevelType w:val="hybridMultilevel"/>
    <w:lvl w:ilvl="0">
      <w:lvlJc w:val="left"/>
      <w:lvlText w:val="(%1)"/>
      <w:numFmt w:val="decimal"/>
      <w:start w:val="4"/>
    </w:lvl>
  </w:abstractNum>
  <w:abstractNum w:abstractNumId="38">
    <w:nsid w:val="60B6DF70"/>
    <w:multiLevelType w:val="hybridMultilevel"/>
    <w:lvl w:ilvl="0">
      <w:lvlJc w:val="left"/>
      <w:lvlText w:val="%1."/>
      <w:numFmt w:val="decimal"/>
      <w:start w:val="6"/>
    </w:lvl>
  </w:abstractNum>
  <w:abstractNum w:abstractNumId="39">
    <w:nsid w:val="6A5EE6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0">
    <w:nsid w:val="14330624"/>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5"/>
    </w:lvl>
  </w:abstractNum>
  <w:abstractNum w:abstractNumId="41">
    <w:nsid w:val="7FFFCA11"/>
    <w:multiLevelType w:val="hybridMultilevel"/>
    <w:lvl w:ilvl="0">
      <w:lvlJc w:val="left"/>
      <w:lvlText w:val="(%1)"/>
      <w:numFmt w:val="lowerLetter"/>
      <w:start w:val="15"/>
    </w:lvl>
    <w:lvl w:ilvl="1">
      <w:lvlJc w:val="left"/>
      <w:lvlText w:val="(%2)"/>
      <w:numFmt w:val="decimal"/>
      <w:start w:val="1"/>
    </w:lvl>
  </w:abstractNum>
  <w:abstractNum w:abstractNumId="42">
    <w:nsid w:val="1A27709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3">
    <w:nsid w:val="71EA1109"/>
    <w:multiLevelType w:val="hybridMultilevel"/>
    <w:lvl w:ilvl="0">
      <w:lvlJc w:val="left"/>
      <w:lvlText w:val="(%1)"/>
      <w:numFmt w:val="lowerLetter"/>
      <w:start w:val="21"/>
    </w:lvl>
  </w:abstractNum>
  <w:abstractNum w:abstractNumId="44">
    <w:nsid w:val="100F59DC"/>
    <w:multiLevelType w:val="hybridMultilevel"/>
    <w:lvl w:ilvl="0">
      <w:lvlJc w:val="left"/>
      <w:lvlText w:val="(%1)"/>
      <w:numFmt w:val="lowerLetter"/>
      <w:start w:val="24"/>
    </w:lvl>
  </w:abstractNum>
  <w:abstractNum w:abstractNumId="45">
    <w:nsid w:val="7FB7E0AA"/>
    <w:multiLevelType w:val="hybridMultilevel"/>
    <w:lvl w:ilvl="0">
      <w:lvlJc w:val="left"/>
      <w:lvlText w:val="%1"/>
      <w:numFmt w:val="decimal"/>
      <w:start w:val="1"/>
    </w:lvl>
    <w:lvl w:ilvl="1">
      <w:lvlJc w:val="left"/>
      <w:lvlText w:val="(%2)"/>
      <w:numFmt w:val="lowerLetter"/>
      <w:start w:val="27"/>
    </w:lvl>
    <w:lvl w:ilvl="2">
      <w:lvlJc w:val="left"/>
      <w:lvlText w:val="(%3)"/>
      <w:numFmt w:val="decimal"/>
      <w:start w:val="1"/>
    </w:lvl>
  </w:abstractNum>
  <w:abstractNum w:abstractNumId="46">
    <w:nsid w:val="6EB5BD4"/>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47">
    <w:nsid w:val="6F6DD9AC"/>
    <w:multiLevelType w:val="hybridMultilevel"/>
    <w:lvl w:ilvl="0">
      <w:lvlJc w:val="left"/>
      <w:lvlText w:val="%1."/>
      <w:numFmt w:val="decimal"/>
      <w:start w:val="4"/>
    </w:lvl>
    <w:lvl w:ilvl="1">
      <w:lvlJc w:val="left"/>
      <w:lvlText w:val="(%2)"/>
      <w:numFmt w:val="lowerLetter"/>
      <w:start w:val="1"/>
    </w:lvl>
  </w:abstractNum>
  <w:abstractNum w:abstractNumId="48">
    <w:nsid w:val="94211F2"/>
    <w:multiLevelType w:val="hybridMultilevel"/>
    <w:lvl w:ilvl="0">
      <w:lvlJc w:val="left"/>
      <w:lvlText w:val="%1"/>
      <w:numFmt w:val="decimal"/>
      <w:start w:val="1"/>
    </w:lvl>
    <w:lvl w:ilvl="1">
      <w:lvlJc w:val="left"/>
      <w:lvlText w:val="(%2)"/>
      <w:numFmt w:val="lowerLetter"/>
      <w:start w:val="2"/>
    </w:lvl>
  </w:abstractNum>
  <w:abstractNum w:abstractNumId="49">
    <w:nsid w:val="885E1B"/>
    <w:multiLevelType w:val="hybridMultilevel"/>
    <w:lvl w:ilvl="0">
      <w:lvlJc w:val="left"/>
      <w:lvlText w:val="%1."/>
      <w:numFmt w:val="decimal"/>
      <w:start w:val="5"/>
    </w:lvl>
    <w:lvl w:ilvl="1">
      <w:lvlJc w:val="left"/>
      <w:lvlText w:val="%2"/>
      <w:numFmt w:val="lowerLetter"/>
      <w:start w:val="1"/>
    </w:lvl>
  </w:abstractNum>
  <w:abstractNum w:abstractNumId="50">
    <w:nsid w:val="76272110"/>
    <w:multiLevelType w:val="hybridMultilevel"/>
    <w:lvl w:ilvl="0">
      <w:lvlJc w:val="left"/>
      <w:lvlText w:val="%1."/>
      <w:numFmt w:val="decimal"/>
      <w:start w:val="9"/>
    </w:lvl>
  </w:abstractNum>
  <w:abstractNum w:abstractNumId="51">
    <w:nsid w:val="4C04A8AF"/>
    <w:multiLevelType w:val="hybridMultilevel"/>
    <w:lvl w:ilvl="0">
      <w:lvlJc w:val="left"/>
      <w:lvlText w:val="%1."/>
      <w:numFmt w:val="decimal"/>
      <w:start w:val="11"/>
    </w:lvl>
  </w:abstractNum>
  <w:abstractNum w:abstractNumId="52">
    <w:nsid w:val="1716703B"/>
    <w:multiLevelType w:val="hybridMultilevel"/>
    <w:lvl w:ilvl="0">
      <w:lvlJc w:val="left"/>
      <w:lvlText w:val="(%1)"/>
      <w:numFmt w:val="lowerLetter"/>
      <w:start w:val="1"/>
    </w:lvl>
  </w:abstractNum>
  <w:abstractNum w:abstractNumId="53">
    <w:nsid w:val="14E17E33"/>
    <w:multiLevelType w:val="hybridMultilevel"/>
    <w:lvl w:ilvl="0">
      <w:lvlJc w:val="left"/>
      <w:lvlText w:val="(%1)"/>
      <w:numFmt w:val="lowerLetter"/>
      <w:start w:val="4"/>
    </w:lvl>
  </w:abstractNum>
  <w:abstractNum w:abstractNumId="54">
    <w:nsid w:val="3222E7CD"/>
    <w:multiLevelType w:val="hybridMultilevel"/>
    <w:lvl w:ilvl="0">
      <w:lvlJc w:val="left"/>
      <w:lvlText w:val="%1."/>
      <w:numFmt w:val="decimal"/>
      <w:start w:val="14"/>
    </w:lvl>
  </w:abstractNum>
  <w:abstractNum w:abstractNumId="55">
    <w:nsid w:val="74DE0EE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6">
    <w:nsid w:val="68EBC550"/>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5"/>
    </w:lvl>
  </w:abstractNum>
  <w:abstractNum w:abstractNumId="57">
    <w:nsid w:val="2DF6D648"/>
    <w:multiLevelType w:val="hybridMultilevel"/>
    <w:lvl w:ilvl="0">
      <w:lvlJc w:val="left"/>
      <w:lvlText w:val="(%1)"/>
      <w:numFmt w:val="lowerLetter"/>
      <w:start w:val="15"/>
    </w:lvl>
  </w:abstractNum>
  <w:abstractNum w:abstractNumId="58">
    <w:nsid w:val="46B7D447"/>
    <w:multiLevelType w:val="hybridMultilevel"/>
    <w:lvl w:ilvl="0">
      <w:lvlJc w:val="left"/>
      <w:lvlText w:val="(%1)"/>
      <w:numFmt w:val="decimal"/>
      <w:start w:val="1"/>
    </w:lvl>
  </w:abstractNum>
  <w:abstractNum w:abstractNumId="59">
    <w:nsid w:val="4A2AC315"/>
    <w:multiLevelType w:val="hybridMultilevel"/>
    <w:lvl w:ilvl="0">
      <w:lvlJc w:val="left"/>
      <w:lvlText w:val="(%1)"/>
      <w:numFmt w:val="lowerLetter"/>
      <w:start w:val="17"/>
    </w:lvl>
  </w:abstractNum>
  <w:abstractNum w:abstractNumId="60">
    <w:nsid w:val="39EE015C"/>
    <w:multiLevelType w:val="hybridMultilevel"/>
    <w:lvl w:ilvl="0">
      <w:lvlJc w:val="left"/>
      <w:lvlText w:val="(%1)"/>
      <w:numFmt w:val="decimal"/>
      <w:start w:val="1"/>
    </w:lvl>
  </w:abstractNum>
  <w:abstractNum w:abstractNumId="61">
    <w:nsid w:val="57FC4FBB"/>
    <w:multiLevelType w:val="hybridMultilevel"/>
    <w:lvl w:ilvl="0">
      <w:lvlJc w:val="left"/>
      <w:lvlText w:val="(%1)"/>
      <w:numFmt w:val="lowerLetter"/>
      <w:start w:val="1"/>
    </w:lvl>
  </w:abstractNum>
  <w:abstractNum w:abstractNumId="62">
    <w:nsid w:val="CC1016F"/>
    <w:multiLevelType w:val="hybridMultilevel"/>
    <w:lvl w:ilvl="0">
      <w:lvlJc w:val="left"/>
      <w:lvlText w:val="(%1)"/>
      <w:numFmt w:val="lowerRoman"/>
      <w:start w:val="1"/>
    </w:lvl>
  </w:abstractNum>
  <w:abstractNum w:abstractNumId="63">
    <w:nsid w:val="43F18422"/>
    <w:multiLevelType w:val="hybridMultilevel"/>
    <w:lvl w:ilvl="0">
      <w:lvlJc w:val="left"/>
      <w:lvlText w:val="(%1)"/>
      <w:numFmt w:val="lowerLetter"/>
      <w:start w:val="21"/>
    </w:lvl>
  </w:abstractNum>
  <w:abstractNum w:abstractNumId="64">
    <w:nsid w:val="60EF0119"/>
    <w:multiLevelType w:val="hybridMultilevel"/>
    <w:lvl w:ilvl="0">
      <w:lvlJc w:val="left"/>
      <w:lvlText w:val="(%1)"/>
      <w:numFmt w:val="lowerLetter"/>
      <w:start w:val="24"/>
    </w:lvl>
  </w:abstractNum>
  <w:abstractNum w:abstractNumId="65">
    <w:nsid w:val="26F324BA"/>
    <w:multiLevelType w:val="hybridMultilevel"/>
    <w:lvl w:ilvl="0">
      <w:lvlJc w:val="left"/>
      <w:lvlText w:val="(%1)"/>
      <w:numFmt w:val="lowerLetter"/>
      <w:start w:val="27"/>
    </w:lvl>
  </w:abstractNum>
  <w:abstractNum w:abstractNumId="66">
    <w:nsid w:val="7F01579B"/>
    <w:multiLevelType w:val="hybridMultilevel"/>
    <w:lvl w:ilvl="0">
      <w:lvlJc w:val="left"/>
      <w:lvlText w:val="%1."/>
      <w:numFmt w:val="decimal"/>
      <w:start w:val="2"/>
    </w:lvl>
  </w:abstractNum>
  <w:abstractNum w:abstractNumId="67">
    <w:nsid w:val="49DA307D"/>
    <w:multiLevelType w:val="hybridMultilevel"/>
    <w:lvl w:ilvl="0">
      <w:lvlJc w:val="left"/>
      <w:lvlText w:val="%1."/>
      <w:numFmt w:val="decimal"/>
      <w:start w:val="4"/>
    </w:lvl>
    <w:lvl w:ilvl="1">
      <w:lvlJc w:val="left"/>
      <w:lvlText w:val="(%2)"/>
      <w:numFmt w:val="lowerLetter"/>
      <w:start w:val="1"/>
    </w:lvl>
  </w:abstractNum>
  <w:abstractNum w:abstractNumId="68">
    <w:nsid w:val="7055A5F5"/>
    <w:multiLevelType w:val="hybridMultilevel"/>
    <w:lvl w:ilvl="0">
      <w:lvlJc w:val="left"/>
      <w:lvlText w:val="%1."/>
      <w:numFmt w:val="decimal"/>
      <w:start w:val="6"/>
    </w:lvl>
  </w:abstractNum>
  <w:abstractNum w:abstractNumId="69">
    <w:nsid w:val="5FB8370B"/>
    <w:multiLevelType w:val="hybridMultilevel"/>
    <w:lvl w:ilvl="0">
      <w:lvlJc w:val="left"/>
      <w:lvlText w:val="%1."/>
      <w:numFmt w:val="decimal"/>
      <w:start w:val="11"/>
    </w:lvl>
    <w:lvl w:ilvl="1">
      <w:lvlJc w:val="left"/>
      <w:lvlText w:val="(%2)"/>
      <w:numFmt w:val="lowerLetter"/>
      <w:start w:val="1"/>
    </w:lvl>
  </w:abstractNum>
  <w:abstractNum w:abstractNumId="70">
    <w:nsid w:val="50801EE1"/>
    <w:multiLevelType w:val="hybridMultilevel"/>
    <w:lvl w:ilvl="0">
      <w:lvlJc w:val="left"/>
      <w:lvlText w:val="%1."/>
      <w:numFmt w:val="decimal"/>
      <w:start w:val="14"/>
    </w:lvl>
  </w:abstractNum>
  <w:abstractNum w:abstractNumId="71">
    <w:nsid w:val="488AC1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72">
    <w:nsid w:val="5FB8011C"/>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5"/>
    </w:lvl>
  </w:abstractNum>
  <w:abstractNum w:abstractNumId="73">
    <w:nsid w:val="6AA78F7F"/>
    <w:multiLevelType w:val="hybridMultilevel"/>
    <w:lvl w:ilvl="0">
      <w:lvlJc w:val="left"/>
      <w:lvlText w:val="(%1)"/>
      <w:numFmt w:val="lowerLetter"/>
      <w:start w:val="9"/>
    </w:lvl>
  </w:abstractNum>
  <w:abstractNum w:abstractNumId="74">
    <w:nsid w:val="7672BD23"/>
    <w:multiLevelType w:val="hybridMultilevel"/>
    <w:lvl w:ilvl="0">
      <w:lvlJc w:val="left"/>
      <w:lvlText w:val="(%1)"/>
      <w:numFmt w:val="lowerLetter"/>
      <w:start w:val="14"/>
    </w:lvl>
    <w:lvl w:ilvl="1">
      <w:lvlJc w:val="left"/>
      <w:lvlText w:val="(%2)"/>
      <w:numFmt w:val="decimal"/>
      <w:start w:val="1"/>
    </w:lvl>
  </w:abstractNum>
  <w:abstractNum w:abstractNumId="75">
    <w:nsid w:val="6FC75AF8"/>
    <w:multiLevelType w:val="hybridMultilevel"/>
    <w:lvl w:ilvl="0">
      <w:lvlJc w:val="left"/>
      <w:lvlText w:val="%1"/>
      <w:numFmt w:val="lowerLetter"/>
      <w:start w:val="1"/>
    </w:lvl>
    <w:lvl w:ilvl="1">
      <w:lvlJc w:val="left"/>
      <w:lvlText w:val="(%2)"/>
      <w:numFmt w:val="decimal"/>
      <w:start w:val="1"/>
    </w:lvl>
  </w:abstractNum>
  <w:abstractNum w:abstractNumId="76">
    <w:nsid w:val="6A5F7029"/>
    <w:multiLevelType w:val="hybridMultilevel"/>
    <w:lvl w:ilvl="0">
      <w:lvlJc w:val="left"/>
      <w:lvlText w:val="(%1)"/>
      <w:numFmt w:val="lowerLetter"/>
      <w:start w:val="1"/>
    </w:lvl>
    <w:lvl w:ilvl="1">
      <w:lvlJc w:val="left"/>
      <w:lvlText w:val="%2"/>
      <w:numFmt w:val="decimal"/>
      <w:start w:val="1"/>
    </w:lvl>
  </w:abstractNum>
  <w:abstractNum w:abstractNumId="77">
    <w:nsid w:val="7D5E18F8"/>
    <w:multiLevelType w:val="hybridMultilevel"/>
    <w:lvl w:ilvl="0">
      <w:lvlJc w:val="left"/>
      <w:lvlText w:val="(%1)"/>
      <w:numFmt w:val="lowerRoman"/>
      <w:start w:val="1"/>
    </w:lvl>
  </w:abstractNum>
  <w:abstractNum w:abstractNumId="78">
    <w:nsid w:val="5F3534A4"/>
    <w:multiLevelType w:val="hybridMultilevel"/>
    <w:lvl w:ilvl="0">
      <w:lvlJc w:val="left"/>
      <w:lvlText w:val="(%1)"/>
      <w:numFmt w:val="lowerLetter"/>
      <w:start w:val="21"/>
    </w:lvl>
  </w:abstractNum>
  <w:abstractNum w:abstractNumId="79">
    <w:nsid w:val="73A1821B"/>
    <w:multiLevelType w:val="hybridMultilevel"/>
    <w:lvl w:ilvl="0">
      <w:lvlJc w:val="left"/>
      <w:lvlText w:val="(%1)"/>
      <w:numFmt w:val="lowerLetter"/>
      <w:start w:val="23"/>
    </w:lvl>
  </w:abstractNum>
  <w:abstractNum w:abstractNumId="80">
    <w:nsid w:val="7DE67713"/>
    <w:multiLevelType w:val="hybridMultilevel"/>
    <w:lvl w:ilvl="0">
      <w:lvlJc w:val="left"/>
      <w:lvlText w:val="%1"/>
      <w:numFmt w:val="decimal"/>
      <w:start w:val="1"/>
    </w:lvl>
    <w:lvl w:ilvl="1">
      <w:lvlJc w:val="left"/>
      <w:lvlText w:val="(%2)"/>
      <w:numFmt w:val="lowerLetter"/>
      <w:start w:val="27"/>
    </w:lvl>
    <w:lvl w:ilvl="2">
      <w:lvlJc w:val="left"/>
      <w:lvlText w:val="(%3)"/>
      <w:numFmt w:val="decimal"/>
      <w:start w:val="1"/>
    </w:lvl>
  </w:abstractNum>
  <w:abstractNum w:abstractNumId="81">
    <w:nsid w:val="555C55B5"/>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82">
    <w:nsid w:val="3FA62ACA"/>
    <w:multiLevelType w:val="hybridMultilevel"/>
    <w:lvl w:ilvl="0">
      <w:lvlJc w:val="left"/>
      <w:lvlText w:val="%1."/>
      <w:numFmt w:val="decimal"/>
      <w:start w:val="4"/>
    </w:lvl>
    <w:lvl w:ilvl="1">
      <w:lvlJc w:val="left"/>
      <w:lvlText w:val="(%2)"/>
      <w:numFmt w:val="lowerLetter"/>
      <w:start w:val="1"/>
    </w:lvl>
  </w:abstractNum>
  <w:abstractNum w:abstractNumId="83">
    <w:nsid w:val="14FCE74E"/>
    <w:multiLevelType w:val="hybridMultilevel"/>
    <w:lvl w:ilvl="0">
      <w:lvlJc w:val="left"/>
      <w:lvlText w:val="%1"/>
      <w:numFmt w:val="decimal"/>
      <w:start w:val="1"/>
    </w:lvl>
    <w:lvl w:ilvl="1">
      <w:lvlJc w:val="left"/>
      <w:lvlText w:val="(%2)"/>
      <w:numFmt w:val="lowerLetter"/>
      <w:start w:val="2"/>
    </w:lvl>
  </w:abstractNum>
  <w:abstractNum w:abstractNumId="84">
    <w:nsid w:val="6A3DD3E8"/>
    <w:multiLevelType w:val="hybridMultilevel"/>
    <w:lvl w:ilvl="0">
      <w:lvlJc w:val="left"/>
      <w:lvlText w:val="%1."/>
      <w:numFmt w:val="decimal"/>
      <w:start w:val="5"/>
    </w:lvl>
    <w:lvl w:ilvl="1">
      <w:lvlJc w:val="left"/>
      <w:lvlText w:val="%2"/>
      <w:numFmt w:val="lowerLetter"/>
      <w:start w:val="1"/>
    </w:lvl>
  </w:abstractNum>
  <w:abstractNum w:abstractNumId="85">
    <w:nsid w:val="71C91298"/>
    <w:multiLevelType w:val="hybridMultilevel"/>
    <w:lvl w:ilvl="0">
      <w:lvlJc w:val="left"/>
      <w:lvlText w:val="%1."/>
      <w:numFmt w:val="decimal"/>
      <w:start w:val="9"/>
    </w:lvl>
    <w:lvl w:ilvl="1">
      <w:lvlJc w:val="left"/>
      <w:lvlText w:val="(%2)"/>
      <w:numFmt w:val="lowerLetter"/>
      <w:start w:val="1"/>
    </w:lvl>
  </w:abstractNum>
  <w:abstractNum w:abstractNumId="86">
    <w:nsid w:val="9DAF632"/>
    <w:multiLevelType w:val="hybridMultilevel"/>
    <w:lvl w:ilvl="0">
      <w:lvlJc w:val="left"/>
      <w:lvlText w:val="%1"/>
      <w:numFmt w:val="decimal"/>
      <w:start w:val="1"/>
    </w:lvl>
    <w:lvl w:ilvl="1">
      <w:lvlJc w:val="left"/>
      <w:lvlText w:val="(%2)"/>
      <w:numFmt w:val="lowerLetter"/>
      <w:start w:val="3"/>
    </w:lvl>
  </w:abstractNum>
  <w:abstractNum w:abstractNumId="87">
    <w:nsid w:val="53299938"/>
    <w:multiLevelType w:val="hybridMultilevel"/>
    <w:lvl w:ilvl="0">
      <w:lvlJc w:val="left"/>
      <w:lvlText w:val="%1."/>
      <w:numFmt w:val="decimal"/>
      <w:start w:val="14"/>
    </w:lvl>
    <w:lvl w:ilvl="1">
      <w:lvlJc w:val="left"/>
      <w:lvlText w:val="%2"/>
      <w:numFmt w:val="lowerLetter"/>
      <w:start w:val="1"/>
    </w:lvl>
  </w:abstractNum>
  <w:abstractNum w:abstractNumId="88">
    <w:nsid w:val="1FBFE8E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9">
    <w:nsid w:val="5092CA79"/>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5"/>
    </w:lvl>
  </w:abstractNum>
  <w:abstractNum w:abstractNumId="90">
    <w:nsid w:val="1D545C4D"/>
    <w:multiLevelType w:val="hybridMultilevel"/>
    <w:lvl w:ilvl="0">
      <w:lvlJc w:val="left"/>
      <w:lvlText w:val="(%1)"/>
      <w:numFmt w:val="lowerLetter"/>
      <w:start w:val="9"/>
    </w:lvl>
  </w:abstractNum>
  <w:abstractNum w:abstractNumId="91">
    <w:nsid w:val="59ADEA3D"/>
    <w:multiLevelType w:val="hybridMultilevel"/>
    <w:lvl w:ilvl="0">
      <w:lvlJc w:val="left"/>
      <w:lvlText w:val="(%1)"/>
      <w:numFmt w:val="lowerLetter"/>
      <w:start w:val="14"/>
    </w:lvl>
    <w:lvl w:ilvl="1">
      <w:lvlJc w:val="left"/>
      <w:lvlText w:val="(%2)"/>
      <w:numFmt w:val="decimal"/>
      <w:start w:val="1"/>
    </w:lvl>
  </w:abstractNum>
  <w:abstractNum w:abstractNumId="92">
    <w:nsid w:val="288F1A34"/>
    <w:multiLevelType w:val="hybridMultilevel"/>
    <w:lvl w:ilvl="0">
      <w:lvlJc w:val="left"/>
      <w:lvlText w:val="%1"/>
      <w:numFmt w:val="lowerLetter"/>
      <w:start w:val="1"/>
    </w:lvl>
    <w:lvl w:ilvl="1">
      <w:lvlJc w:val="left"/>
      <w:lvlText w:val="(%2)"/>
      <w:numFmt w:val="decimal"/>
      <w:start w:val="1"/>
    </w:lvl>
  </w:abstractNum>
  <w:abstractNum w:abstractNumId="93">
    <w:nsid w:val="2A155DBC"/>
    <w:multiLevelType w:val="hybridMultilevel"/>
    <w:lvl w:ilvl="0">
      <w:lvlJc w:val="left"/>
      <w:lvlText w:val="(%1)"/>
      <w:numFmt w:val="lowerLetter"/>
      <w:start w:val="1"/>
    </w:lvl>
    <w:lvl w:ilvl="1">
      <w:lvlJc w:val="left"/>
      <w:lvlText w:val="%2"/>
      <w:numFmt w:val="decimal"/>
      <w:start w:val="1"/>
    </w:lvl>
  </w:abstractNum>
  <w:abstractNum w:abstractNumId="94">
    <w:nsid w:val="1D9F6E5F"/>
    <w:multiLevelType w:val="hybridMultilevel"/>
    <w:lvl w:ilvl="0">
      <w:lvlJc w:val="left"/>
      <w:lvlText w:val="(%1)"/>
      <w:numFmt w:val="lowerRoman"/>
      <w:start w:val="1"/>
    </w:lvl>
  </w:abstractNum>
  <w:abstractNum w:abstractNumId="95">
    <w:nsid w:val="97E1B4E"/>
    <w:multiLevelType w:val="hybridMultilevel"/>
    <w:lvl w:ilvl="0">
      <w:lvlJc w:val="left"/>
      <w:lvlText w:val="(%1)"/>
      <w:numFmt w:val="lowerLetter"/>
      <w:start w:val="21"/>
    </w:lvl>
  </w:abstractNum>
  <w:abstractNum w:abstractNumId="96">
    <w:nsid w:val="51088277"/>
    <w:multiLevelType w:val="hybridMultilevel"/>
    <w:lvl w:ilvl="0">
      <w:lvlJc w:val="left"/>
      <w:lvlText w:val="(%1)"/>
      <w:numFmt w:val="lowerLetter"/>
      <w:start w:val="23"/>
    </w:lvl>
  </w:abstractNum>
  <w:abstractNum w:abstractNumId="97">
    <w:nsid w:val="1CA0C5FA"/>
    <w:multiLevelType w:val="hybridMultilevel"/>
    <w:lvl w:ilvl="0">
      <w:lvlJc w:val="left"/>
      <w:lvlText w:val="(%1)"/>
      <w:numFmt w:val="lowerLetter"/>
      <w:start w:val="27"/>
    </w:lvl>
    <w:lvl w:ilvl="1">
      <w:lvlJc w:val="left"/>
      <w:lvlText w:val="(%2)"/>
      <w:numFmt w:val="decimal"/>
      <w:start w:val="1"/>
    </w:lvl>
  </w:abstractNum>
  <w:abstractNum w:abstractNumId="98">
    <w:nsid w:val="53584BCB"/>
    <w:multiLevelType w:val="hybridMultilevel"/>
    <w:lvl w:ilvl="0">
      <w:lvlJc w:val="left"/>
      <w:lvlText w:val="%1."/>
      <w:numFmt w:val="decimal"/>
      <w:start w:val="2"/>
    </w:lvl>
  </w:abstractNum>
  <w:abstractNum w:abstractNumId="99">
    <w:nsid w:val="415E286C"/>
    <w:multiLevelType w:val="hybridMultilevel"/>
    <w:lvl w:ilvl="0">
      <w:lvlJc w:val="left"/>
      <w:lvlText w:val="%1."/>
      <w:numFmt w:val="decimal"/>
      <w:start w:val="3"/>
    </w:lvl>
  </w:abstractNum>
  <w:abstractNum w:abstractNumId="100">
    <w:nsid w:val="7C58FD05"/>
    <w:multiLevelType w:val="hybridMultilevel"/>
    <w:lvl w:ilvl="0">
      <w:lvlJc w:val="left"/>
      <w:lvlText w:val="%1."/>
      <w:numFmt w:val="decimal"/>
      <w:start w:val="4"/>
    </w:lvl>
    <w:lvl w:ilvl="1">
      <w:lvlJc w:val="left"/>
      <w:lvlText w:val="(%2)"/>
      <w:numFmt w:val="lowerLetter"/>
      <w:start w:val="1"/>
    </w:lvl>
  </w:abstractNum>
  <w:abstractNum w:abstractNumId="101">
    <w:nsid w:val="23D86AAC"/>
    <w:multiLevelType w:val="hybridMultilevel"/>
    <w:lvl w:ilvl="0">
      <w:lvlJc w:val="left"/>
      <w:lvlText w:val="%1."/>
      <w:numFmt w:val="decimal"/>
      <w:start w:val="6"/>
    </w:lvl>
  </w:abstractNum>
  <w:abstractNum w:abstractNumId="102">
    <w:nsid w:val="45E6D486"/>
    <w:multiLevelType w:val="hybridMultilevel"/>
    <w:lvl w:ilvl="0">
      <w:lvlJc w:val="left"/>
      <w:lvlText w:val="%1."/>
      <w:numFmt w:val="decimal"/>
      <w:start w:val="10"/>
    </w:lvl>
    <w:lvl w:ilvl="1">
      <w:lvlJc w:val="left"/>
      <w:lvlText w:val="(%2)"/>
      <w:numFmt w:val="lowerLetter"/>
      <w:start w:val="1"/>
    </w:lvl>
  </w:abstractNum>
  <w:abstractNum w:abstractNumId="103">
    <w:nsid w:val="5C10FE21"/>
    <w:multiLevelType w:val="hybridMultilevel"/>
    <w:lvl w:ilvl="0">
      <w:lvlJc w:val="left"/>
      <w:lvlText w:val="%1."/>
      <w:numFmt w:val="decimal"/>
      <w:start w:val="14"/>
    </w:lvl>
  </w:abstractNum>
  <w:abstractNum w:abstractNumId="104">
    <w:nsid w:val="E7FFA2B"/>
    <w:multiLevelType w:val="hybridMultilevel"/>
    <w:lvl w:ilvl="0">
      <w:lvlJc w:val="left"/>
      <w:lvlText w:val="%1."/>
      <w:numFmt w:val="decimal"/>
      <w:start w:val="1"/>
    </w:lvl>
  </w:abstractNum>
  <w:abstractNum w:abstractNumId="105">
    <w:nsid w:val="3C5991AA"/>
    <w:multiLevelType w:val="hybridMultilevel"/>
    <w:lvl w:ilvl="0">
      <w:lvlJc w:val="left"/>
      <w:lvlText w:val="%1."/>
      <w:numFmt w:val="decimal"/>
      <w:start w:val="2"/>
    </w:lvl>
  </w:abstractNum>
  <w:abstractNum w:abstractNumId="106">
    <w:nsid w:val="4BD8591A"/>
    <w:multiLevelType w:val="hybridMultilevel"/>
    <w:lvl w:ilvl="0">
      <w:lvlJc w:val="left"/>
      <w:lvlText w:val="%1."/>
      <w:numFmt w:val="decimal"/>
      <w:start w:val="3"/>
    </w:lvl>
  </w:abstractNum>
  <w:abstractNum w:abstractNumId="107">
    <w:nsid w:val="78DF6A55"/>
    <w:multiLevelType w:val="hybridMultilevel"/>
    <w:lvl w:ilvl="0">
      <w:lvlJc w:val="left"/>
      <w:lvlText w:val="%1."/>
      <w:numFmt w:val="decimal"/>
      <w:start w:val="4"/>
    </w:lvl>
  </w:abstractNum>
  <w:abstractNum w:abstractNumId="108">
    <w:nsid w:val="39B7AAA2"/>
    <w:multiLevelType w:val="hybridMultilevel"/>
    <w:lvl w:ilvl="0">
      <w:lvlJc w:val="left"/>
      <w:lvlText w:val="%1."/>
      <w:numFmt w:val="decimal"/>
      <w:start w:val="5"/>
    </w:lvl>
  </w:abstractNum>
  <w:abstractNum w:abstractNumId="109">
    <w:nsid w:val="2B0D8DBE"/>
    <w:multiLevelType w:val="hybridMultilevel"/>
    <w:lvl w:ilvl="0">
      <w:lvlJc w:val="left"/>
      <w:lvlText w:val="(%1)"/>
      <w:numFmt w:val="upperLetter"/>
      <w:start w:val="1"/>
    </w:lvl>
  </w:abstractNum>
  <w:abstractNum w:abstractNumId="110">
    <w:nsid w:val="6C80EC70"/>
    <w:multiLevelType w:val="hybridMultilevel"/>
    <w:lvl w:ilvl="0">
      <w:lvlJc w:val="left"/>
      <w:lvlText w:val="%1."/>
      <w:numFmt w:val="decimal"/>
      <w:start w:val="7"/>
    </w:lvl>
  </w:abstractNum>
  <w:abstractNum w:abstractNumId="111">
    <w:nsid w:val="379E21B5"/>
    <w:multiLevelType w:val="hybridMultilevel"/>
    <w:lvl w:ilvl="0">
      <w:lvlJc w:val="left"/>
      <w:lvlText w:val="•"/>
      <w:numFmt w:val="bullet"/>
      <w:start w:val="1"/>
    </w:lvl>
  </w:abstractNum>
  <w:abstractNum w:abstractNumId="112">
    <w:nsid w:val="69E373"/>
    <w:multiLevelType w:val="hybridMultilevel"/>
    <w:lvl w:ilvl="0">
      <w:lvlJc w:val="left"/>
      <w:lvlText w:val="%1."/>
      <w:numFmt w:val="decimal"/>
      <w:start w:val="9"/>
    </w:lvl>
  </w:abstractNum>
  <w:abstractNum w:abstractNumId="113">
    <w:nsid w:val="2C27173B"/>
    <w:multiLevelType w:val="hybridMultilevel"/>
    <w:lvl w:ilvl="0">
      <w:lvlJc w:val="left"/>
      <w:lvlText w:val="%1."/>
      <w:numFmt w:val="decimal"/>
      <w:start w:val="10"/>
    </w:lvl>
  </w:abstractNum>
  <w:abstractNum w:abstractNumId="114">
    <w:nsid w:val="4C9B0904"/>
    <w:multiLevelType w:val="hybridMultilevel"/>
    <w:lvl w:ilvl="0">
      <w:lvlJc w:val="left"/>
      <w:lvlText w:val="%1."/>
      <w:numFmt w:val="decimal"/>
      <w:start w:val="11"/>
    </w:lvl>
  </w:abstractNum>
  <w:abstractNum w:abstractNumId="115">
    <w:nsid w:val="6AA7B75C"/>
    <w:multiLevelType w:val="hybridMultilevel"/>
    <w:lvl w:ilvl="0">
      <w:lvlJc w:val="left"/>
      <w:lvlText w:val="%1."/>
      <w:numFmt w:val="decimal"/>
      <w:start w:val="12"/>
    </w:lvl>
  </w:abstractNum>
  <w:abstractNum w:abstractNumId="116">
    <w:nsid w:val="1DF029D3"/>
    <w:multiLevelType w:val="hybridMultilevel"/>
    <w:lvl w:ilvl="0">
      <w:lvlJc w:val="left"/>
      <w:lvlText w:val="%1."/>
      <w:numFmt w:val="decimal"/>
      <w:start w:val="13"/>
    </w:lvl>
  </w:abstractNum>
  <w:abstractNum w:abstractNumId="117">
    <w:nsid w:val="5675FF36"/>
    <w:multiLevelType w:val="hybridMultilevel"/>
    <w:lvl w:ilvl="0">
      <w:lvlJc w:val="left"/>
      <w:lvlText w:val="(%1)"/>
      <w:numFmt w:val="lowerRoman"/>
      <w:start w:val="3"/>
    </w:lvl>
  </w:abstractNum>
  <w:abstractNum w:abstractNumId="118">
    <w:nsid w:val="3DD15094"/>
    <w:multiLevelType w:val="hybridMultilevel"/>
    <w:lvl w:ilvl="0">
      <w:lvlJc w:val="left"/>
      <w:lvlText w:val="%1."/>
      <w:numFmt w:val="decimal"/>
      <w:start w:val="14"/>
    </w:lvl>
  </w:abstractNum>
  <w:abstractNum w:abstractNumId="119">
    <w:nsid w:val="3DB012B3"/>
    <w:multiLevelType w:val="hybridMultilevel"/>
    <w:lvl w:ilvl="0">
      <w:lvlJc w:val="left"/>
      <w:lvlText w:val="(%1)"/>
      <w:numFmt w:val="decimal"/>
      <w:start w:val="1"/>
    </w:lvl>
    <w:lvl w:ilvl="1">
      <w:lvlJc w:val="left"/>
      <w:lvlText w:val="-"/>
      <w:numFmt w:val="bullet"/>
      <w:start w:val="1"/>
    </w:lvl>
  </w:abstractNum>
  <w:abstractNum w:abstractNumId="120">
    <w:nsid w:val="2708C9AF"/>
    <w:multiLevelType w:val="hybridMultilevel"/>
    <w:lvl w:ilvl="0">
      <w:lvlJc w:val="left"/>
      <w:lvlText w:val="(%1)"/>
      <w:numFmt w:val="decimal"/>
      <w:start w:val="3"/>
    </w:lvl>
  </w:abstractNum>
  <w:abstractNum w:abstractNumId="121">
    <w:nsid w:val="5B25ACE2"/>
    <w:multiLevelType w:val="hybridMultilevel"/>
    <w:lvl w:ilvl="0">
      <w:lvlJc w:val="left"/>
      <w:lvlText w:val="(%1)"/>
      <w:numFmt w:val="decimal"/>
      <w:start w:val="1"/>
    </w:lvl>
    <w:lvl w:ilvl="1">
      <w:lvlJc w:val="left"/>
      <w:lvlText w:val="-"/>
      <w:numFmt w:val="bullet"/>
      <w:start w:val="1"/>
    </w:lvl>
  </w:abstractNum>
  <w:abstractNum w:abstractNumId="122">
    <w:nsid w:val="175DFCF0"/>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2019-12-12T03:07:11Z</dcterms:created>
  <dcterms:modified xsi:type="dcterms:W3CDTF">2019-12-12T03:07:11Z</dcterms:modified>
</cp:coreProperties>
</file>