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UNITED STATES</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AND EXCHANGE COMMISSION</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30"/>
        </w:rPr>
      </w:pPr>
      <w:r>
        <w:rPr>
          <w:rFonts w:ascii="Times New Roman;sans-serif" w:hAnsi="Times New Roman;sans-serif"/>
          <w:b/>
          <w:color w:val="000000"/>
          <w:sz w:val="30"/>
        </w:rPr>
        <w:t xml:space="preserve">FORM 8-K </w:t>
      </w:r>
    </w:p>
    <w:p>
      <w:pPr>
        <w:pStyle w:val="TextBody"/>
        <w:spacing w:lineRule="auto" w:line="288" w:before="120" w:after="283"/>
        <w:jc w:val="center"/>
        <w:rPr>
          <w:rFonts w:ascii="Times New Roman;sans-serif" w:hAnsi="Times New Roman;sans-serif"/>
          <w:b/>
          <w:color w:val="000000"/>
          <w:sz w:val="30"/>
        </w:rPr>
      </w:pPr>
      <w:r>
        <w:rPr>
          <w:rFonts w:ascii="Times New Roman;sans-serif" w:hAnsi="Times New Roman;sans-serif"/>
          <w:b/>
          <w:color w:val="000000"/>
          <w:sz w:val="30"/>
        </w:rPr>
        <w:t>CURRENT REPORT</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Pursuant to Section 13 or 15(d) of the</w:t>
      </w:r>
    </w:p>
    <w:p>
      <w:pPr>
        <w:pStyle w:val="TextBody"/>
        <w:spacing w:lineRule="auto" w:line="288" w:before="0" w:after="0"/>
        <w:jc w:val="center"/>
        <w:rPr>
          <w:rFonts w:ascii="Times New Roman;sans-serif" w:hAnsi="Times New Roman;sans-serif"/>
          <w:b/>
          <w:color w:val="000000"/>
          <w:sz w:val="30"/>
        </w:rPr>
      </w:pPr>
      <w:r>
        <w:rPr>
          <w:rFonts w:ascii="Times New Roman;sans-serif" w:hAnsi="Times New Roman;sans-serif"/>
          <w:b/>
          <w:color w:val="000000"/>
          <w:sz w:val="30"/>
        </w:rPr>
        <w:t>Securities Exchange Act of 1934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Date of report (Date of earliest event reported): April 27, 2023 </w:t>
      </w:r>
    </w:p>
    <w:tbl>
      <w:tblPr>
        <w:tblW w:w="8678" w:type="dxa"/>
        <w:jc w:val="center"/>
        <w:tblInd w:w="0" w:type="dxa"/>
        <w:tblCellMar>
          <w:top w:w="28" w:type="dxa"/>
          <w:left w:w="28" w:type="dxa"/>
          <w:bottom w:w="28" w:type="dxa"/>
          <w:right w:w="28" w:type="dxa"/>
        </w:tblCellMar>
      </w:tblPr>
      <w:tblGrid>
        <w:gridCol w:w="593"/>
        <w:gridCol w:w="519"/>
        <w:gridCol w:w="520"/>
        <w:gridCol w:w="427"/>
        <w:gridCol w:w="427"/>
        <w:gridCol w:w="436"/>
        <w:gridCol w:w="536"/>
        <w:gridCol w:w="536"/>
        <w:gridCol w:w="536"/>
        <w:gridCol w:w="536"/>
        <w:gridCol w:w="536"/>
        <w:gridCol w:w="542"/>
        <w:gridCol w:w="740"/>
        <w:gridCol w:w="740"/>
        <w:gridCol w:w="1054"/>
      </w:tblGrid>
      <w:tr>
        <w:trPr/>
        <w:tc>
          <w:tcPr>
            <w:tcW w:w="593"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r>
      <w:tr>
        <w:trPr/>
        <w:tc>
          <w:tcPr>
            <w:tcW w:w="1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Comcast Corporation</w:t>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w:t>
              <w:br/>
              <w:t>as Specified in its Charter)</w:t>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Pennsylvania</w:t>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001-32871</w:t>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27-0000798</w:t>
            </w:r>
          </w:p>
        </w:tc>
      </w:tr>
      <w:tr>
        <w:trPr/>
        <w:tc>
          <w:tcPr>
            <w:tcW w:w="29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(Commission File Number)</w:t>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1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One Comcast Center</w:t>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Philadelphia,</w:t>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w:t>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19103-2838</w:t>
            </w:r>
          </w:p>
        </w:tc>
      </w:tr>
      <w:tr>
        <w:trPr/>
        <w:tc>
          <w:tcPr>
            <w:tcW w:w="292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16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spacing w:lineRule="auto" w:line="288" w:before="0" w:after="0"/>
        <w:jc w:val="center"/>
        <w:rPr/>
      </w:pPr>
      <w:r>
        <w:rPr>
          <w:rFonts w:ascii="Times New Roman;sans-serif" w:hAnsi="Times New Roman;sans-serif"/>
          <w:b w:val="false"/>
          <w:color w:val="000000"/>
          <w:sz w:val="16"/>
        </w:rPr>
        <w:t xml:space="preserve">Registrant’s telephone number, including area code: </w:t>
      </w:r>
      <w:r>
        <w:rPr>
          <w:rFonts w:ascii="Times New Roman;sans-serif" w:hAnsi="Times New Roman;sans-serif"/>
          <w:b/>
          <w:color w:val="000000"/>
          <w:sz w:val="20"/>
        </w:rPr>
        <w:t xml:space="preserve">(215) 286-1700 </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or Former Address, if Changed Since Last Report)</w:t>
      </w:r>
    </w:p>
    <w:p>
      <w:pPr>
        <w:pStyle w:val="TextBody"/>
        <w:spacing w:before="0" w:after="0"/>
        <w:rPr/>
      </w:pPr>
      <w:r>
        <w:rPr/>
      </w:r>
    </w:p>
    <w:p>
      <w:pPr>
        <w:pStyle w:val="TextBody"/>
        <w:spacing w:lineRule="auto" w:line="264" w:before="0" w:after="200"/>
        <w:rPr>
          <w:rFonts w:ascii="Times New Roman;sans-serif" w:hAnsi="Times New Roman;sans-serif"/>
          <w:b w:val="false"/>
          <w:color w:val="000000"/>
          <w:sz w:val="16"/>
        </w:rPr>
      </w:pPr>
      <w:r>
        <w:rPr>
          <w:rFonts w:ascii="Times New Roman;sans-serif" w:hAnsi="Times New Roman;sans-serif"/>
          <w:b w:val="false"/>
          <w:color w:val="000000"/>
          <w:sz w:val="16"/>
        </w:rPr>
        <w:t>Check the appropriate box below if the Form 8-K filing is intended to simultaneously satisfy the filing obligation of the registrant under any of the following provisions:</w:t>
      </w:r>
    </w:p>
    <w:p>
      <w:pPr>
        <w:pStyle w:val="TextBody"/>
        <w:spacing w:lineRule="auto" w:line="264" w:before="0" w:after="200"/>
        <w:rPr/>
      </w:pPr>
      <w:r>
        <w:rPr>
          <w:color w:val="000000"/>
        </w:rPr>
        <w:t xml:space="preserve">☐ </w:t>
      </w:r>
      <w:r>
        <w:rPr>
          <w:rFonts w:ascii="Times New Roman;sans-serif" w:hAnsi="Times New Roman;sans-serif"/>
          <w:b w:val="false"/>
          <w:color w:val="000000"/>
          <w:sz w:val="16"/>
        </w:rPr>
        <w:t>Written communications pursuant to Rule 425 under the Securities Act (17 CFR 230.425)</w:t>
      </w:r>
    </w:p>
    <w:p>
      <w:pPr>
        <w:pStyle w:val="TextBody"/>
        <w:spacing w:lineRule="auto" w:line="264" w:before="0" w:after="200"/>
        <w:rPr/>
      </w:pPr>
      <w:r>
        <w:rPr>
          <w:color w:val="000000"/>
        </w:rPr>
        <w:t xml:space="preserve">☐ </w:t>
      </w:r>
      <w:r>
        <w:rPr>
          <w:rFonts w:ascii="Times New Roman;sans-serif" w:hAnsi="Times New Roman;sans-serif"/>
          <w:b w:val="false"/>
          <w:color w:val="000000"/>
          <w:sz w:val="16"/>
        </w:rPr>
        <w:t>Soliciting material pursuant to Rule 14a-12 under the Exchange Act (17 CFR 240.14a-12)</w:t>
      </w:r>
    </w:p>
    <w:p>
      <w:pPr>
        <w:pStyle w:val="TextBody"/>
        <w:spacing w:lineRule="auto" w:line="264" w:before="0" w:after="200"/>
        <w:rPr/>
      </w:pPr>
      <w:r>
        <w:rPr>
          <w:color w:val="000000"/>
        </w:rPr>
        <w:t xml:space="preserve">☐ </w:t>
      </w:r>
      <w:r>
        <w:rPr>
          <w:rFonts w:ascii="Times New Roman;sans-serif" w:hAnsi="Times New Roman;sans-serif"/>
          <w:b w:val="false"/>
          <w:color w:val="000000"/>
          <w:sz w:val="16"/>
        </w:rPr>
        <w:t>Pre-commencement communications pursuant to Rule 14d-2(b) under the Exchange Act (17 CFR 240.14d-2(b))</w:t>
      </w:r>
    </w:p>
    <w:p>
      <w:pPr>
        <w:pStyle w:val="TextBody"/>
        <w:spacing w:lineRule="auto" w:line="264" w:before="0" w:after="200"/>
        <w:rPr/>
      </w:pPr>
      <w:r>
        <w:rPr>
          <w:color w:val="000000"/>
        </w:rPr>
        <w:t xml:space="preserve">☐ </w:t>
      </w:r>
      <w:r>
        <w:rPr>
          <w:rFonts w:ascii="Times New Roman;sans-serif" w:hAnsi="Times New Roman;sans-serif"/>
          <w:b w:val="false"/>
          <w:color w:val="000000"/>
          <w:sz w:val="16"/>
        </w:rPr>
        <w:t>Pre-commencement communications pursuant to Rule 13e-4(c) under the Exchange Act (17 CFR 240.13e-4(c))</w:t>
      </w:r>
    </w:p>
    <w:tbl>
      <w:tblPr>
        <w:tblW w:w="10205" w:type="dxa"/>
        <w:jc w:val="center"/>
        <w:tblInd w:w="0" w:type="dxa"/>
        <w:tblCellMar>
          <w:top w:w="28" w:type="dxa"/>
          <w:left w:w="28" w:type="dxa"/>
          <w:bottom w:w="28" w:type="dxa"/>
          <w:right w:w="28" w:type="dxa"/>
        </w:tblCellMar>
      </w:tblPr>
      <w:tblGrid>
        <w:gridCol w:w="1423"/>
        <w:gridCol w:w="1230"/>
        <w:gridCol w:w="1230"/>
        <w:gridCol w:w="259"/>
        <w:gridCol w:w="259"/>
        <w:gridCol w:w="259"/>
        <w:gridCol w:w="473"/>
        <w:gridCol w:w="466"/>
        <w:gridCol w:w="462"/>
        <w:gridCol w:w="259"/>
        <w:gridCol w:w="259"/>
        <w:gridCol w:w="259"/>
        <w:gridCol w:w="983"/>
        <w:gridCol w:w="983"/>
        <w:gridCol w:w="1401"/>
      </w:tblGrid>
      <w:tr>
        <w:trPr/>
        <w:tc>
          <w:tcPr>
            <w:tcW w:w="1423"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4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8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$0.01 par value</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CMCSA</w:t>
            </w:r>
          </w:p>
        </w:tc>
        <w:tc>
          <w:tcPr>
            <w:tcW w:w="7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3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0.000% Notes due 2026</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CMCS26</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0.250% Notes due 2027</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CMCS27</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1.500% Notes due 2029</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CMCS29</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0.250% Notes due 2029</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CMCS29A</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0.750% Notes due 2032</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CMCS32</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1.875% Notes due 2036</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CMCS36</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1.250% Notes due 2040</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CMCS40</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5.50% Notes due 2029</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CCGBP29</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3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 Exchangeable Subordinated Debentures due 2029</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CCZ</w:t>
            </w:r>
          </w:p>
        </w:tc>
        <w:tc>
          <w:tcPr>
            <w:tcW w:w="7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spacing w:lineRule="auto" w:line="264"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64" w:before="0" w:after="0"/>
        <w:rPr>
          <w:color w:val="000000"/>
        </w:rPr>
      </w:pPr>
      <w:r>
        <w:rPr>
          <w:color w:val="000000"/>
        </w:rPr>
        <w:t> </w:t>
      </w:r>
    </w:p>
    <w:p>
      <w:pPr>
        <w:pStyle w:val="TextBody"/>
        <w:spacing w:lineRule="auto" w:line="264" w:before="0" w:after="0"/>
        <w:rPr/>
      </w:pPr>
      <w:r>
        <w:rPr>
          <w:rFonts w:ascii="Times New Roman;sans-serif" w:hAnsi="Times New Roman;sans-serif"/>
          <w:b w:val="false"/>
          <w:color w:val="000000"/>
          <w:sz w:val="16"/>
        </w:rPr>
        <w:t xml:space="preserve">Emerging growth company </w:t>
      </w:r>
      <w:r>
        <w:rPr>
          <w:color w:val="000000"/>
        </w:rPr>
        <w:t xml:space="preserve">☐ </w:t>
      </w:r>
    </w:p>
    <w:p>
      <w:pPr>
        <w:pStyle w:val="TextBody"/>
        <w:spacing w:before="0" w:after="0"/>
        <w:rPr/>
      </w:pPr>
      <w:r>
        <w:rPr/>
      </w:r>
    </w:p>
    <w:p>
      <w:pPr>
        <w:pStyle w:val="TextBody"/>
        <w:spacing w:lineRule="auto" w:line="264" w:before="0" w:after="0"/>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32"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lineRule="auto" w:line="288" w:before="0" w:after="0"/>
        <w:jc w:val="both"/>
        <w:rPr>
          <w:color w:val="000000"/>
        </w:rPr>
      </w:pPr>
      <w:r>
        <w:rPr>
          <w:color w:val="000000"/>
        </w:rPr>
        <w:t>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27, 2023, Comcast Corporation (“Comcast”) issued a press release reporting the results of its operations for the three months ended March 31, 2023. The press release is attached hereto as Exhibit 99.1. Exhibit 99.2 sets forth the reasons Comcast believes that presentation of the non-GAAP financial measures contained in the press release provides useful information to investors regarding Comcast's results of operations and financial condition. To the extent material, Exhibit 99.2 also discloses the additional purposes, if any, for which Comcast's management uses these non-GAAP financial measures. A reconciliation of these non-GAAP financial measures with the most directly comparable GAAP financial measures is included in the press release itself. Comcast does not intend for this Item 2.02 or Exhibit 99.1 or Exhibit 99.2 to be treated as "filed" under the Securities Exchange Act of 1934, as amended, or incorporated by reference into its filings under the Securities Act of 1933, as amended.</w:t>
      </w:r>
    </w:p>
    <w:p>
      <w:pPr>
        <w:pStyle w:val="TextBody"/>
        <w:spacing w:before="180" w:after="283"/>
        <w:rPr/>
      </w:pPr>
      <w:r>
        <w:rPr/>
      </w:r>
    </w:p>
    <w:p>
      <w:pPr>
        <w:pStyle w:val="TextBody"/>
        <w:spacing w:before="0" w:after="0"/>
        <w:jc w:val="both"/>
        <w:rPr/>
      </w:pPr>
      <w:r>
        <w:rPr/>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9.01. Exhibits</w:t>
      </w:r>
    </w:p>
    <w:tbl>
      <w:tblPr>
        <w:tblW w:w="9062" w:type="dxa"/>
        <w:jc w:val="left"/>
        <w:tblInd w:w="0" w:type="dxa"/>
        <w:tblCellMar>
          <w:top w:w="28" w:type="dxa"/>
          <w:left w:w="28" w:type="dxa"/>
          <w:bottom w:w="28" w:type="dxa"/>
          <w:right w:w="28" w:type="dxa"/>
        </w:tblCellMar>
      </w:tblPr>
      <w:tblGrid>
        <w:gridCol w:w="124"/>
        <w:gridCol w:w="109"/>
        <w:gridCol w:w="109"/>
        <w:gridCol w:w="489"/>
        <w:gridCol w:w="489"/>
        <w:gridCol w:w="491"/>
        <w:gridCol w:w="109"/>
        <w:gridCol w:w="109"/>
        <w:gridCol w:w="109"/>
        <w:gridCol w:w="1361"/>
        <w:gridCol w:w="1361"/>
        <w:gridCol w:w="1364"/>
        <w:gridCol w:w="411"/>
        <w:gridCol w:w="411"/>
        <w:gridCol w:w="411"/>
        <w:gridCol w:w="411"/>
        <w:gridCol w:w="411"/>
        <w:gridCol w:w="411"/>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Exhibit </w:t>
            </w:r>
            <w:r>
              <w:rPr>
                <w:rFonts w:ascii="Times New Roman;sans-serif" w:hAnsi="Times New Roman;sans-serif"/>
                <w:b/>
                <w:color w:val="000000"/>
                <w:sz w:val="20"/>
                <w:u w:val="single"/>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991-3312023.htm">
              <w:r>
                <w:rPr>
                  <w:rStyle w:val="InternetLink"/>
                  <w:rFonts w:ascii="Times New Roman;sans-serif" w:hAnsi="Times New Roman;sans-serif"/>
                  <w:b w:val="false"/>
                  <w:color w:val="0000FF"/>
                  <w:sz w:val="20"/>
                  <w:u w:val="single"/>
                </w:rPr>
                <w:t>99.1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2"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991-3312023.htm">
              <w:r>
                <w:rPr>
                  <w:rStyle w:val="InternetLink"/>
                </w:rPr>
                <w:t xml:space="preserve">Comcast Corporation press release dated </w:t>
              </w:r>
            </w:hyperlink>
            <w:hyperlink w:anchor="ex991-3312023.htm">
              <w:r>
                <w:rPr>
                  <w:rStyle w:val="InternetLink"/>
                </w:rPr>
                <w:t>April</w:t>
              </w:r>
            </w:hyperlink>
            <w:hyperlink w:anchor="ex991-3312023.htm">
              <w:r>
                <w:rPr>
                  <w:rStyle w:val="InternetLink"/>
                </w:rPr>
                <w:t xml:space="preserve"> 2</w:t>
              </w:r>
            </w:hyperlink>
            <w:hyperlink w:anchor="ex991-3312023.htm">
              <w:r>
                <w:rPr>
                  <w:rStyle w:val="InternetLink"/>
                </w:rPr>
                <w:t>7</w:t>
              </w:r>
            </w:hyperlink>
            <w:hyperlink w:anchor="ex991-3312023.htm">
              <w:r>
                <w:rPr>
                  <w:rStyle w:val="InternetLink"/>
                </w:rPr>
                <w:t>, 2023.</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ex992-3312023.htm">
              <w:r>
                <w:rPr>
                  <w:rStyle w:val="InternetLink"/>
                  <w:rFonts w:ascii="Times New Roman;sans-serif" w:hAnsi="Times New Roman;sans-serif"/>
                  <w:b w:val="false"/>
                  <w:color w:val="0000FF"/>
                  <w:sz w:val="20"/>
                  <w:u w:val="single"/>
                </w:rPr>
                <w:t>99.2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2" w:type="dxa"/>
            <w:gridSpan w:val="9"/>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992-3312023.htm">
              <w:r>
                <w:rPr>
                  <w:rStyle w:val="InternetLink"/>
                  <w:rFonts w:ascii="Times New Roman;sans-serif" w:hAnsi="Times New Roman;sans-serif"/>
                  <w:b w:val="false"/>
                  <w:color w:val="0000FF"/>
                  <w:sz w:val="20"/>
                  <w:u w:val="single"/>
                </w:rPr>
                <w:t>Explanation of Non-GAAP and Other Financial Measures.</w:t>
              </w:r>
            </w:hyperlink>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52"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0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8360" w:type="dxa"/>
        <w:jc w:val="center"/>
        <w:tblInd w:w="0" w:type="dxa"/>
        <w:tblCellMar>
          <w:top w:w="28" w:type="dxa"/>
          <w:left w:w="28" w:type="dxa"/>
          <w:bottom w:w="28" w:type="dxa"/>
          <w:right w:w="28" w:type="dxa"/>
        </w:tblCellMar>
      </w:tblPr>
      <w:tblGrid>
        <w:gridCol w:w="200"/>
        <w:gridCol w:w="177"/>
        <w:gridCol w:w="178"/>
        <w:gridCol w:w="429"/>
        <w:gridCol w:w="429"/>
        <w:gridCol w:w="431"/>
        <w:gridCol w:w="109"/>
        <w:gridCol w:w="109"/>
        <w:gridCol w:w="109"/>
        <w:gridCol w:w="210"/>
        <w:gridCol w:w="210"/>
        <w:gridCol w:w="210"/>
        <w:gridCol w:w="645"/>
        <w:gridCol w:w="645"/>
        <w:gridCol w:w="645"/>
        <w:gridCol w:w="645"/>
        <w:gridCol w:w="645"/>
        <w:gridCol w:w="645"/>
        <w:gridCol w:w="489"/>
        <w:gridCol w:w="489"/>
        <w:gridCol w:w="711"/>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29"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r>
      <w:tr>
        <w:trPr/>
        <w:tc>
          <w:tcPr>
            <w:tcW w:w="217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9" w:type="dxa"/>
            <w:gridSpan w:val="12"/>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COMCAST CORPORATION</w:t>
            </w:r>
          </w:p>
        </w:tc>
      </w:tr>
      <w:tr>
        <w:trPr/>
        <w:tc>
          <w:tcPr>
            <w:tcW w:w="184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April 27,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55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Daniel C. Murdock</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70" w:type="dxa"/>
            <w:gridSpan w:val="6"/>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C. Murdock</w:t>
            </w:r>
          </w:p>
        </w:tc>
        <w:tc>
          <w:tcPr>
            <w:tcW w:w="16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Chief Accounting Officer and Controller</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5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48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tbl>
      <w:tblPr>
        <w:tblW w:w="5406" w:type="dxa"/>
        <w:jc w:val="center"/>
        <w:tblInd w:w="0" w:type="dxa"/>
        <w:tblCellMar>
          <w:top w:w="28" w:type="dxa"/>
          <w:left w:w="28" w:type="dxa"/>
          <w:bottom w:w="28" w:type="dxa"/>
          <w:right w:w="28" w:type="dxa"/>
        </w:tblCellMar>
      </w:tblPr>
      <w:tblGrid>
        <w:gridCol w:w="1101"/>
        <w:gridCol w:w="969"/>
        <w:gridCol w:w="970"/>
        <w:gridCol w:w="109"/>
        <w:gridCol w:w="109"/>
        <w:gridCol w:w="109"/>
        <w:gridCol w:w="597"/>
        <w:gridCol w:w="597"/>
        <w:gridCol w:w="845"/>
      </w:tblGrid>
      <w:tr>
        <w:trPr/>
        <w:tc>
          <w:tcPr>
            <w:tcW w:w="1101" w:type="dxa"/>
            <w:tcBorders/>
            <w:shd w:fill="auto" w:val="clear"/>
            <w:vAlign w:val="center"/>
          </w:tcPr>
          <w:p>
            <w:pPr>
              <w:pStyle w:val="TableContents"/>
              <w:spacing w:before="0" w:after="283"/>
              <w:rPr>
                <w:sz w:val="4"/>
                <w:szCs w:val="4"/>
              </w:rPr>
            </w:pPr>
            <w:r>
              <w:rPr>
                <w:sz w:val="4"/>
                <w:szCs w:val="4"/>
              </w:rPr>
            </w:r>
          </w:p>
        </w:tc>
        <w:tc>
          <w:tcPr>
            <w:tcW w:w="96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30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0"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0"/>
              <w:jc w:val="left"/>
              <w:rPr/>
            </w:pPr>
            <w:r>
              <w:rPr>
                <w:color w:val="000000"/>
              </w:rPr>
              <w:t>        </w:t>
            </w:r>
            <w:r>
              <w:rPr/>
              <w:drawing>
                <wp:inline distT="0" distB="63500" distL="0" distR="0">
                  <wp:extent cx="1524000" cy="5905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524000" cy="590550"/>
                          </a:xfrm>
                          <a:prstGeom prst="rect">
                            <a:avLst/>
                          </a:prstGeom>
                        </pic:spPr>
                      </pic:pic>
                    </a:graphicData>
                  </a:graphic>
                </wp:inline>
              </w:drawing>
            </w:r>
            <w:r>
              <w:rPr>
                <w:color w:val="000000"/>
              </w:rPr>
              <w:t xml:space="preserve"> </w:t>
            </w:r>
          </w:p>
        </w:tc>
        <w:tc>
          <w:tcPr>
            <w:tcW w:w="327" w:type="dxa"/>
            <w:gridSpan w:val="3"/>
            <w:tcBorders>
              <w:bottom w:val="single" w:sz="4"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039"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22"/>
              </w:rPr>
            </w:pPr>
            <w:r>
              <w:rPr>
                <w:rFonts w:ascii="Arial;sans-serif" w:hAnsi="Arial;sans-serif"/>
                <w:b/>
                <w:color w:val="000000"/>
                <w:sz w:val="22"/>
              </w:rPr>
              <w:t>PRESS RELEASE</w:t>
            </w:r>
          </w:p>
        </w:tc>
      </w:tr>
    </w:tbl>
    <w:p>
      <w:pPr>
        <w:pStyle w:val="TextBody"/>
        <w:spacing w:lineRule="auto" w:line="288" w:before="0" w:after="100"/>
        <w:jc w:val="center"/>
        <w:rPr>
          <w:rFonts w:ascii="Helvetica;sans-serif" w:hAnsi="Helvetica;sans-serif"/>
          <w:b/>
          <w:color w:val="000000"/>
          <w:sz w:val="24"/>
        </w:rPr>
      </w:pPr>
      <w:r>
        <w:rPr>
          <w:rFonts w:ascii="Helvetica;sans-serif" w:hAnsi="Helvetica;sans-serif"/>
          <w:b/>
          <w:color w:val="000000"/>
          <w:sz w:val="24"/>
        </w:rPr>
        <w:t>COMCAST REPORTS 1st QUARTER 2023 RESULTS</w:t>
      </w:r>
    </w:p>
    <w:p>
      <w:pPr>
        <w:pStyle w:val="TextBody"/>
        <w:spacing w:lineRule="auto" w:line="288" w:before="0" w:after="100"/>
        <w:jc w:val="both"/>
        <w:rPr>
          <w:rFonts w:ascii="Helvetica;sans-serif" w:hAnsi="Helvetica;sans-serif"/>
          <w:b w:val="false"/>
          <w:color w:val="000000"/>
          <w:sz w:val="20"/>
        </w:rPr>
      </w:pPr>
      <w:r>
        <w:rPr>
          <w:rFonts w:ascii="Helvetica;sans-serif" w:hAnsi="Helvetica;sans-serif"/>
          <w:b w:val="false"/>
          <w:color w:val="000000"/>
          <w:sz w:val="20"/>
        </w:rPr>
        <w:t>PHILADELPHIA - April 27, 2023… Comcast Corporation (NASDAQ: CMCSA) today reported results for the quarter ended March 31, 2023.</w:t>
      </w:r>
    </w:p>
    <w:p>
      <w:pPr>
        <w:pStyle w:val="TextBody"/>
        <w:spacing w:lineRule="auto" w:line="268" w:before="0" w:after="0"/>
        <w:jc w:val="both"/>
        <w:rPr/>
      </w:pPr>
      <w:r>
        <w:rPr>
          <w:color w:val="000000"/>
        </w:rPr>
        <w:t>“</w:t>
      </w:r>
      <w:r>
        <w:rPr>
          <w:rFonts w:ascii="Helvetica;sans-serif" w:hAnsi="Helvetica;sans-serif"/>
          <w:b w:val="false"/>
          <w:i/>
          <w:color w:val="000000"/>
          <w:sz w:val="20"/>
        </w:rPr>
        <w:t>We delivered strong first quarter results as our team executed exceptionally well,"</w:t>
      </w:r>
      <w:r>
        <w:rPr>
          <w:color w:val="000000"/>
        </w:rPr>
        <w:t xml:space="preserve"> </w:t>
      </w:r>
      <w:r>
        <w:rPr>
          <w:rFonts w:ascii="Helvetica;sans-serif" w:hAnsi="Helvetica;sans-serif"/>
          <w:b w:val="false"/>
          <w:color w:val="000000"/>
          <w:sz w:val="20"/>
        </w:rPr>
        <w:t xml:space="preserve">said Brian L. Roberts, Chairman and Chief Executive Officer of Comcast Corporation. </w:t>
      </w:r>
      <w:r>
        <w:rPr>
          <w:rFonts w:ascii="Helvetica;sans-serif" w:hAnsi="Helvetica;sans-serif"/>
          <w:b w:val="false"/>
          <w:i/>
          <w:color w:val="000000"/>
          <w:sz w:val="20"/>
        </w:rPr>
        <w:t>"We grew Adjusted EBITDA and Adjusted EPS, and generated a significant amount of free cash flow. We accomplished all of this while continuing to invest in future growth initiatives. Also, importantly, we had solid revenue growth in our high-margin connectivity businesses, while increasing our Peacock subscribers more than 60% year-over-year. Our theme parks set a new record of Adjusted EBITDA for a first quarter. In addition, we returned a healthy amount of capital to our shareholders and maintained an enviable balance sheet. As we look ahead, we have great momentum across the company, including Studios where Super Mario Bros. has smashed global box office records to become one of the most successful movies of 2023."</w:t>
      </w:r>
    </w:p>
    <w:tbl>
      <w:tblPr>
        <w:tblW w:w="7100" w:type="dxa"/>
        <w:jc w:val="left"/>
        <w:tblInd w:w="0" w:type="dxa"/>
        <w:tblCellMar>
          <w:top w:w="28" w:type="dxa"/>
          <w:left w:w="28" w:type="dxa"/>
          <w:bottom w:w="28" w:type="dxa"/>
          <w:right w:w="28" w:type="dxa"/>
        </w:tblCellMar>
      </w:tblPr>
      <w:tblGrid>
        <w:gridCol w:w="124"/>
        <w:gridCol w:w="109"/>
        <w:gridCol w:w="109"/>
        <w:gridCol w:w="1053"/>
        <w:gridCol w:w="1053"/>
        <w:gridCol w:w="1059"/>
        <w:gridCol w:w="368"/>
        <w:gridCol w:w="368"/>
        <w:gridCol w:w="156"/>
        <w:gridCol w:w="368"/>
        <w:gridCol w:w="368"/>
        <w:gridCol w:w="156"/>
        <w:gridCol w:w="263"/>
        <w:gridCol w:w="263"/>
        <w:gridCol w:w="366"/>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 except per share data)</w:t>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6"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Consolidated Results</w:t>
            </w:r>
          </w:p>
        </w:tc>
        <w:tc>
          <w:tcPr>
            <w:tcW w:w="892"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892"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2022</w:t>
            </w:r>
          </w:p>
        </w:tc>
        <w:tc>
          <w:tcPr>
            <w:tcW w:w="892"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Revenue </w:t>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$29,691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$31,010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DBDBDB"/>
              <w:left w:val="single" w:sz="8" w:space="0" w:color="DBDBDB"/>
            </w:tcBorders>
            <w:shd w:fill="D9D9D6" w:val="clear"/>
            <w:tcMar>
              <w:top w:w="3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Income Attributable to Comcast</w:t>
            </w:r>
          </w:p>
        </w:tc>
        <w:tc>
          <w:tcPr>
            <w:tcW w:w="736" w:type="dxa"/>
            <w:gridSpan w:val="2"/>
            <w:tcBorders>
              <w:left w:val="single" w:sz="8" w:space="0" w:color="DBDBDB"/>
            </w:tcBorders>
            <w:shd w:fill="D9D9D6" w:val="clear"/>
            <w:tcMar>
              <w:top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$3,834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$3,549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DBDBDB"/>
            </w:tcBorders>
            <w:shd w:fill="D9D9D6" w:val="clear"/>
            <w:tcMar>
              <w:top w:w="3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Adjusted Net Income</w:t>
            </w:r>
            <w:r>
              <w:rPr>
                <w:rFonts w:ascii="Helvetica;sans-serif" w:hAnsi="Helvetica;sans-serif"/>
                <w:b w:val="false"/>
                <w:color w:val="000000"/>
                <w:sz w:val="10"/>
              </w:rPr>
              <w:t>1</w:t>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$3,877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$3,900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Adjusted EBITDA</w:t>
            </w:r>
            <w:r>
              <w:rPr>
                <w:rFonts w:ascii="Helvetica;sans-serif" w:hAnsi="Helvetica;sans-serif"/>
                <w:b w:val="false"/>
                <w:color w:val="000000"/>
                <w:sz w:val="10"/>
              </w:rPr>
              <w:t>2</w:t>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$9,415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$9,150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Earnings per Share</w:t>
            </w:r>
            <w:r>
              <w:rPr>
                <w:rFonts w:ascii="Helvetica;sans-serif" w:hAnsi="Helvetica;sans-serif"/>
                <w:b w:val="false"/>
                <w:color w:val="000000"/>
                <w:sz w:val="10"/>
              </w:rPr>
              <w:t>3</w:t>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$0.91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$0.78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16.7 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Adjusted Earnings per Share</w:t>
            </w:r>
            <w:r>
              <w:rPr>
                <w:rFonts w:ascii="Helvetica;sans-serif" w:hAnsi="Helvetica;sans-serif"/>
                <w:b w:val="false"/>
                <w:color w:val="000000"/>
                <w:sz w:val="10"/>
              </w:rPr>
              <w:t>1</w:t>
            </w:r>
            <w:r>
              <w:rPr>
                <w:color w:val="000000"/>
              </w:rPr>
              <w:t xml:space="preserve"> </w:t>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$0.92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$0.86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Operating Activities</w:t>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$7,228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$7,257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Free Cash Flow</w:t>
            </w:r>
            <w:r>
              <w:rPr>
                <w:rFonts w:ascii="Helvetica;sans-serif" w:hAnsi="Helvetica;sans-serif"/>
                <w:b w:val="false"/>
                <w:color w:val="000000"/>
                <w:sz w:val="10"/>
              </w:rPr>
              <w:t>4</w:t>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$3,800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$4,760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165"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rFonts w:ascii="Helvetica;sans-serif" w:hAnsi="Helvetica;sans-serif"/>
          <w:b w:val="false"/>
          <w:color w:val="000000"/>
          <w:sz w:val="16"/>
        </w:rPr>
      </w:pPr>
      <w:r>
        <w:rPr>
          <w:rFonts w:ascii="Helvetica;sans-serif" w:hAnsi="Helvetica;sans-serif"/>
          <w:b w:val="false"/>
          <w:color w:val="000000"/>
          <w:sz w:val="16"/>
        </w:rPr>
        <w:t xml:space="preserve">For additional detail on segment revenue and expenses, customer metrics, capital expenditures, and free cash flow, please refer to the trending schedule on Comcast’s Investor Relations website at www.cmcsa.com. </w:t>
      </w:r>
    </w:p>
    <w:p>
      <w:pPr>
        <w:pStyle w:val="TextBody"/>
        <w:spacing w:lineRule="auto" w:line="288" w:before="0" w:after="20"/>
        <w:jc w:val="both"/>
        <w:rPr/>
      </w:pPr>
      <w:r>
        <w:rPr>
          <w:rFonts w:ascii="Helvetica;sans-serif" w:hAnsi="Helvetica;sans-serif"/>
          <w:b/>
          <w:color w:val="000000"/>
          <w:sz w:val="20"/>
        </w:rPr>
        <w:t>1st Quarter</w:t>
      </w:r>
      <w:r>
        <w:rPr>
          <w:color w:val="000000"/>
        </w:rPr>
        <w:t xml:space="preserve"> </w:t>
      </w:r>
      <w:r>
        <w:rPr>
          <w:rFonts w:ascii="Helvetica;sans-serif" w:hAnsi="Helvetica;sans-serif"/>
          <w:b/>
          <w:color w:val="000000"/>
          <w:sz w:val="20"/>
        </w:rPr>
        <w:t>2023 Highlights: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Consolidated Adjusted EBITDA Increased 2.9% to $9.4 Billion; Adjusted EPS Increased 7.0% to $0.92; Generated Free Cash Flow of $3.8 Billion</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Returned $3.2 Billion to Shareholders Through a Combination of $1.2 Billion in Dividend Payments and $2.0 Billion in Share Repurchases</w:t>
      </w:r>
    </w:p>
    <w:p>
      <w:pPr>
        <w:pStyle w:val="TextBody"/>
        <w:spacing w:lineRule="auto" w:line="288" w:before="0" w:after="20"/>
        <w:ind w:left="0" w:right="0" w:hanging="360"/>
        <w:jc w:val="both"/>
        <w:rPr/>
      </w:pPr>
      <w:r>
        <w:rPr>
          <w:color w:val="000000"/>
        </w:rPr>
        <w:t>•</w:t>
      </w:r>
      <w:r>
        <w:rPr>
          <w:rFonts w:ascii="Helvetica;sans-serif" w:hAnsi="Helvetica;sans-serif"/>
          <w:b w:val="false"/>
          <w:color w:val="000000"/>
          <w:sz w:val="20"/>
        </w:rPr>
        <w:t xml:space="preserve">Connectivity &amp; Platforms Adjusted EBITDA Increased 3.2% to $8.1 Billion, Driven by Growth in Residential Connectivity Revenue and Business Services Connectivity Revenue and Lower Operating Expenses. Excluding the Impact of Foreign Currency, Connectivity &amp; Platforms Adjusted EBITDA Increased 3.9% and Adjusted EBITDA Margin Increased </w:t>
      </w:r>
      <w:r>
        <w:rPr>
          <w:rFonts w:ascii="Arial;sans-serif" w:hAnsi="Arial;sans-serif"/>
          <w:b w:val="false"/>
          <w:color w:val="000000"/>
          <w:sz w:val="20"/>
        </w:rPr>
        <w:t>160</w:t>
      </w:r>
      <w:r>
        <w:rPr>
          <w:color w:val="000000"/>
        </w:rPr>
        <w:t xml:space="preserve"> </w:t>
      </w:r>
      <w:r>
        <w:rPr>
          <w:rFonts w:ascii="Helvetica;sans-serif" w:hAnsi="Helvetica;sans-serif"/>
          <w:b w:val="false"/>
          <w:color w:val="000000"/>
          <w:sz w:val="20"/>
        </w:rPr>
        <w:t>Basis Points to 40.2%</w:t>
      </w:r>
    </w:p>
    <w:p>
      <w:pPr>
        <w:pStyle w:val="TextBody"/>
        <w:spacing w:lineRule="auto" w:line="288" w:before="0" w:after="20"/>
        <w:ind w:left="0" w:right="0" w:hanging="360"/>
        <w:jc w:val="both"/>
        <w:rPr/>
      </w:pPr>
      <w:r>
        <w:rPr>
          <w:color w:val="000000"/>
        </w:rPr>
        <w:t>•</w:t>
      </w:r>
      <w:r>
        <w:rPr>
          <w:rFonts w:ascii="Helvetica;sans-serif" w:hAnsi="Helvetica;sans-serif"/>
          <w:b w:val="false"/>
          <w:color w:val="000000"/>
          <w:sz w:val="20"/>
        </w:rPr>
        <w:t>Domestic Broadband Average Rate Per Customer Increased 4.5% and Drove Domestic Broadband Revenue Growth of 4.8% to $6.3 Billion</w:t>
      </w:r>
    </w:p>
    <w:p>
      <w:pPr>
        <w:pStyle w:val="TextBody"/>
        <w:spacing w:lineRule="auto" w:line="288" w:before="0" w:after="20"/>
        <w:ind w:left="0" w:right="0" w:hanging="360"/>
        <w:jc w:val="both"/>
        <w:rPr/>
      </w:pPr>
      <w:r>
        <w:rPr>
          <w:color w:val="000000"/>
        </w:rPr>
        <w:t>•</w:t>
      </w:r>
      <w:r>
        <w:rPr>
          <w:rFonts w:ascii="Helvetica;sans-serif" w:hAnsi="Helvetica;sans-serif"/>
          <w:b w:val="false"/>
          <w:color w:val="000000"/>
          <w:sz w:val="20"/>
        </w:rPr>
        <w:t xml:space="preserve">Peacock Paid Subscribers in the U.S. Increased More Than 60% Compared to the Prior Year Period to 22 Million. Peacock Revenue Increased 45% to $685 Million </w:t>
      </w:r>
    </w:p>
    <w:p>
      <w:pPr>
        <w:pStyle w:val="TextBody"/>
        <w:spacing w:lineRule="auto" w:line="288" w:before="0" w:after="20"/>
        <w:ind w:left="0" w:right="0" w:hanging="360"/>
        <w:jc w:val="both"/>
        <w:rPr/>
      </w:pPr>
      <w:r>
        <w:rPr>
          <w:color w:val="000000"/>
        </w:rPr>
        <w:t>•</w:t>
      </w:r>
      <w:r>
        <w:rPr>
          <w:rFonts w:ascii="Helvetica;sans-serif" w:hAnsi="Helvetica;sans-serif"/>
          <w:b w:val="false"/>
          <w:color w:val="000000"/>
          <w:sz w:val="20"/>
        </w:rPr>
        <w:t xml:space="preserve">Theme Parks Adjusted EBITDA Increased 46% to $658 Million. Opened Super Nintendo World at Universal Studios Hollywood in February, in Advance of the Record-Breaking Theatrical Performance of </w:t>
      </w:r>
      <w:r>
        <w:rPr>
          <w:rFonts w:ascii="Helvetica;sans-serif" w:hAnsi="Helvetica;sans-serif"/>
          <w:b w:val="false"/>
          <w:i/>
          <w:color w:val="000000"/>
          <w:sz w:val="20"/>
        </w:rPr>
        <w:t>The Super Mario Bros. Movie</w:t>
      </w:r>
      <w:r>
        <w:rPr>
          <w:color w:val="000000"/>
        </w:rPr>
        <w:t xml:space="preserve"> </w:t>
      </w:r>
      <w:r>
        <w:rPr>
          <w:rFonts w:ascii="Helvetica;sans-serif" w:hAnsi="Helvetica;sans-serif"/>
          <w:b w:val="false"/>
          <w:color w:val="000000"/>
          <w:sz w:val="20"/>
        </w:rPr>
        <w:t>in April</w:t>
      </w:r>
    </w:p>
    <w:p>
      <w:pPr>
        <w:pStyle w:val="TextBody"/>
        <w:spacing w:before="0" w:after="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5" name="Frame4"/>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w:t>
                      </w:r>
                    </w:p>
                  </w:txbxContent>
                </v:textbox>
              </v:rect>
            </w:pict>
          </mc:Fallback>
        </mc:AlternateContent>
      </w:r>
    </w:p>
    <w:p>
      <w:pPr>
        <w:pStyle w:val="TextBody"/>
        <w:spacing w:lineRule="auto" w:line="288" w:before="0" w:after="60"/>
        <w:jc w:val="both"/>
        <w:rPr>
          <w:rFonts w:ascii="Helvetica;sans-serif" w:hAnsi="Helvetica;sans-serif"/>
          <w:b/>
          <w:color w:val="000000"/>
          <w:sz w:val="24"/>
        </w:rPr>
      </w:pPr>
      <w:r>
        <w:rPr>
          <w:rFonts w:ascii="Helvetica;sans-serif" w:hAnsi="Helvetica;sans-serif"/>
          <w:b/>
          <w:color w:val="000000"/>
          <w:sz w:val="24"/>
        </w:rPr>
        <w:t>Consolidated Financial Results</w:t>
      </w:r>
    </w:p>
    <w:p>
      <w:pPr>
        <w:pStyle w:val="TextBody"/>
        <w:spacing w:lineRule="auto" w:line="288" w:before="0" w:after="0"/>
        <w:jc w:val="both"/>
        <w:rPr>
          <w:rFonts w:ascii="Helvetica;sans-serif" w:hAnsi="Helvetica;sans-serif"/>
          <w:b w:val="false"/>
          <w:color w:val="000000"/>
          <w:sz w:val="2"/>
        </w:rPr>
      </w:pPr>
      <w:r>
        <w:rPr>
          <w:rFonts w:ascii="Helvetica;sans-serif" w:hAnsi="Helvetica;sans-serif"/>
          <w:b w:val="false"/>
          <w:color w:val="000000"/>
          <w:sz w:val="2"/>
        </w:rPr>
        <w:t>\</w:t>
      </w:r>
    </w:p>
    <w:p>
      <w:pPr>
        <w:pStyle w:val="TextBody"/>
        <w:spacing w:lineRule="auto" w:line="28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 xml:space="preserve">decreased 4.3%, reflecting an unfavorable comparison to the prior year period, which included our broadcasts of the Beijing Olympics and the NFL's Super Bowl. </w:t>
      </w:r>
      <w:r>
        <w:rPr>
          <w:rFonts w:ascii="Helvetica;sans-serif" w:hAnsi="Helvetica;sans-serif"/>
          <w:b/>
          <w:color w:val="000000"/>
          <w:sz w:val="20"/>
        </w:rPr>
        <w:t>Net Income Attributable to Comcast</w:t>
      </w:r>
      <w:r>
        <w:rPr>
          <w:color w:val="000000"/>
        </w:rPr>
        <w:t xml:space="preserve"> </w:t>
      </w:r>
      <w:r>
        <w:rPr>
          <w:rFonts w:ascii="Helvetica;sans-serif" w:hAnsi="Helvetica;sans-serif"/>
          <w:b w:val="false"/>
          <w:color w:val="000000"/>
          <w:sz w:val="20"/>
        </w:rPr>
        <w:t xml:space="preserve">increased 8.0%. </w:t>
      </w:r>
      <w:r>
        <w:rPr>
          <w:rFonts w:ascii="Helvetica;sans-serif" w:hAnsi="Helvetica;sans-serif"/>
          <w:b/>
          <w:color w:val="000000"/>
          <w:sz w:val="20"/>
        </w:rPr>
        <w:t>Adjusted Net Income</w:t>
      </w:r>
      <w:r>
        <w:rPr>
          <w:color w:val="000000"/>
        </w:rPr>
        <w:t xml:space="preserve"> </w:t>
      </w:r>
      <w:r>
        <w:rPr>
          <w:rFonts w:ascii="Helvetica;sans-serif" w:hAnsi="Helvetica;sans-serif"/>
          <w:b w:val="false"/>
          <w:color w:val="000000"/>
          <w:sz w:val="20"/>
        </w:rPr>
        <w:t>was consistent with the prior year period.</w:t>
      </w:r>
      <w:r>
        <w:rPr>
          <w:color w:val="000000"/>
        </w:rPr>
        <w:t xml:space="preserve"> </w:t>
      </w: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increased 2.9%.</w:t>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Earnings per Share (EPS)</w:t>
      </w:r>
      <w:r>
        <w:rPr>
          <w:color w:val="000000"/>
        </w:rPr>
        <w:t xml:space="preserve"> </w:t>
      </w:r>
      <w:r>
        <w:rPr>
          <w:rFonts w:ascii="Helvetica;sans-serif" w:hAnsi="Helvetica;sans-serif"/>
          <w:b w:val="false"/>
          <w:color w:val="000000"/>
          <w:sz w:val="20"/>
        </w:rPr>
        <w:t xml:space="preserve">increased 16.7% to $0.91. </w:t>
      </w:r>
      <w:r>
        <w:rPr>
          <w:rFonts w:ascii="Helvetica;sans-serif" w:hAnsi="Helvetica;sans-serif"/>
          <w:b/>
          <w:i/>
          <w:color w:val="000000"/>
          <w:sz w:val="20"/>
        </w:rPr>
        <w:t>Adjusted EPS</w:t>
      </w:r>
      <w:r>
        <w:rPr>
          <w:color w:val="000000"/>
        </w:rPr>
        <w:t xml:space="preserve"> </w:t>
      </w:r>
      <w:r>
        <w:rPr>
          <w:rFonts w:ascii="Helvetica;sans-serif" w:hAnsi="Helvetica;sans-serif"/>
          <w:b w:val="false"/>
          <w:color w:val="000000"/>
          <w:sz w:val="20"/>
        </w:rPr>
        <w:t>increased 7.0% to $0.92.</w:t>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Capital Expenditures</w:t>
      </w:r>
      <w:r>
        <w:rPr>
          <w:color w:val="000000"/>
        </w:rPr>
        <w:t xml:space="preserve"> </w:t>
      </w:r>
      <w:r>
        <w:rPr>
          <w:rFonts w:ascii="Helvetica;sans-serif" w:hAnsi="Helvetica;sans-serif"/>
          <w:b w:val="false"/>
          <w:color w:val="000000"/>
          <w:sz w:val="20"/>
        </w:rPr>
        <w:t xml:space="preserve">increased 43.5% to $2.7 billion. Connectivity &amp; Platforms’ capital expenditures increased 29.7% to $2.0 billion, primarily reflecting higher investment in scalable infrastructure and line extensions. Content &amp; Experiences' capital expenditures increased $343 million to $651 million, reflecting increased investment in constructing the Epic Universe theme park in Orlando, which is scheduled to open in 2025. </w:t>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 xml:space="preserve">Net Cash Provided by Operating Activities </w:t>
      </w:r>
      <w:r>
        <w:rPr>
          <w:rFonts w:ascii="Helvetica;sans-serif" w:hAnsi="Helvetica;sans-serif"/>
          <w:b w:val="false"/>
          <w:color w:val="000000"/>
          <w:sz w:val="20"/>
        </w:rPr>
        <w:t>was $7.2 billion.</w:t>
      </w:r>
      <w:r>
        <w:rPr>
          <w:color w:val="000000"/>
        </w:rPr>
        <w:t xml:space="preserve"> </w:t>
      </w:r>
      <w:r>
        <w:rPr>
          <w:rFonts w:ascii="Helvetica;sans-serif" w:hAnsi="Helvetica;sans-serif"/>
          <w:b/>
          <w:i/>
          <w:color w:val="000000"/>
          <w:sz w:val="20"/>
        </w:rPr>
        <w:t>Free Cash Flow</w:t>
      </w:r>
      <w:r>
        <w:rPr>
          <w:color w:val="000000"/>
        </w:rPr>
        <w:t xml:space="preserve"> </w:t>
      </w:r>
      <w:r>
        <w:rPr>
          <w:rFonts w:ascii="Helvetica;sans-serif" w:hAnsi="Helvetica;sans-serif"/>
          <w:b w:val="false"/>
          <w:color w:val="000000"/>
          <w:sz w:val="20"/>
        </w:rPr>
        <w:t>was $3.8 billion.</w:t>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Dividends and Share Repurchases.</w:t>
      </w:r>
      <w:r>
        <w:rPr>
          <w:color w:val="000000"/>
        </w:rPr>
        <w:t xml:space="preserve"> </w:t>
      </w:r>
      <w:r>
        <w:rPr>
          <w:rFonts w:ascii="Helvetica;sans-serif" w:hAnsi="Helvetica;sans-serif"/>
          <w:b w:val="false"/>
          <w:color w:val="000000"/>
          <w:sz w:val="20"/>
        </w:rPr>
        <w:t>Comcast paid dividends totaling $1.2 billion and repurchased 52.5 million of its common shares for $2.0 billion, resulting in a total return of capital to shareholders of $3.2 billion.</w:t>
      </w:r>
    </w:p>
    <w:p>
      <w:pPr>
        <w:pStyle w:val="TextBody"/>
        <w:spacing w:before="0" w:after="0"/>
        <w:jc w:val="both"/>
        <w:rPr/>
      </w:pPr>
      <w:r>
        <w:rPr/>
      </w:r>
    </w:p>
    <w:p>
      <w:pPr>
        <w:pStyle w:val="TextBody"/>
        <w:spacing w:lineRule="auto" w:line="288" w:before="0" w:after="0"/>
        <w:rPr>
          <w:rFonts w:ascii="Helvetica;sans-serif" w:hAnsi="Helvetica;sans-serif"/>
          <w:b/>
          <w:color w:val="000000"/>
          <w:sz w:val="24"/>
        </w:rPr>
      </w:pPr>
      <w:r>
        <w:rPr>
          <w:rFonts w:ascii="Helvetica;sans-serif" w:hAnsi="Helvetica;sans-serif"/>
          <w:b/>
          <w:color w:val="000000"/>
          <w:sz w:val="24"/>
        </w:rPr>
        <w:t>Connectivity &amp; Platforms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9240" w:type="dxa"/>
        <w:jc w:val="left"/>
        <w:tblInd w:w="0" w:type="dxa"/>
        <w:tblCellMar>
          <w:top w:w="28" w:type="dxa"/>
          <w:left w:w="28" w:type="dxa"/>
          <w:bottom w:w="28" w:type="dxa"/>
          <w:right w:w="28" w:type="dxa"/>
        </w:tblCellMar>
      </w:tblPr>
      <w:tblGrid>
        <w:gridCol w:w="124"/>
        <w:gridCol w:w="109"/>
        <w:gridCol w:w="109"/>
        <w:gridCol w:w="1510"/>
        <w:gridCol w:w="1510"/>
        <w:gridCol w:w="1525"/>
        <w:gridCol w:w="240"/>
        <w:gridCol w:w="241"/>
        <w:gridCol w:w="375"/>
        <w:gridCol w:w="240"/>
        <w:gridCol w:w="241"/>
        <w:gridCol w:w="377"/>
        <w:gridCol w:w="225"/>
        <w:gridCol w:w="226"/>
        <w:gridCol w:w="366"/>
        <w:gridCol w:w="225"/>
        <w:gridCol w:w="226"/>
        <w:gridCol w:w="45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vMerge w:val="restart"/>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rPr>
              <w:t xml:space="preserve">Constant </w:t>
              <w:br/>
              <w:t xml:space="preserve">Currency </w:t>
              <w:br/>
            </w:r>
            <w:r>
              <w:rPr>
                <w:rFonts w:ascii="Helvetica;sans-serif" w:hAnsi="Helvetica;sans-serif"/>
                <w:b w:val="false"/>
                <w:color w:val="000000"/>
                <w:sz w:val="16"/>
                <w:u w:val="single"/>
              </w:rPr>
              <w:t>Change</w:t>
            </w:r>
            <w:r>
              <w:rPr>
                <w:rFonts w:ascii="Helvetica;sans-serif" w:hAnsi="Helvetica;sans-serif"/>
                <w:b w:val="false"/>
                <w:color w:val="000000"/>
                <w:sz w:val="10"/>
                <w:u w:val="single"/>
              </w:rPr>
              <w:t>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1"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905" w:type="dxa"/>
            <w:gridSpan w:val="3"/>
            <w:vMerge w:val="continue"/>
            <w:tcBorders/>
            <w:shd w:fill="D9D9D6"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858"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2022</w:t>
            </w:r>
            <w:r>
              <w:rPr>
                <w:rFonts w:ascii="Helvetica;sans-serif" w:hAnsi="Helvetica;sans-serif"/>
                <w:b w:val="false"/>
                <w:color w:val="000000"/>
                <w:sz w:val="10"/>
              </w:rPr>
              <w:t>8</w:t>
            </w:r>
          </w:p>
        </w:tc>
        <w:tc>
          <w:tcPr>
            <w:tcW w:w="81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905" w:type="dxa"/>
            <w:gridSpan w:val="3"/>
            <w:vMerge w:val="continue"/>
            <w:tcBorders/>
            <w:shd w:fill="D9D9D6"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Revenue</w:t>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Residential Connectivity &amp; Platforms </w:t>
            </w:r>
          </w:p>
        </w:tc>
        <w:tc>
          <w:tcPr>
            <w:tcW w:w="856"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$17,869</w:t>
            </w:r>
          </w:p>
        </w:tc>
        <w:tc>
          <w:tcPr>
            <w:tcW w:w="858"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$18,340</w:t>
            </w:r>
          </w:p>
        </w:tc>
        <w:tc>
          <w:tcPr>
            <w:tcW w:w="4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Business Services Connectivity </w:t>
            </w:r>
          </w:p>
        </w:tc>
        <w:tc>
          <w:tcPr>
            <w:tcW w:w="856"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2,283</w:t>
            </w:r>
          </w:p>
        </w:tc>
        <w:tc>
          <w:tcPr>
            <w:tcW w:w="858"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2,172</w:t>
            </w:r>
          </w:p>
        </w:tc>
        <w:tc>
          <w:tcPr>
            <w:tcW w:w="4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w:t>
            </w:r>
          </w:p>
        </w:tc>
        <w:tc>
          <w:tcPr>
            <w:tcW w:w="4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Revenue</w:t>
            </w:r>
          </w:p>
        </w:tc>
        <w:tc>
          <w:tcPr>
            <w:tcW w:w="856"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$20,153</w:t>
            </w:r>
          </w:p>
        </w:tc>
        <w:tc>
          <w:tcPr>
            <w:tcW w:w="858"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$20,512</w:t>
            </w:r>
          </w:p>
        </w:tc>
        <w:tc>
          <w:tcPr>
            <w:tcW w:w="45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(1.8</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5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(0.1</w:t>
            </w:r>
            <w:r>
              <w:rPr>
                <w:color w:val="000000"/>
              </w:rPr>
              <w:t> </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Adjusted EBITDA</w:t>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Residential Connectivity &amp; Platforms</w:t>
            </w:r>
          </w:p>
        </w:tc>
        <w:tc>
          <w:tcPr>
            <w:tcW w:w="856"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$6,762</w:t>
            </w:r>
          </w:p>
        </w:tc>
        <w:tc>
          <w:tcPr>
            <w:tcW w:w="858"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$6,611</w:t>
            </w:r>
          </w:p>
        </w:tc>
        <w:tc>
          <w:tcPr>
            <w:tcW w:w="4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Business Services Connectivity </w:t>
            </w:r>
          </w:p>
        </w:tc>
        <w:tc>
          <w:tcPr>
            <w:tcW w:w="856"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1,332</w:t>
            </w:r>
          </w:p>
        </w:tc>
        <w:tc>
          <w:tcPr>
            <w:tcW w:w="858"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1,233</w:t>
            </w:r>
          </w:p>
        </w:tc>
        <w:tc>
          <w:tcPr>
            <w:tcW w:w="4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Adjusted EBITDA</w:t>
            </w:r>
          </w:p>
        </w:tc>
        <w:tc>
          <w:tcPr>
            <w:tcW w:w="856"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$8,093</w:t>
            </w:r>
          </w:p>
        </w:tc>
        <w:tc>
          <w:tcPr>
            <w:tcW w:w="858"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$7,844</w:t>
            </w:r>
          </w:p>
        </w:tc>
        <w:tc>
          <w:tcPr>
            <w:tcW w:w="45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3.2</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5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3.9</w:t>
            </w:r>
            <w:r>
              <w:rPr>
                <w:color w:val="000000"/>
              </w:rPr>
              <w:t> </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Connectivity &amp; Platforms Adjusted EBITDA Margin</w:t>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Residential Connectivity &amp; Platforms </w:t>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37.8 </w:t>
            </w:r>
          </w:p>
        </w:tc>
        <w:tc>
          <w:tcPr>
            <w:tcW w:w="375"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36.0 </w:t>
            </w:r>
          </w:p>
        </w:tc>
        <w:tc>
          <w:tcPr>
            <w:tcW w:w="377"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1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 bps</w:t>
            </w:r>
          </w:p>
        </w:tc>
        <w:tc>
          <w:tcPr>
            <w:tcW w:w="905"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Business Services Connectivity </w:t>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58.3 </w:t>
            </w:r>
          </w:p>
        </w:tc>
        <w:tc>
          <w:tcPr>
            <w:tcW w:w="375"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56.8 </w:t>
            </w:r>
          </w:p>
        </w:tc>
        <w:tc>
          <w:tcPr>
            <w:tcW w:w="377"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1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 bps</w:t>
            </w:r>
          </w:p>
        </w:tc>
        <w:tc>
          <w:tcPr>
            <w:tcW w:w="905"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Adjusted EBITDA Margin</w:t>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40.2</w:t>
            </w:r>
            <w:r>
              <w:rPr>
                <w:color w:val="000000"/>
              </w:rPr>
              <w:t> </w:t>
            </w:r>
          </w:p>
        </w:tc>
        <w:tc>
          <w:tcPr>
            <w:tcW w:w="375"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38.2</w:t>
            </w:r>
            <w:r>
              <w:rPr>
                <w:color w:val="000000"/>
              </w:rPr>
              <w:t> </w:t>
            </w:r>
          </w:p>
        </w:tc>
        <w:tc>
          <w:tcPr>
            <w:tcW w:w="377"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817"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200 bps</w:t>
            </w:r>
          </w:p>
        </w:tc>
        <w:tc>
          <w:tcPr>
            <w:tcW w:w="905"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160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545" w:type="dxa"/>
            <w:gridSpan w:val="3"/>
            <w:tcBorders/>
            <w:shd w:fill="auto" w:val="clear"/>
            <w:vAlign w:val="center"/>
          </w:tcPr>
          <w:p>
            <w:pPr>
              <w:pStyle w:val="TableContents"/>
              <w:spacing w:before="0" w:after="283"/>
              <w:rPr>
                <w:sz w:val="4"/>
                <w:szCs w:val="4"/>
              </w:rPr>
            </w:pPr>
            <w:r>
              <w:rPr>
                <w:sz w:val="4"/>
                <w:szCs w:val="4"/>
              </w:rPr>
            </w:r>
          </w:p>
        </w:tc>
        <w:tc>
          <w:tcPr>
            <w:tcW w:w="856" w:type="dxa"/>
            <w:gridSpan w:val="3"/>
            <w:tcBorders/>
            <w:shd w:fill="auto" w:val="clear"/>
            <w:vAlign w:val="center"/>
          </w:tcPr>
          <w:p>
            <w:pPr>
              <w:pStyle w:val="TableContents"/>
              <w:spacing w:before="0" w:after="283"/>
              <w:rPr>
                <w:sz w:val="4"/>
                <w:szCs w:val="4"/>
              </w:rPr>
            </w:pPr>
            <w:r>
              <w:rPr>
                <w:sz w:val="4"/>
                <w:szCs w:val="4"/>
              </w:rPr>
            </w:r>
          </w:p>
        </w:tc>
        <w:tc>
          <w:tcPr>
            <w:tcW w:w="858" w:type="dxa"/>
            <w:gridSpan w:val="3"/>
            <w:tcBorders/>
            <w:shd w:fill="auto" w:val="clear"/>
            <w:vAlign w:val="center"/>
          </w:tcPr>
          <w:p>
            <w:pPr>
              <w:pStyle w:val="TableContents"/>
              <w:spacing w:before="0" w:after="283"/>
              <w:rPr>
                <w:sz w:val="4"/>
                <w:szCs w:val="4"/>
              </w:rPr>
            </w:pPr>
            <w:r>
              <w:rPr>
                <w:sz w:val="4"/>
                <w:szCs w:val="4"/>
              </w:rPr>
            </w:r>
          </w:p>
        </w:tc>
        <w:tc>
          <w:tcPr>
            <w:tcW w:w="817" w:type="dxa"/>
            <w:gridSpan w:val="3"/>
            <w:tcBorders/>
            <w:shd w:fill="auto" w:val="clear"/>
            <w:vAlign w:val="center"/>
          </w:tcPr>
          <w:p>
            <w:pPr>
              <w:pStyle w:val="TableContents"/>
              <w:spacing w:before="0" w:after="283"/>
              <w:rPr>
                <w:sz w:val="4"/>
                <w:szCs w:val="4"/>
              </w:rPr>
            </w:pPr>
            <w:r>
              <w:rPr>
                <w:sz w:val="4"/>
                <w:szCs w:val="4"/>
              </w:rPr>
            </w:r>
          </w:p>
        </w:tc>
        <w:tc>
          <w:tcPr>
            <w:tcW w:w="9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Change in Adjusted EBITDA margin is presented as year/year basis point changes.</w:t>
      </w:r>
    </w:p>
    <w:p>
      <w:pPr>
        <w:pStyle w:val="TextBody"/>
        <w:spacing w:before="0" w:after="40"/>
        <w:jc w:val="both"/>
        <w:rPr/>
      </w:pPr>
      <w:r>
        <w:rPr/>
      </w:r>
    </w:p>
    <w:p>
      <w:pPr>
        <w:pStyle w:val="TextBody"/>
        <w:spacing w:lineRule="auto" w:line="256"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 xml:space="preserve">for Connectivity &amp; Platforms decreased compared to the prior year period. Excluding the impact of foreign currency, revenue was consistent with the prior year period. </w:t>
      </w:r>
      <w:r>
        <w:rPr>
          <w:rFonts w:ascii="Helvetica;sans-serif" w:hAnsi="Helvetica;sans-serif"/>
          <w:b/>
          <w:i/>
          <w:color w:val="000000"/>
          <w:sz w:val="20"/>
        </w:rPr>
        <w:t xml:space="preserve">Adjusted EBITDA </w:t>
      </w:r>
      <w:r>
        <w:rPr>
          <w:rFonts w:ascii="Helvetica;sans-serif" w:hAnsi="Helvetica;sans-serif"/>
          <w:b w:val="false"/>
          <w:color w:val="000000"/>
          <w:sz w:val="20"/>
        </w:rPr>
        <w:t xml:space="preserve">increased due to growth in Residential Connectivity &amp; Platforms Adjusted EBITDA and Business Services Connectivity Adjusted EBITDA.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increased to 40.2%.</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6" name="Frame5"/>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1736"/>
        <w:gridCol w:w="1736"/>
        <w:gridCol w:w="1751"/>
        <w:gridCol w:w="330"/>
        <w:gridCol w:w="331"/>
        <w:gridCol w:w="171"/>
        <w:gridCol w:w="330"/>
        <w:gridCol w:w="331"/>
        <w:gridCol w:w="191"/>
        <w:gridCol w:w="109"/>
        <w:gridCol w:w="109"/>
        <w:gridCol w:w="109"/>
        <w:gridCol w:w="307"/>
        <w:gridCol w:w="298"/>
        <w:gridCol w:w="298"/>
        <w:gridCol w:w="307"/>
        <w:gridCol w:w="298"/>
        <w:gridCol w:w="307"/>
        <w:gridCol w:w="109"/>
        <w:gridCol w:w="109"/>
        <w:gridCol w:w="109"/>
        <w:gridCol w:w="109"/>
        <w:gridCol w:w="109"/>
        <w:gridCol w:w="109"/>
        <w:gridCol w:w="1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17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(in thousands)</w:t>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6"/>
            <w:vMerge w:val="restart"/>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Net Additions / (Losses)</w:t>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4" w:type="dxa"/>
            <w:gridSpan w:val="6"/>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6"/>
            <w:vMerge w:val="continue"/>
            <w:tcBorders/>
            <w:shd w:fill="D9D9D6" w:val="clear"/>
            <w:tcMar>
              <w:top w:w="0" w:type="dxa"/>
              <w:left w:w="0" w:type="dxa"/>
              <w:bottom w:w="0" w:type="dxa"/>
              <w:right w:w="0" w:type="dxa"/>
            </w:tcMar>
            <w:vAlign w:val="center"/>
          </w:tcPr>
          <w:p>
            <w:pPr>
              <w:pStyle w:val="Normal"/>
              <w:rPr/>
            </w:pPr>
            <w:r>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5" w:type="dxa"/>
            <w:gridSpan w:val="6"/>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5" w:type="dxa"/>
            <w:gridSpan w:val="6"/>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1Q23</w:t>
            </w:r>
          </w:p>
        </w:tc>
        <w:tc>
          <w:tcPr>
            <w:tcW w:w="852"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1Q22</w:t>
            </w:r>
            <w:r>
              <w:rPr>
                <w:rFonts w:ascii="Helvetica;sans-serif" w:hAnsi="Helvetica;sans-serif"/>
                <w:b w:val="false"/>
                <w:color w:val="000000"/>
                <w:sz w:val="10"/>
              </w:rPr>
              <w:t>9</w:t>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912"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2022</w:t>
            </w:r>
            <w:r>
              <w:rPr>
                <w:rFonts w:ascii="Helvetica;sans-serif" w:hAnsi="Helvetica;sans-serif"/>
                <w:b w:val="false"/>
                <w:color w:val="000000"/>
                <w:sz w:val="10"/>
              </w:rPr>
              <w:t>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Customer Relationships</w:t>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Residential Connectivity &amp; Platforms Customer Relationships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31,826 </w:t>
            </w:r>
          </w:p>
        </w:tc>
        <w:tc>
          <w:tcPr>
            <w:tcW w:w="17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31,993 </w:t>
            </w:r>
          </w:p>
        </w:tc>
        <w:tc>
          <w:tcPr>
            <w:tcW w:w="19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w:t>
            </w:r>
          </w:p>
        </w:tc>
        <w:tc>
          <w:tcPr>
            <w:tcW w:w="298"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184 </w:t>
            </w:r>
          </w:p>
        </w:tc>
        <w:tc>
          <w:tcPr>
            <w:tcW w:w="307"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International Residential Connectivity &amp; Platforms Customer Relationships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18,051 </w:t>
            </w:r>
          </w:p>
        </w:tc>
        <w:tc>
          <w:tcPr>
            <w:tcW w:w="17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17,908 </w:t>
            </w:r>
          </w:p>
        </w:tc>
        <w:tc>
          <w:tcPr>
            <w:tcW w:w="19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111 </w:t>
            </w:r>
          </w:p>
        </w:tc>
        <w:tc>
          <w:tcPr>
            <w:tcW w:w="298"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(122)</w:t>
            </w:r>
          </w:p>
        </w:tc>
        <w:tc>
          <w:tcPr>
            <w:tcW w:w="307"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Services Connectivity Customer Relationships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2,630 </w:t>
            </w:r>
          </w:p>
        </w:tc>
        <w:tc>
          <w:tcPr>
            <w:tcW w:w="17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2,592 </w:t>
            </w:r>
          </w:p>
        </w:tc>
        <w:tc>
          <w:tcPr>
            <w:tcW w:w="19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298"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307"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Connectivity &amp; Platforms Customer Relationships</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52,507</w:t>
            </w:r>
            <w:r>
              <w:rPr>
                <w:color w:val="000000"/>
              </w:rPr>
              <w:t> </w:t>
            </w:r>
          </w:p>
        </w:tc>
        <w:tc>
          <w:tcPr>
            <w:tcW w:w="171"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52,494</w:t>
            </w:r>
            <w:r>
              <w:rPr>
                <w:color w:val="000000"/>
              </w:rPr>
              <w:t> </w:t>
            </w:r>
          </w:p>
        </w:tc>
        <w:tc>
          <w:tcPr>
            <w:tcW w:w="191"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D9D9D6" w:val="clear"/>
            <w:tcMar>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82</w:t>
            </w:r>
            <w:r>
              <w:rPr>
                <w:color w:val="000000"/>
              </w:rPr>
              <w:t> </w:t>
            </w:r>
          </w:p>
        </w:tc>
        <w:tc>
          <w:tcPr>
            <w:tcW w:w="298"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81</w:t>
            </w:r>
            <w:r>
              <w:rPr>
                <w:color w:val="000000"/>
              </w:rPr>
              <w:t> </w:t>
            </w:r>
          </w:p>
        </w:tc>
        <w:tc>
          <w:tcPr>
            <w:tcW w:w="307"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Domestic Broadband</w:t>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Residential Customers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29,815 </w:t>
            </w:r>
          </w:p>
        </w:tc>
        <w:tc>
          <w:tcPr>
            <w:tcW w:w="17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29,836 </w:t>
            </w:r>
          </w:p>
        </w:tc>
        <w:tc>
          <w:tcPr>
            <w:tcW w:w="19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298"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253 </w:t>
            </w:r>
          </w:p>
        </w:tc>
        <w:tc>
          <w:tcPr>
            <w:tcW w:w="307"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Business Customers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2,508 </w:t>
            </w:r>
          </w:p>
        </w:tc>
        <w:tc>
          <w:tcPr>
            <w:tcW w:w="17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2,485 </w:t>
            </w:r>
          </w:p>
        </w:tc>
        <w:tc>
          <w:tcPr>
            <w:tcW w:w="19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298"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307"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Broadband Customers</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32,324</w:t>
            </w:r>
            <w:r>
              <w:rPr>
                <w:color w:val="000000"/>
              </w:rPr>
              <w:t> </w:t>
            </w:r>
          </w:p>
        </w:tc>
        <w:tc>
          <w:tcPr>
            <w:tcW w:w="171"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32,320</w:t>
            </w:r>
            <w:r>
              <w:rPr>
                <w:color w:val="000000"/>
              </w:rPr>
              <w:t> </w:t>
            </w:r>
          </w:p>
        </w:tc>
        <w:tc>
          <w:tcPr>
            <w:tcW w:w="191"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D9D9D6" w:val="clear"/>
            <w:tcMar>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5</w:t>
            </w:r>
            <w:r>
              <w:rPr>
                <w:color w:val="000000"/>
              </w:rPr>
              <w:t> </w:t>
            </w:r>
          </w:p>
        </w:tc>
        <w:tc>
          <w:tcPr>
            <w:tcW w:w="298"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264</w:t>
            </w:r>
            <w:r>
              <w:rPr>
                <w:color w:val="000000"/>
              </w:rPr>
              <w:t> </w:t>
            </w:r>
          </w:p>
        </w:tc>
        <w:tc>
          <w:tcPr>
            <w:tcW w:w="307"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Wireless Lines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5,668</w:t>
            </w:r>
            <w:r>
              <w:rPr>
                <w:color w:val="000000"/>
              </w:rPr>
              <w:t> </w:t>
            </w:r>
          </w:p>
        </w:tc>
        <w:tc>
          <w:tcPr>
            <w:tcW w:w="17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4,298</w:t>
            </w:r>
            <w:r>
              <w:rPr>
                <w:color w:val="000000"/>
              </w:rPr>
              <w:t> </w:t>
            </w:r>
          </w:p>
        </w:tc>
        <w:tc>
          <w:tcPr>
            <w:tcW w:w="19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355</w:t>
            </w:r>
            <w:r>
              <w:rPr>
                <w:color w:val="000000"/>
              </w:rPr>
              <w:t> </w:t>
            </w:r>
          </w:p>
        </w:tc>
        <w:tc>
          <w:tcPr>
            <w:tcW w:w="298"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318</w:t>
            </w:r>
            <w:r>
              <w:rPr>
                <w:color w:val="000000"/>
              </w:rPr>
              <w:t> </w:t>
            </w:r>
          </w:p>
        </w:tc>
        <w:tc>
          <w:tcPr>
            <w:tcW w:w="307"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Domestic Video Customers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15,528</w:t>
            </w:r>
            <w:r>
              <w:rPr>
                <w:color w:val="000000"/>
              </w:rPr>
              <w:t> </w:t>
            </w:r>
          </w:p>
        </w:tc>
        <w:tc>
          <w:tcPr>
            <w:tcW w:w="17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17,664</w:t>
            </w:r>
            <w:r>
              <w:rPr>
                <w:color w:val="000000"/>
              </w:rPr>
              <w:t> </w:t>
            </w:r>
          </w:p>
        </w:tc>
        <w:tc>
          <w:tcPr>
            <w:tcW w:w="191"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(614)</w:t>
            </w:r>
          </w:p>
        </w:tc>
        <w:tc>
          <w:tcPr>
            <w:tcW w:w="298"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5"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(512)</w:t>
            </w:r>
          </w:p>
        </w:tc>
        <w:tc>
          <w:tcPr>
            <w:tcW w:w="307"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5223" w:type="dxa"/>
            <w:gridSpan w:val="3"/>
            <w:tcBorders/>
            <w:shd w:fill="auto" w:val="clear"/>
            <w:vAlign w:val="center"/>
          </w:tcPr>
          <w:p>
            <w:pPr>
              <w:pStyle w:val="TableContents"/>
              <w:spacing w:before="0" w:after="283"/>
              <w:rPr>
                <w:sz w:val="4"/>
                <w:szCs w:val="4"/>
              </w:rPr>
            </w:pPr>
            <w:r>
              <w:rPr>
                <w:sz w:val="4"/>
                <w:szCs w:val="4"/>
              </w:rPr>
            </w:r>
          </w:p>
        </w:tc>
        <w:tc>
          <w:tcPr>
            <w:tcW w:w="832"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5223" w:type="dxa"/>
            <w:gridSpan w:val="3"/>
            <w:tcBorders/>
            <w:shd w:fill="auto" w:val="clear"/>
            <w:vAlign w:val="center"/>
          </w:tcPr>
          <w:p>
            <w:pPr>
              <w:pStyle w:val="TableContents"/>
              <w:spacing w:before="0" w:after="283"/>
              <w:rPr>
                <w:sz w:val="4"/>
                <w:szCs w:val="4"/>
              </w:rPr>
            </w:pPr>
            <w:r>
              <w:rPr>
                <w:sz w:val="4"/>
                <w:szCs w:val="4"/>
              </w:rPr>
            </w:r>
          </w:p>
        </w:tc>
        <w:tc>
          <w:tcPr>
            <w:tcW w:w="832"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56" w:before="0" w:after="0"/>
        <w:jc w:val="both"/>
        <w:rPr/>
      </w:pPr>
      <w:r>
        <w:rPr>
          <w:rFonts w:ascii="Helvetica;sans-serif" w:hAnsi="Helvetica;sans-serif"/>
          <w:b/>
          <w:i/>
          <w:color w:val="000000"/>
          <w:sz w:val="20"/>
        </w:rPr>
        <w:t>Total Customer Relationships</w:t>
      </w:r>
      <w:r>
        <w:rPr>
          <w:color w:val="000000"/>
        </w:rPr>
        <w:t xml:space="preserve"> </w:t>
      </w:r>
      <w:r>
        <w:rPr>
          <w:rFonts w:ascii="Helvetica;sans-serif" w:hAnsi="Helvetica;sans-serif"/>
          <w:b w:val="false"/>
          <w:color w:val="000000"/>
          <w:sz w:val="20"/>
        </w:rPr>
        <w:t>for Connectivity &amp; Platforms increased by 82,000 to 52.5 million. Increases in international residential connectivity &amp; platforms customer relationships and business services connectivity customer relationships were partially offset by a decrease in domestic residential connectivity &amp; platforms customer relationships. Total domestic broadband customer net additions were 5,000, total domestic wireless line net additions were 355,000 and total domestic video customer net losses were 614,000.</w:t>
      </w:r>
    </w:p>
    <w:p>
      <w:pPr>
        <w:pStyle w:val="TextBody"/>
        <w:spacing w:before="0" w:after="0"/>
        <w:jc w:val="both"/>
        <w:rPr/>
      </w:pPr>
      <w:r>
        <w:rPr/>
      </w:r>
    </w:p>
    <w:p>
      <w:pPr>
        <w:pStyle w:val="TextBody"/>
        <w:spacing w:lineRule="auto" w:line="256" w:before="0" w:after="0"/>
        <w:jc w:val="both"/>
        <w:rPr>
          <w:rFonts w:ascii="Helvetica;sans-serif" w:hAnsi="Helvetica;sans-serif"/>
          <w:b/>
          <w:color w:val="000000"/>
          <w:sz w:val="20"/>
        </w:rPr>
      </w:pPr>
      <w:r>
        <w:rPr>
          <w:rFonts w:ascii="Helvetica;sans-serif" w:hAnsi="Helvetica;sans-serif"/>
          <w:b/>
          <w:color w:val="000000"/>
          <w:sz w:val="20"/>
        </w:rPr>
        <w:t>Residential Connectivity &amp; Platforms</w:t>
      </w:r>
    </w:p>
    <w:p>
      <w:pPr>
        <w:pStyle w:val="TextBody"/>
        <w:spacing w:before="0" w:after="0"/>
        <w:jc w:val="both"/>
        <w:rPr/>
      </w:pPr>
      <w:r>
        <w:rPr/>
      </w:r>
    </w:p>
    <w:tbl>
      <w:tblPr>
        <w:tblW w:w="7064" w:type="dxa"/>
        <w:jc w:val="left"/>
        <w:tblInd w:w="0" w:type="dxa"/>
        <w:tblCellMar>
          <w:top w:w="28" w:type="dxa"/>
          <w:left w:w="28" w:type="dxa"/>
          <w:bottom w:w="28" w:type="dxa"/>
          <w:right w:w="28" w:type="dxa"/>
        </w:tblCellMar>
      </w:tblPr>
      <w:tblGrid>
        <w:gridCol w:w="124"/>
        <w:gridCol w:w="109"/>
        <w:gridCol w:w="109"/>
        <w:gridCol w:w="758"/>
        <w:gridCol w:w="758"/>
        <w:gridCol w:w="733"/>
        <w:gridCol w:w="233"/>
        <w:gridCol w:w="233"/>
        <w:gridCol w:w="375"/>
        <w:gridCol w:w="233"/>
        <w:gridCol w:w="233"/>
        <w:gridCol w:w="377"/>
        <w:gridCol w:w="263"/>
        <w:gridCol w:w="263"/>
        <w:gridCol w:w="366"/>
        <w:gridCol w:w="269"/>
        <w:gridCol w:w="257"/>
        <w:gridCol w:w="45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vMerge w:val="restart"/>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rPr>
              <w:t xml:space="preserve">Constant </w:t>
              <w:br/>
              <w:t xml:space="preserve">Currency </w:t>
              <w:br/>
            </w:r>
            <w:r>
              <w:rPr>
                <w:rFonts w:ascii="Helvetica;sans-serif" w:hAnsi="Helvetica;sans-serif"/>
                <w:b w:val="false"/>
                <w:color w:val="000000"/>
                <w:sz w:val="16"/>
                <w:u w:val="single"/>
              </w:rPr>
              <w:t>Change</w:t>
            </w:r>
            <w:r>
              <w:rPr>
                <w:rFonts w:ascii="Helvetica;sans-serif" w:hAnsi="Helvetica;sans-serif"/>
                <w:b w:val="false"/>
                <w:color w:val="000000"/>
                <w:sz w:val="10"/>
                <w:u w:val="single"/>
              </w:rPr>
              <w:t>7</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980" w:type="dxa"/>
            <w:gridSpan w:val="3"/>
            <w:vMerge w:val="continue"/>
            <w:tcBorders/>
            <w:shd w:fill="D9D9D6"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2022</w:t>
            </w:r>
            <w:r>
              <w:rPr>
                <w:rFonts w:ascii="Helvetica;sans-serif" w:hAnsi="Helvetica;sans-serif"/>
                <w:b w:val="false"/>
                <w:color w:val="000000"/>
                <w:sz w:val="10"/>
              </w:rPr>
              <w:t>8</w:t>
            </w:r>
          </w:p>
        </w:tc>
        <w:tc>
          <w:tcPr>
            <w:tcW w:w="892"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980" w:type="dxa"/>
            <w:gridSpan w:val="3"/>
            <w:vMerge w:val="continue"/>
            <w:tcBorders/>
            <w:shd w:fill="D9D9D6"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c>
          <w:tcPr>
            <w:tcW w:w="841" w:type="dxa"/>
            <w:gridSpan w:val="3"/>
            <w:tcBorders/>
            <w:shd w:fill="auto" w:val="clear"/>
            <w:vAlign w:val="center"/>
          </w:tcPr>
          <w:p>
            <w:pPr>
              <w:pStyle w:val="TableContents"/>
              <w:spacing w:before="0" w:after="283"/>
              <w:rPr>
                <w:sz w:val="4"/>
                <w:szCs w:val="4"/>
              </w:rPr>
            </w:pPr>
            <w:r>
              <w:rPr>
                <w:sz w:val="4"/>
                <w:szCs w:val="4"/>
              </w:rPr>
            </w:r>
          </w:p>
        </w:tc>
        <w:tc>
          <w:tcPr>
            <w:tcW w:w="843"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98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Broadband</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$6,343</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$6,050</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Wireless</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858</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677</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International Connectivity</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897</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840</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17.8 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Residential Connectivity</w:t>
            </w:r>
          </w:p>
        </w:tc>
        <w:tc>
          <w:tcPr>
            <w:tcW w:w="841"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8,099</w:t>
            </w:r>
          </w:p>
        </w:tc>
        <w:tc>
          <w:tcPr>
            <w:tcW w:w="843"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7,568</w:t>
            </w:r>
          </w:p>
        </w:tc>
        <w:tc>
          <w:tcPr>
            <w:tcW w:w="52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8.1 </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Video</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7,382</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8,002</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Advertising</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907</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1,073</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Other </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1,482</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1,698</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(12.7 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841"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$17,869</w:t>
            </w:r>
          </w:p>
        </w:tc>
        <w:tc>
          <w:tcPr>
            <w:tcW w:w="843"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$18,340</w:t>
            </w:r>
          </w:p>
        </w:tc>
        <w:tc>
          <w:tcPr>
            <w:tcW w:w="52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(2.6</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2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(0.7</w:t>
            </w:r>
            <w:r>
              <w:rPr>
                <w:color w:val="000000"/>
              </w:rPr>
              <w:t> </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Operating Expenses</w:t>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Programming</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$4,600</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$4,884</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Non-Programming</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6,508</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6,846</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Operating Expenses</w:t>
            </w:r>
          </w:p>
        </w:tc>
        <w:tc>
          <w:tcPr>
            <w:tcW w:w="841"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$11,108</w:t>
            </w:r>
          </w:p>
        </w:tc>
        <w:tc>
          <w:tcPr>
            <w:tcW w:w="843"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$11,729</w:t>
            </w:r>
          </w:p>
        </w:tc>
        <w:tc>
          <w:tcPr>
            <w:tcW w:w="52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(5.3</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2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(2.9</w:t>
            </w:r>
            <w:r>
              <w:rPr>
                <w:color w:val="000000"/>
              </w:rPr>
              <w:t> </w:t>
            </w:r>
          </w:p>
        </w:tc>
        <w:tc>
          <w:tcPr>
            <w:tcW w:w="454"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84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$6,762</w:t>
            </w:r>
          </w:p>
        </w:tc>
        <w:tc>
          <w:tcPr>
            <w:tcW w:w="84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$6,611</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2.3</w:t>
            </w:r>
            <w:r>
              <w:rPr>
                <w:color w:val="000000"/>
              </w:rPr>
              <w:t>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3.2</w:t>
            </w:r>
            <w:r>
              <w:rPr>
                <w:color w:val="000000"/>
              </w:rPr>
              <w:t> </w:t>
            </w:r>
          </w:p>
        </w:tc>
        <w:tc>
          <w:tcPr>
            <w:tcW w:w="454"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Adjusted EBITDA Margin</w:t>
            </w:r>
          </w:p>
        </w:tc>
        <w:tc>
          <w:tcPr>
            <w:tcW w:w="46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37.8 </w:t>
            </w:r>
          </w:p>
        </w:tc>
        <w:tc>
          <w:tcPr>
            <w:tcW w:w="375"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36.0 </w:t>
            </w:r>
          </w:p>
        </w:tc>
        <w:tc>
          <w:tcPr>
            <w:tcW w:w="377"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92"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 bps</w:t>
            </w:r>
          </w:p>
        </w:tc>
        <w:tc>
          <w:tcPr>
            <w:tcW w:w="980"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Change in Adjusted EBITDA margin is presented as year/year basis point changes.</w:t>
      </w:r>
    </w:p>
    <w:p>
      <w:pPr>
        <w:pStyle w:val="TextBody"/>
        <w:spacing w:before="0" w:after="40"/>
        <w:jc w:val="both"/>
        <w:rPr/>
      </w:pPr>
      <w:r>
        <w:rPr/>
      </w:r>
    </w:p>
    <w:p>
      <w:pPr>
        <w:pStyle w:val="TextBody"/>
        <w:spacing w:lineRule="auto" w:line="256"/>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 xml:space="preserve">for Residential Connectivity &amp; Platforms decreased in the first quarter, but was consistent with the prior year period when excluding the impact of foreign currency. Residential connectivity revenue increased, driven by growth in domestic broadband revenue, domestic wireless revenue and international connectivity revenue. Domestic broadband revenue increased primarily due to an increase in average rates. Domestic wireless revenue increased due to an increase in the number of customer lines and device sales. International connectivity revenue increased due to an increase in wireless revenue, reflecting higher sales of devices and wireless services, and an increase in broadband revenue, partially offset by the negative impact of foreign currency. The growth in residential connectivity was offset by a decrease in video revenue, other revenue and advertising revenue. Video revenue decreased due to a </w:t>
      </w:r>
      <w:r>
        <w:br w:type="page"/>
      </w: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7" name="Frame6"/>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3</w:t>
                      </w:r>
                    </w:p>
                  </w:txbxContent>
                </v:textbox>
              </v:rect>
            </w:pict>
          </mc:Fallback>
        </mc:AlternateContent>
      </w:r>
    </w:p>
    <w:p>
      <w:pPr>
        <w:pStyle w:val="TextBody"/>
        <w:spacing w:lineRule="auto" w:line="256" w:before="0" w:after="0"/>
        <w:jc w:val="both"/>
        <w:rPr>
          <w:rFonts w:ascii="Helvetica;sans-serif" w:hAnsi="Helvetica;sans-serif"/>
          <w:b w:val="false"/>
          <w:color w:val="000000"/>
          <w:sz w:val="20"/>
        </w:rPr>
      </w:pPr>
      <w:r>
        <w:rPr>
          <w:rFonts w:ascii="Helvetica;sans-serif" w:hAnsi="Helvetica;sans-serif"/>
          <w:b w:val="false"/>
          <w:color w:val="000000"/>
          <w:sz w:val="20"/>
        </w:rPr>
        <w:t>decline in the number of video customers and the negative impact of foreign currency, partially offset by an increase in average rates. Other revenue decreased primarily due to lower voice revenue, driven by a decline in the number of residential wireline voice customers and the negative impact of foreign currency. Advertising revenue decreased primarily due to overall market weakness, the negative impact of foreign currency and a decline in domestic political advertising.</w:t>
      </w:r>
    </w:p>
    <w:p>
      <w:pPr>
        <w:pStyle w:val="TextBody"/>
        <w:spacing w:before="0" w:after="0"/>
        <w:jc w:val="both"/>
        <w:rPr/>
      </w:pPr>
      <w:r>
        <w:rPr/>
      </w:r>
    </w:p>
    <w:p>
      <w:pPr>
        <w:pStyle w:val="TextBody"/>
        <w:spacing w:lineRule="auto" w:line="256"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 xml:space="preserve">for Residential Connectivity &amp; Platforms increased due to lower operating expenses. Programming expenses decreased primarily driven by a decline in the number of domestic video customers and the impact of foreign currency, partially offset by domestic contractual rate increases and an increase in programming expenses for international sports channels. Non-programming expenses decreased primarily due to the impact of foreign currency, lower spending on marketing and promotion, lower technical and support costs and lower fees paid to third-party channels relating to advertising sales. These decreases were partially offset by increased direct product costs associated with our wireless phone service, resulting from increases in device sales and the number of customers receiving the service.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increased to 37.8%</w:t>
      </w:r>
      <w:r>
        <w:rPr>
          <w:rFonts w:ascii="Arial;sans-serif" w:hAnsi="Arial;sans-serif"/>
          <w:b w:val="false"/>
          <w:color w:val="000000"/>
          <w:sz w:val="20"/>
        </w:rPr>
        <w:t>.</w:t>
      </w:r>
    </w:p>
    <w:p>
      <w:pPr>
        <w:pStyle w:val="TextBody"/>
        <w:spacing w:before="0" w:after="0"/>
        <w:jc w:val="both"/>
        <w:rPr/>
      </w:pPr>
      <w:r>
        <w:rPr/>
      </w:r>
    </w:p>
    <w:p>
      <w:pPr>
        <w:pStyle w:val="TextBody"/>
        <w:spacing w:lineRule="auto" w:line="256" w:before="0" w:after="0"/>
        <w:jc w:val="both"/>
        <w:rPr>
          <w:rFonts w:ascii="Helvetica;sans-serif" w:hAnsi="Helvetica;sans-serif"/>
          <w:b/>
          <w:color w:val="000000"/>
          <w:sz w:val="20"/>
        </w:rPr>
      </w:pPr>
      <w:r>
        <w:rPr>
          <w:rFonts w:ascii="Helvetica;sans-serif" w:hAnsi="Helvetica;sans-serif"/>
          <w:b/>
          <w:color w:val="000000"/>
          <w:sz w:val="20"/>
        </w:rPr>
        <w:t>Business Services Connectivity</w:t>
      </w:r>
    </w:p>
    <w:p>
      <w:pPr>
        <w:pStyle w:val="TextBody"/>
        <w:spacing w:before="0" w:after="0"/>
        <w:jc w:val="both"/>
        <w:rPr/>
      </w:pPr>
      <w:r>
        <w:rPr/>
      </w:r>
    </w:p>
    <w:tbl>
      <w:tblPr>
        <w:tblW w:w="5613" w:type="dxa"/>
        <w:jc w:val="left"/>
        <w:tblInd w:w="0" w:type="dxa"/>
        <w:tblCellMar>
          <w:top w:w="28" w:type="dxa"/>
          <w:left w:w="28" w:type="dxa"/>
          <w:bottom w:w="28" w:type="dxa"/>
          <w:right w:w="28" w:type="dxa"/>
        </w:tblCellMar>
      </w:tblPr>
      <w:tblGrid>
        <w:gridCol w:w="124"/>
        <w:gridCol w:w="109"/>
        <w:gridCol w:w="109"/>
        <w:gridCol w:w="643"/>
        <w:gridCol w:w="643"/>
        <w:gridCol w:w="618"/>
        <w:gridCol w:w="233"/>
        <w:gridCol w:w="233"/>
        <w:gridCol w:w="325"/>
        <w:gridCol w:w="233"/>
        <w:gridCol w:w="233"/>
        <w:gridCol w:w="327"/>
        <w:gridCol w:w="195"/>
        <w:gridCol w:w="196"/>
        <w:gridCol w:w="366"/>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79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1"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793"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2022</w:t>
            </w:r>
            <w:r>
              <w:rPr>
                <w:rFonts w:ascii="Helvetica;sans-serif" w:hAnsi="Helvetica;sans-serif"/>
                <w:b w:val="false"/>
                <w:color w:val="000000"/>
                <w:sz w:val="10"/>
              </w:rPr>
              <w:t>8</w:t>
            </w:r>
          </w:p>
        </w:tc>
        <w:tc>
          <w:tcPr>
            <w:tcW w:w="75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vAlign w:val="center"/>
          </w:tcPr>
          <w:p>
            <w:pPr>
              <w:pStyle w:val="TableContents"/>
              <w:spacing w:before="0" w:after="283"/>
              <w:rPr>
                <w:sz w:val="4"/>
                <w:szCs w:val="4"/>
              </w:rPr>
            </w:pPr>
            <w:r>
              <w:rPr>
                <w:sz w:val="4"/>
                <w:szCs w:val="4"/>
              </w:rPr>
            </w:r>
          </w:p>
        </w:tc>
        <w:tc>
          <w:tcPr>
            <w:tcW w:w="7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vAlign w:val="center"/>
          </w:tcPr>
          <w:p>
            <w:pPr>
              <w:pStyle w:val="TableContents"/>
              <w:spacing w:before="0" w:after="283"/>
              <w:rPr>
                <w:sz w:val="4"/>
                <w:szCs w:val="4"/>
              </w:rPr>
            </w:pPr>
            <w:r>
              <w:rPr>
                <w:sz w:val="4"/>
                <w:szCs w:val="4"/>
              </w:rPr>
            </w:r>
          </w:p>
        </w:tc>
        <w:tc>
          <w:tcPr>
            <w:tcW w:w="7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vAlign w:val="center"/>
          </w:tcPr>
          <w:p>
            <w:pPr>
              <w:pStyle w:val="TableContents"/>
              <w:spacing w:before="0" w:after="283"/>
              <w:rPr>
                <w:sz w:val="4"/>
                <w:szCs w:val="4"/>
              </w:rPr>
            </w:pPr>
            <w:r>
              <w:rPr>
                <w:sz w:val="4"/>
                <w:szCs w:val="4"/>
              </w:rPr>
            </w:r>
          </w:p>
        </w:tc>
        <w:tc>
          <w:tcPr>
            <w:tcW w:w="7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vAlign w:val="center"/>
          </w:tcPr>
          <w:p>
            <w:pPr>
              <w:pStyle w:val="TableContents"/>
              <w:spacing w:before="0" w:after="283"/>
              <w:rPr>
                <w:sz w:val="4"/>
                <w:szCs w:val="4"/>
              </w:rPr>
            </w:pPr>
            <w:r>
              <w:rPr>
                <w:sz w:val="4"/>
                <w:szCs w:val="4"/>
              </w:rPr>
            </w:r>
          </w:p>
        </w:tc>
        <w:tc>
          <w:tcPr>
            <w:tcW w:w="7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vAlign w:val="center"/>
          </w:tcPr>
          <w:p>
            <w:pPr>
              <w:pStyle w:val="TableContents"/>
              <w:spacing w:before="0" w:after="283"/>
              <w:rPr>
                <w:sz w:val="4"/>
                <w:szCs w:val="4"/>
              </w:rPr>
            </w:pPr>
            <w:r>
              <w:rPr>
                <w:sz w:val="4"/>
                <w:szCs w:val="4"/>
              </w:rPr>
            </w:r>
          </w:p>
        </w:tc>
        <w:tc>
          <w:tcPr>
            <w:tcW w:w="7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vAlign w:val="center"/>
          </w:tcPr>
          <w:p>
            <w:pPr>
              <w:pStyle w:val="TableContents"/>
              <w:spacing w:before="0" w:after="283"/>
              <w:rPr>
                <w:sz w:val="4"/>
                <w:szCs w:val="4"/>
              </w:rPr>
            </w:pPr>
            <w:r>
              <w:rPr>
                <w:sz w:val="4"/>
                <w:szCs w:val="4"/>
              </w:rPr>
            </w:r>
          </w:p>
        </w:tc>
        <w:tc>
          <w:tcPr>
            <w:tcW w:w="7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vAlign w:val="center"/>
          </w:tcPr>
          <w:p>
            <w:pPr>
              <w:pStyle w:val="TableContents"/>
              <w:spacing w:before="0" w:after="283"/>
              <w:rPr>
                <w:sz w:val="4"/>
                <w:szCs w:val="4"/>
              </w:rPr>
            </w:pPr>
            <w:r>
              <w:rPr>
                <w:sz w:val="4"/>
                <w:szCs w:val="4"/>
              </w:rPr>
            </w:r>
          </w:p>
        </w:tc>
        <w:tc>
          <w:tcPr>
            <w:tcW w:w="7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904" w:type="dxa"/>
            <w:gridSpan w:val="3"/>
            <w:tcBorders/>
            <w:shd w:fill="auto" w:val="clear"/>
            <w:vAlign w:val="center"/>
          </w:tcPr>
          <w:p>
            <w:pPr>
              <w:pStyle w:val="TableContents"/>
              <w:spacing w:before="0" w:after="283"/>
              <w:rPr>
                <w:sz w:val="4"/>
                <w:szCs w:val="4"/>
              </w:rPr>
            </w:pPr>
            <w:r>
              <w:rPr>
                <w:sz w:val="4"/>
                <w:szCs w:val="4"/>
              </w:rPr>
            </w:r>
          </w:p>
        </w:tc>
        <w:tc>
          <w:tcPr>
            <w:tcW w:w="791" w:type="dxa"/>
            <w:gridSpan w:val="3"/>
            <w:tcBorders/>
            <w:shd w:fill="auto" w:val="clear"/>
            <w:vAlign w:val="center"/>
          </w:tcPr>
          <w:p>
            <w:pPr>
              <w:pStyle w:val="TableContents"/>
              <w:spacing w:before="0" w:after="283"/>
              <w:rPr>
                <w:sz w:val="4"/>
                <w:szCs w:val="4"/>
              </w:rPr>
            </w:pPr>
            <w:r>
              <w:rPr>
                <w:sz w:val="4"/>
                <w:szCs w:val="4"/>
              </w:rPr>
            </w:r>
          </w:p>
        </w:tc>
        <w:tc>
          <w:tcPr>
            <w:tcW w:w="793" w:type="dxa"/>
            <w:gridSpan w:val="3"/>
            <w:tcBorders/>
            <w:shd w:fill="auto" w:val="clear"/>
            <w:vAlign w:val="center"/>
          </w:tcPr>
          <w:p>
            <w:pPr>
              <w:pStyle w:val="TableContents"/>
              <w:spacing w:before="0" w:after="283"/>
              <w:rPr>
                <w:sz w:val="4"/>
                <w:szCs w:val="4"/>
              </w:rPr>
            </w:pPr>
            <w:r>
              <w:rPr>
                <w:sz w:val="4"/>
                <w:szCs w:val="4"/>
              </w:rPr>
            </w:r>
          </w:p>
        </w:tc>
        <w:tc>
          <w:tcPr>
            <w:tcW w:w="75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9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$2,283</w:t>
            </w:r>
          </w:p>
        </w:tc>
        <w:tc>
          <w:tcPr>
            <w:tcW w:w="79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$2,172</w:t>
            </w:r>
          </w:p>
        </w:tc>
        <w:tc>
          <w:tcPr>
            <w:tcW w:w="39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91"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952</w:t>
            </w:r>
          </w:p>
        </w:tc>
        <w:tc>
          <w:tcPr>
            <w:tcW w:w="793"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938</w:t>
            </w:r>
          </w:p>
        </w:tc>
        <w:tc>
          <w:tcPr>
            <w:tcW w:w="39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91"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$1,332</w:t>
            </w:r>
          </w:p>
        </w:tc>
        <w:tc>
          <w:tcPr>
            <w:tcW w:w="793"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$1,233</w:t>
            </w:r>
          </w:p>
        </w:tc>
        <w:tc>
          <w:tcPr>
            <w:tcW w:w="39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8.0</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Adjusted EBITDA Margin</w:t>
            </w:r>
          </w:p>
        </w:tc>
        <w:tc>
          <w:tcPr>
            <w:tcW w:w="46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58.3 </w:t>
            </w:r>
          </w:p>
        </w:tc>
        <w:tc>
          <w:tcPr>
            <w:tcW w:w="325"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56.8 </w:t>
            </w:r>
          </w:p>
        </w:tc>
        <w:tc>
          <w:tcPr>
            <w:tcW w:w="327"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5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 bps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1"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3"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56" w:before="0" w:after="40"/>
        <w:jc w:val="both"/>
        <w:rPr>
          <w:rFonts w:ascii="Helvetica;sans-serif" w:hAnsi="Helvetica;sans-serif"/>
          <w:b w:val="false"/>
          <w:color w:val="000000"/>
          <w:sz w:val="16"/>
        </w:rPr>
      </w:pPr>
      <w:r>
        <w:rPr>
          <w:rFonts w:ascii="Helvetica;sans-serif" w:hAnsi="Helvetica;sans-serif"/>
          <w:b w:val="false"/>
          <w:color w:val="000000"/>
          <w:sz w:val="16"/>
        </w:rPr>
        <w:t>Change percentages represent year/year growth rates. Change in Adjusted EBITDA margin is presented as year/year basis point changes.</w:t>
      </w:r>
    </w:p>
    <w:p>
      <w:pPr>
        <w:pStyle w:val="TextBody"/>
        <w:spacing w:before="0" w:after="40"/>
        <w:jc w:val="both"/>
        <w:rPr/>
      </w:pPr>
      <w:r>
        <w:rPr/>
      </w:r>
    </w:p>
    <w:p>
      <w:pPr>
        <w:pStyle w:val="TextBody"/>
        <w:spacing w:lineRule="auto" w:line="256"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Business Services Connectivity increased due to an increase in revenue from small business customers, driven by higher average rates, and an increase in revenue from medium-sized and enterprise customers.</w:t>
      </w:r>
    </w:p>
    <w:p>
      <w:pPr>
        <w:pStyle w:val="TextBody"/>
        <w:spacing w:before="0" w:after="0"/>
        <w:jc w:val="both"/>
        <w:rPr/>
      </w:pPr>
      <w:r>
        <w:rPr/>
      </w:r>
    </w:p>
    <w:p>
      <w:pPr>
        <w:pStyle w:val="TextBody"/>
        <w:spacing w:lineRule="auto" w:line="256"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 xml:space="preserve">for Business Services Connectivity increased due to higher revenue, partially offset by higher operating expenses. The increase in operating expenses was primarily due to higher direct product costs. </w:t>
      </w:r>
      <w:r>
        <w:rPr>
          <w:rFonts w:ascii="Helvetica;sans-serif" w:hAnsi="Helvetica;sans-serif"/>
          <w:b/>
          <w:i/>
          <w:color w:val="000000"/>
          <w:sz w:val="20"/>
        </w:rPr>
        <w:t>Adjusted EBITDA margin</w:t>
      </w:r>
      <w:r>
        <w:rPr>
          <w:color w:val="000000"/>
        </w:rPr>
        <w:t xml:space="preserve"> </w:t>
      </w:r>
      <w:r>
        <w:rPr>
          <w:rFonts w:ascii="Helvetica;sans-serif" w:hAnsi="Helvetica;sans-serif"/>
          <w:b w:val="false"/>
          <w:color w:val="000000"/>
          <w:sz w:val="20"/>
        </w:rPr>
        <w:t>increased to 58.3%.</w:t>
      </w:r>
    </w:p>
    <w:p>
      <w:pPr>
        <w:pStyle w:val="TextBody"/>
        <w:spacing w:before="0" w:after="0"/>
        <w:jc w:val="both"/>
        <w:rPr/>
      </w:pPr>
      <w:r>
        <w:rPr/>
      </w:r>
    </w:p>
    <w:p>
      <w:pPr>
        <w:pStyle w:val="TextBody"/>
        <w:spacing w:before="0" w:after="0"/>
        <w:jc w:val="both"/>
        <w:rPr/>
      </w:pPr>
      <w:r>
        <w:rPr/>
      </w:r>
    </w:p>
    <w:p>
      <w:pPr>
        <w:pStyle w:val="TextBody"/>
        <w:spacing w:before="0" w:after="0"/>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8" name="Frame7"/>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4</w:t>
                      </w:r>
                    </w:p>
                  </w:txbxContent>
                </v:textbox>
              </v:rect>
            </w:pict>
          </mc:Fallback>
        </mc:AlternateContent>
      </w:r>
    </w:p>
    <w:p>
      <w:pPr>
        <w:pStyle w:val="TextBody"/>
        <w:spacing w:lineRule="auto" w:line="288" w:before="0" w:after="0"/>
        <w:jc w:val="both"/>
        <w:rPr>
          <w:rFonts w:ascii="Helvetica;sans-serif" w:hAnsi="Helvetica;sans-serif"/>
          <w:b/>
          <w:color w:val="000000"/>
          <w:sz w:val="24"/>
        </w:rPr>
      </w:pPr>
      <w:r>
        <w:rPr>
          <w:rFonts w:ascii="Helvetica;sans-serif" w:hAnsi="Helvetica;sans-serif"/>
          <w:b/>
          <w:color w:val="000000"/>
          <w:sz w:val="24"/>
        </w:rPr>
        <w:t>Content &amp; Experiences</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7853" w:type="dxa"/>
        <w:jc w:val="left"/>
        <w:tblInd w:w="0" w:type="dxa"/>
        <w:tblCellMar>
          <w:top w:w="28" w:type="dxa"/>
          <w:left w:w="28" w:type="dxa"/>
          <w:bottom w:w="28" w:type="dxa"/>
          <w:right w:w="28" w:type="dxa"/>
        </w:tblCellMar>
      </w:tblPr>
      <w:tblGrid>
        <w:gridCol w:w="124"/>
        <w:gridCol w:w="109"/>
        <w:gridCol w:w="109"/>
        <w:gridCol w:w="1260"/>
        <w:gridCol w:w="1260"/>
        <w:gridCol w:w="1274"/>
        <w:gridCol w:w="375"/>
        <w:gridCol w:w="376"/>
        <w:gridCol w:w="203"/>
        <w:gridCol w:w="375"/>
        <w:gridCol w:w="376"/>
        <w:gridCol w:w="203"/>
        <w:gridCol w:w="263"/>
        <w:gridCol w:w="263"/>
        <w:gridCol w:w="366"/>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60"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0"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954"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2022</w:t>
            </w:r>
            <w:r>
              <w:rPr>
                <w:rFonts w:ascii="Helvetica;sans-serif" w:hAnsi="Helvetica;sans-serif"/>
                <w:b w:val="false"/>
                <w:color w:val="000000"/>
                <w:sz w:val="10"/>
              </w:rPr>
              <w:t>8</w:t>
            </w:r>
          </w:p>
        </w:tc>
        <w:tc>
          <w:tcPr>
            <w:tcW w:w="892"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Content &amp; Experiences Revenue</w:t>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Media</w:t>
            </w:r>
          </w:p>
        </w:tc>
        <w:tc>
          <w:tcPr>
            <w:tcW w:w="954"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$6,152</w:t>
            </w:r>
          </w:p>
        </w:tc>
        <w:tc>
          <w:tcPr>
            <w:tcW w:w="954"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$7,758</w:t>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i/>
                <w:color w:val="000000"/>
                <w:sz w:val="16"/>
              </w:rPr>
              <w:t>Excluding Olympics and Super Bowl</w:t>
            </w:r>
            <w:r>
              <w:rPr>
                <w:rFonts w:ascii="Helvetica;sans-serif" w:hAnsi="Helvetica;sans-serif"/>
                <w:b w:val="false"/>
                <w:i/>
                <w:color w:val="000000"/>
                <w:sz w:val="10"/>
              </w:rPr>
              <w:t>5</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6,152 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6,276 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(2.0 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9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9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9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9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Studios</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2,956 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2,907 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Theme Parks</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1,949 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1,560 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24.9 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Headquarters &amp; Other</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16.3 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Eliminations</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(817)</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(901)</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Content &amp; Experiences Revenue</w:t>
            </w:r>
          </w:p>
        </w:tc>
        <w:tc>
          <w:tcPr>
            <w:tcW w:w="75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$10,259</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$11,339</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(9.5</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79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954" w:type="dxa"/>
            <w:gridSpan w:val="3"/>
            <w:tcBorders/>
            <w:shd w:fill="auto" w:val="clear"/>
            <w:vAlign w:val="center"/>
          </w:tcPr>
          <w:p>
            <w:pPr>
              <w:pStyle w:val="TableContents"/>
              <w:spacing w:before="0" w:after="283"/>
              <w:rPr>
                <w:sz w:val="4"/>
                <w:szCs w:val="4"/>
              </w:rPr>
            </w:pPr>
            <w:r>
              <w:rPr>
                <w:sz w:val="4"/>
                <w:szCs w:val="4"/>
              </w:rPr>
            </w:r>
          </w:p>
        </w:tc>
        <w:tc>
          <w:tcPr>
            <w:tcW w:w="89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Content &amp; Experiences Adjusted EBITDA</w:t>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Media</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$880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$1,181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(25.5 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Studios</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277 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245 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Theme Parks</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658 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451 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46.0 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Headquarters &amp; Other</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(232)</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(191)</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(21.3 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Eliminations</w:t>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Content &amp; Experiences Adjusted EBITDA</w:t>
            </w:r>
          </w:p>
        </w:tc>
        <w:tc>
          <w:tcPr>
            <w:tcW w:w="75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$1,607</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$1,623</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(1.0</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94"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NM=comparison not meaningful.</w:t>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 xml:space="preserve">Revenue </w:t>
      </w:r>
      <w:r>
        <w:rPr>
          <w:rFonts w:ascii="Helvetica;sans-serif" w:hAnsi="Helvetica;sans-serif"/>
          <w:b w:val="false"/>
          <w:color w:val="000000"/>
          <w:sz w:val="20"/>
        </w:rPr>
        <w:t>for Content &amp; Experiences decreased due to an unfavorable comparison to the prior year period, which included $1.5 billion of incremental revenue from our broadcasts of the Beijing Olympics and the NFL's Super Bowl in the Media segment.</w:t>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Content &amp; Experiences decreased due to lower revenue, which more than offset lower operating expenses. The decrease in operating expenses was primarily due to lower programming and production costs in Media, driven by lower costs associated with our broadcasts of the Beijing Olympics and the NFL's Super Bowl in the prior year period, partially offset by higher costs at Peacock as the service scales.</w:t>
      </w:r>
    </w:p>
    <w:p>
      <w:pPr>
        <w:pStyle w:val="TextBody"/>
        <w:spacing w:before="0" w:after="0"/>
        <w:jc w:val="both"/>
        <w:rPr/>
      </w:pPr>
      <w:r>
        <w:rPr/>
      </w:r>
    </w:p>
    <w:p>
      <w:pPr>
        <w:pStyle w:val="TextBody"/>
        <w:spacing w:lineRule="auto" w:line="288" w:before="0" w:after="0"/>
        <w:jc w:val="both"/>
        <w:rPr/>
      </w:pPr>
      <w:r>
        <w:rPr>
          <w:rFonts w:ascii="Helvetica;sans-serif" w:hAnsi="Helvetica;sans-serif"/>
          <w:b/>
          <w:color w:val="000000"/>
          <w:sz w:val="20"/>
        </w:rPr>
        <w:t>Media</w:t>
      </w:r>
      <w:r>
        <w:rPr>
          <w:color w:val="000000"/>
        </w:rPr>
        <w:t xml:space="preserve"> </w:t>
      </w:r>
    </w:p>
    <w:p>
      <w:pPr>
        <w:pStyle w:val="TextBody"/>
        <w:spacing w:before="0" w:after="0"/>
        <w:jc w:val="both"/>
        <w:rPr/>
      </w:pPr>
      <w:r>
        <w:rPr/>
      </w:r>
    </w:p>
    <w:tbl>
      <w:tblPr>
        <w:tblW w:w="6684" w:type="dxa"/>
        <w:jc w:val="left"/>
        <w:tblInd w:w="0" w:type="dxa"/>
        <w:tblCellMar>
          <w:top w:w="28" w:type="dxa"/>
          <w:left w:w="28" w:type="dxa"/>
          <w:bottom w:w="28" w:type="dxa"/>
          <w:right w:w="28" w:type="dxa"/>
        </w:tblCellMar>
      </w:tblPr>
      <w:tblGrid>
        <w:gridCol w:w="124"/>
        <w:gridCol w:w="109"/>
        <w:gridCol w:w="109"/>
        <w:gridCol w:w="941"/>
        <w:gridCol w:w="941"/>
        <w:gridCol w:w="908"/>
        <w:gridCol w:w="330"/>
        <w:gridCol w:w="331"/>
        <w:gridCol w:w="203"/>
        <w:gridCol w:w="330"/>
        <w:gridCol w:w="331"/>
        <w:gridCol w:w="203"/>
        <w:gridCol w:w="270"/>
        <w:gridCol w:w="271"/>
        <w:gridCol w:w="366"/>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6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5"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864"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2022</w:t>
            </w:r>
            <w:r>
              <w:rPr>
                <w:rFonts w:ascii="Helvetica;sans-serif" w:hAnsi="Helvetica;sans-serif"/>
                <w:b w:val="false"/>
                <w:color w:val="000000"/>
                <w:sz w:val="10"/>
              </w:rPr>
              <w:t>8</w:t>
            </w:r>
          </w:p>
        </w:tc>
        <w:tc>
          <w:tcPr>
            <w:tcW w:w="90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86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Advertising</w:t>
            </w:r>
          </w:p>
        </w:tc>
        <w:tc>
          <w:tcPr>
            <w:tcW w:w="864"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$2,025</w:t>
            </w:r>
          </w:p>
        </w:tc>
        <w:tc>
          <w:tcPr>
            <w:tcW w:w="864"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$3,310</w:t>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(38.8 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i/>
                <w:color w:val="000000"/>
                <w:sz w:val="16"/>
              </w:rPr>
              <w:t>Excluding Olympics and Super Bowl</w:t>
            </w:r>
            <w:r>
              <w:rPr>
                <w:rFonts w:ascii="Helvetica;sans-serif" w:hAnsi="Helvetica;sans-serif"/>
                <w:b w:val="false"/>
                <w:i/>
                <w:color w:val="000000"/>
                <w:sz w:val="10"/>
              </w:rPr>
              <w:t>5</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2,025 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2,156 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(6.1 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Domestic Distribution</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2,709 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2,938 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i/>
                <w:color w:val="000000"/>
                <w:sz w:val="16"/>
              </w:rPr>
              <w:t>Excluding Olympics</w:t>
            </w:r>
            <w:r>
              <w:rPr>
                <w:rFonts w:ascii="Helvetica;sans-serif" w:hAnsi="Helvetica;sans-serif"/>
                <w:b w:val="false"/>
                <w:i/>
                <w:color w:val="000000"/>
                <w:sz w:val="10"/>
              </w:rPr>
              <w:t>5</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2,709 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2,611 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3.8 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International Networks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1,008 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995 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410 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515 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(20.5 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$6,152</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$7,758</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(20.7</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i/>
                <w:color w:val="000000"/>
                <w:sz w:val="16"/>
              </w:rPr>
              <w:t>Excluding Olympics and Super Bowl</w:t>
            </w:r>
            <w:r>
              <w:rPr>
                <w:rFonts w:ascii="Helvetica;sans-serif" w:hAnsi="Helvetica;sans-serif"/>
                <w:b w:val="false"/>
                <w:i/>
                <w:color w:val="000000"/>
                <w:sz w:val="10"/>
              </w:rPr>
              <w:t>5</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6,152 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6,276 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(2.0 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5,272 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6,577 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(19.8 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$880</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$1,181</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(25.5</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0"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 xml:space="preserve">for Media decreased primarily due to lower domestic advertising revenue and domestic distribution revenue, reflecting the comparison to the Beijing Olympics and the NFL's Super Bowl in the prior year period. Excluding $1.5 billion of incremental revenue from these events, Media revenue decreased 2.0%. Domestic advertising revenue decreased primarily due to the Beijing Olympics and the NFL's Super Bowl in the prior year period. Excluding the incremental revenue from these events, domestic advertising revenue decreased 6.1%, primarily due to lower revenue at our networks, driven by audience ratings declines, partially offset by an increase in revenue at Peacock. Domestic distribution revenue decreased primarily due to the Beijing Olympics in the prior year period. Excluding the incremental revenue from this event, distribution revenue increased 3.8%, primarily due to higher revenue </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9" name="Frame8"/>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5</w:t>
                      </w:r>
                    </w:p>
                  </w:txbxContent>
                </v:textbox>
              </v:rect>
            </w:pict>
          </mc:Fallback>
        </mc:AlternateContent>
      </w:r>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at Peacock, driven by an increase in paid subscribers. Other revenue decreased primarily due to lower content licensing. International networks revenue increased, reflecting an increase in revenue associated with the distribution of sports channels, partially offset by the negative impact of foreign currency. </w:t>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Media decreased due to lower revenue, which more than offset lower operating expenses. The decrease in operating expenses was primarily due to lower programming and production costs, reflecting lower costs associated with our broadcast of the Beijing Olympics and the NFL's Super Bowl in the prior year period, partially offset by higher programming costs at Peacock. Media results in the first quarter include $685 million of revenue and an Adjusted EBITDA</w:t>
      </w:r>
      <w:r>
        <w:rPr>
          <w:rFonts w:ascii="Helvetica;sans-serif" w:hAnsi="Helvetica;sans-serif"/>
          <w:b w:val="false"/>
          <w:color w:val="000000"/>
          <w:sz w:val="13"/>
        </w:rPr>
        <w:t>6</w:t>
      </w:r>
      <w:r>
        <w:rPr>
          <w:color w:val="000000"/>
        </w:rPr>
        <w:t xml:space="preserve"> </w:t>
      </w:r>
      <w:r>
        <w:rPr>
          <w:rFonts w:ascii="Helvetica;sans-serif" w:hAnsi="Helvetica;sans-serif"/>
          <w:b w:val="false"/>
          <w:color w:val="000000"/>
          <w:sz w:val="20"/>
        </w:rPr>
        <w:t>loss of $704 million related to Peacock, compared to $472 million of revenue and an Adjusted EBITDA</w:t>
      </w:r>
      <w:r>
        <w:rPr>
          <w:rFonts w:ascii="Helvetica;sans-serif" w:hAnsi="Helvetica;sans-serif"/>
          <w:b w:val="false"/>
          <w:color w:val="000000"/>
          <w:sz w:val="13"/>
        </w:rPr>
        <w:t>6</w:t>
      </w:r>
      <w:r>
        <w:rPr>
          <w:color w:val="000000"/>
        </w:rPr>
        <w:t xml:space="preserve"> </w:t>
      </w:r>
      <w:r>
        <w:rPr>
          <w:rFonts w:ascii="Helvetica;sans-serif" w:hAnsi="Helvetica;sans-serif"/>
          <w:b w:val="false"/>
          <w:color w:val="000000"/>
          <w:sz w:val="20"/>
        </w:rPr>
        <w:t>loss of $456 million in the prior year period.</w:t>
      </w:r>
    </w:p>
    <w:p>
      <w:pPr>
        <w:pStyle w:val="TextBody"/>
        <w:spacing w:before="0" w:after="0"/>
        <w:jc w:val="both"/>
        <w:rPr/>
      </w:pPr>
      <w:r>
        <w:rPr/>
      </w:r>
    </w:p>
    <w:p>
      <w:pPr>
        <w:pStyle w:val="TextBody"/>
        <w:spacing w:lineRule="auto" w:line="288" w:before="0" w:after="0"/>
        <w:jc w:val="both"/>
        <w:rPr>
          <w:rFonts w:ascii="Helvetica;sans-serif" w:hAnsi="Helvetica;sans-serif"/>
          <w:b/>
          <w:color w:val="000000"/>
          <w:sz w:val="20"/>
        </w:rPr>
      </w:pPr>
      <w:r>
        <w:rPr>
          <w:rFonts w:ascii="Helvetica;sans-serif" w:hAnsi="Helvetica;sans-serif"/>
          <w:b/>
          <w:color w:val="000000"/>
          <w:sz w:val="20"/>
        </w:rPr>
        <w:t>Studios</w:t>
      </w:r>
    </w:p>
    <w:p>
      <w:pPr>
        <w:pStyle w:val="TextBody"/>
        <w:spacing w:before="0" w:after="0"/>
        <w:jc w:val="both"/>
        <w:rPr/>
      </w:pPr>
      <w:r>
        <w:rPr/>
      </w:r>
    </w:p>
    <w:tbl>
      <w:tblPr>
        <w:tblW w:w="5365" w:type="dxa"/>
        <w:jc w:val="left"/>
        <w:tblInd w:w="0" w:type="dxa"/>
        <w:tblCellMar>
          <w:top w:w="28" w:type="dxa"/>
          <w:left w:w="28" w:type="dxa"/>
          <w:bottom w:w="28" w:type="dxa"/>
          <w:right w:w="28" w:type="dxa"/>
        </w:tblCellMar>
      </w:tblPr>
      <w:tblGrid>
        <w:gridCol w:w="124"/>
        <w:gridCol w:w="109"/>
        <w:gridCol w:w="109"/>
        <w:gridCol w:w="534"/>
        <w:gridCol w:w="534"/>
        <w:gridCol w:w="537"/>
        <w:gridCol w:w="330"/>
        <w:gridCol w:w="331"/>
        <w:gridCol w:w="156"/>
        <w:gridCol w:w="330"/>
        <w:gridCol w:w="331"/>
        <w:gridCol w:w="176"/>
        <w:gridCol w:w="240"/>
        <w:gridCol w:w="241"/>
        <w:gridCol w:w="366"/>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1"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837"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2022</w:t>
            </w:r>
            <w:r>
              <w:rPr>
                <w:rFonts w:ascii="Helvetica;sans-serif" w:hAnsi="Helvetica;sans-serif"/>
                <w:b w:val="false"/>
                <w:color w:val="000000"/>
                <w:sz w:val="10"/>
              </w:rPr>
              <w:t>8</w:t>
            </w:r>
          </w:p>
        </w:tc>
        <w:tc>
          <w:tcPr>
            <w:tcW w:w="84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Content Licensing</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$2,344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$2,429 </w:t>
            </w:r>
          </w:p>
        </w:tc>
        <w:tc>
          <w:tcPr>
            <w:tcW w:w="17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Theatrical</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319 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168 </w:t>
            </w:r>
          </w:p>
        </w:tc>
        <w:tc>
          <w:tcPr>
            <w:tcW w:w="17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90.1 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292 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310 </w:t>
            </w:r>
          </w:p>
        </w:tc>
        <w:tc>
          <w:tcPr>
            <w:tcW w:w="17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Total Revenue</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$2,956</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$2,907</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1.7</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2,678 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2,662 </w:t>
            </w:r>
          </w:p>
        </w:tc>
        <w:tc>
          <w:tcPr>
            <w:tcW w:w="17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0.6 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$277</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$245</w:t>
            </w:r>
            <w:r>
              <w:rPr>
                <w:color w:val="000000"/>
              </w:rPr>
              <w:t> </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13.3</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 xml:space="preserve">for Studios increased primarily due to higher theatrical revenue, which reflected the successful performance of recent releases, including </w:t>
      </w:r>
      <w:r>
        <w:rPr>
          <w:rFonts w:ascii="Helvetica;sans-serif" w:hAnsi="Helvetica;sans-serif"/>
          <w:b w:val="false"/>
          <w:i/>
          <w:color w:val="000000"/>
          <w:sz w:val="20"/>
        </w:rPr>
        <w:t>Puss in Boots: The Last Wish</w:t>
      </w:r>
      <w:r>
        <w:rPr>
          <w:color w:val="000000"/>
        </w:rPr>
        <w:t xml:space="preserve"> </w:t>
      </w:r>
      <w:r>
        <w:rPr>
          <w:rFonts w:ascii="Helvetica;sans-serif" w:hAnsi="Helvetica;sans-serif"/>
          <w:b w:val="false"/>
          <w:color w:val="000000"/>
          <w:sz w:val="20"/>
        </w:rPr>
        <w:t xml:space="preserve">and </w:t>
      </w:r>
      <w:r>
        <w:rPr>
          <w:rFonts w:ascii="Helvetica;sans-serif" w:hAnsi="Helvetica;sans-serif"/>
          <w:b w:val="false"/>
          <w:i/>
          <w:color w:val="000000"/>
          <w:sz w:val="20"/>
        </w:rPr>
        <w:t>M3GAN</w:t>
      </w:r>
      <w:r>
        <w:rPr>
          <w:rFonts w:ascii="Helvetica;sans-serif" w:hAnsi="Helvetica;sans-serif"/>
          <w:b w:val="false"/>
          <w:color w:val="000000"/>
          <w:sz w:val="20"/>
        </w:rPr>
        <w:t xml:space="preserve">, partially offset by lower content licensing revenue, driven by the timing of when content was made available by our film and television studios. </w:t>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for Studios increased due to higher revenue and consistent operating expenses. The consistent operating expenses reflected an increase in marketing and promotion expenses due to higher spending on recent and upcoming theatrical film releases, offset by lower other expenses and lower programming and production expenses, which was primarily due to lower costs associated with content licensing sales.</w:t>
      </w:r>
    </w:p>
    <w:p>
      <w:pPr>
        <w:pStyle w:val="TextBody"/>
        <w:spacing w:before="0" w:after="0"/>
        <w:jc w:val="both"/>
        <w:rPr/>
      </w:pPr>
      <w:r>
        <w:rPr/>
      </w:r>
    </w:p>
    <w:p>
      <w:pPr>
        <w:pStyle w:val="TextBody"/>
        <w:spacing w:lineRule="auto" w:line="276" w:before="0" w:after="0"/>
        <w:jc w:val="both"/>
        <w:rPr>
          <w:rFonts w:ascii="Helvetica;sans-serif" w:hAnsi="Helvetica;sans-serif"/>
          <w:b/>
          <w:color w:val="000000"/>
          <w:sz w:val="20"/>
        </w:rPr>
      </w:pPr>
      <w:r>
        <w:rPr>
          <w:rFonts w:ascii="Helvetica;sans-serif" w:hAnsi="Helvetica;sans-serif"/>
          <w:b/>
          <w:color w:val="000000"/>
          <w:sz w:val="20"/>
        </w:rPr>
        <w:t>Theme Parks</w:t>
      </w:r>
    </w:p>
    <w:p>
      <w:pPr>
        <w:pStyle w:val="TextBody"/>
        <w:spacing w:before="0" w:after="0"/>
        <w:jc w:val="both"/>
        <w:rPr/>
      </w:pPr>
      <w:r>
        <w:rPr/>
      </w:r>
    </w:p>
    <w:tbl>
      <w:tblPr>
        <w:tblW w:w="5338" w:type="dxa"/>
        <w:jc w:val="left"/>
        <w:tblInd w:w="0" w:type="dxa"/>
        <w:tblCellMar>
          <w:top w:w="28" w:type="dxa"/>
          <w:left w:w="28" w:type="dxa"/>
          <w:bottom w:w="28" w:type="dxa"/>
          <w:right w:w="28" w:type="dxa"/>
        </w:tblCellMar>
      </w:tblPr>
      <w:tblGrid>
        <w:gridCol w:w="124"/>
        <w:gridCol w:w="109"/>
        <w:gridCol w:w="109"/>
        <w:gridCol w:w="542"/>
        <w:gridCol w:w="542"/>
        <w:gridCol w:w="521"/>
        <w:gridCol w:w="278"/>
        <w:gridCol w:w="278"/>
        <w:gridCol w:w="203"/>
        <w:gridCol w:w="278"/>
        <w:gridCol w:w="278"/>
        <w:gridCol w:w="203"/>
        <w:gridCol w:w="240"/>
        <w:gridCol w:w="241"/>
        <w:gridCol w:w="366"/>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5"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0" w:type="dxa"/>
            <w:gridSpan w:val="5"/>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759"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2022</w:t>
            </w:r>
          </w:p>
        </w:tc>
        <w:tc>
          <w:tcPr>
            <w:tcW w:w="84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1605"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759" w:type="dxa"/>
            <w:gridSpan w:val="3"/>
            <w:tcBorders/>
            <w:shd w:fill="auto" w:val="clear"/>
            <w:vAlign w:val="center"/>
          </w:tcPr>
          <w:p>
            <w:pPr>
              <w:pStyle w:val="TableContents"/>
              <w:spacing w:before="0" w:after="283"/>
              <w:rPr>
                <w:sz w:val="4"/>
                <w:szCs w:val="4"/>
              </w:rPr>
            </w:pPr>
            <w:r>
              <w:rPr>
                <w:sz w:val="4"/>
                <w:szCs w:val="4"/>
              </w:rPr>
            </w:r>
          </w:p>
        </w:tc>
        <w:tc>
          <w:tcPr>
            <w:tcW w:w="84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59"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$1,949</w:t>
            </w:r>
          </w:p>
        </w:tc>
        <w:tc>
          <w:tcPr>
            <w:tcW w:w="759"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$1,560</w:t>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24.9 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55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1,291 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1,109 </w:t>
            </w:r>
          </w:p>
        </w:tc>
        <w:tc>
          <w:tcPr>
            <w:tcW w:w="203"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16.4 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55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$658</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$451</w:t>
            </w:r>
            <w:r>
              <w:rPr>
                <w:color w:val="000000"/>
              </w:rPr>
              <w:t> </w:t>
            </w:r>
          </w:p>
        </w:tc>
        <w:tc>
          <w:tcPr>
            <w:tcW w:w="203"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46.0</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9"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Revenue</w:t>
      </w:r>
      <w:r>
        <w:rPr>
          <w:color w:val="000000"/>
        </w:rPr>
        <w:t xml:space="preserve"> </w:t>
      </w:r>
      <w:r>
        <w:rPr>
          <w:rFonts w:ascii="Helvetica;sans-serif" w:hAnsi="Helvetica;sans-serif"/>
          <w:b w:val="false"/>
          <w:color w:val="000000"/>
          <w:sz w:val="20"/>
        </w:rPr>
        <w:t>for Theme Parks increased due to higher revenue at our international theme parks, which were negatively impacted by restrictions due to COVID-19 in the prior year period, and higher revenue at our domestic theme parks, including Universal Studios Hollywood which opened Super Nintendo World during the quarter.</w:t>
      </w:r>
    </w:p>
    <w:p>
      <w:pPr>
        <w:pStyle w:val="TextBody"/>
        <w:spacing w:before="0" w:after="0"/>
        <w:jc w:val="both"/>
        <w:rPr/>
      </w:pPr>
      <w:r>
        <w:rPr/>
      </w:r>
    </w:p>
    <w:p>
      <w:pPr>
        <w:pStyle w:val="TextBody"/>
        <w:spacing w:lineRule="auto" w:line="288" w:before="0" w:after="0"/>
        <w:jc w:val="both"/>
        <w:rPr/>
      </w:pPr>
      <w:r>
        <w:rPr>
          <w:rFonts w:ascii="Helvetica;sans-serif" w:hAnsi="Helvetica;sans-serif"/>
          <w:b/>
          <w:i/>
          <w:color w:val="000000"/>
          <w:sz w:val="20"/>
        </w:rPr>
        <w:t>Adjusted EBITDA</w:t>
      </w:r>
      <w:r>
        <w:rPr>
          <w:color w:val="000000"/>
        </w:rPr>
        <w:t xml:space="preserve"> </w:t>
      </w:r>
      <w:r>
        <w:rPr>
          <w:rFonts w:ascii="Helvetica;sans-serif" w:hAnsi="Helvetica;sans-serif"/>
          <w:b w:val="false"/>
          <w:color w:val="000000"/>
          <w:sz w:val="20"/>
        </w:rPr>
        <w:t xml:space="preserve">for Theme Parks increased, reflecting higher revenue, which more than offset higher operating expenses. The increase in operating expenses was due to higher costs associated with increased guest attendance. </w:t>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0" name="Frame9"/>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6</w:t>
                      </w:r>
                    </w:p>
                  </w:txbxContent>
                </v:textbox>
              </v:rect>
            </w:pict>
          </mc:Fallback>
        </mc:AlternateContent>
      </w:r>
    </w:p>
    <w:p>
      <w:pPr>
        <w:pStyle w:val="TextBody"/>
        <w:spacing w:lineRule="auto" w:line="288" w:before="0" w:after="0"/>
        <w:jc w:val="both"/>
        <w:rPr>
          <w:rFonts w:ascii="Helvetica;sans-serif" w:hAnsi="Helvetica;sans-serif"/>
          <w:b/>
          <w:color w:val="000000"/>
          <w:sz w:val="20"/>
        </w:rPr>
      </w:pPr>
      <w:r>
        <w:rPr>
          <w:rFonts w:ascii="Helvetica;sans-serif" w:hAnsi="Helvetica;sans-serif"/>
          <w:b/>
          <w:color w:val="000000"/>
          <w:sz w:val="20"/>
        </w:rPr>
        <w:t>Headquarters &amp; Other</w:t>
      </w:r>
    </w:p>
    <w:p>
      <w:pPr>
        <w:pStyle w:val="TextBody"/>
        <w:spacing w:before="0" w:after="0"/>
        <w:jc w:val="both"/>
        <w:rPr/>
      </w:pPr>
      <w:r>
        <w:rPr/>
      </w:r>
    </w:p>
    <w:p>
      <w:pPr>
        <w:pStyle w:val="TextBody"/>
        <w:spacing w:lineRule="auto" w:line="288" w:before="0" w:after="0"/>
        <w:jc w:val="both"/>
        <w:rPr/>
      </w:pPr>
      <w:r>
        <w:rPr>
          <w:rFonts w:ascii="Helvetica;sans-serif" w:hAnsi="Helvetica;sans-serif"/>
          <w:b w:val="false"/>
          <w:color w:val="000000"/>
          <w:sz w:val="20"/>
        </w:rPr>
        <w:t xml:space="preserve">Content &amp; Experiences Headquarters &amp; Other includes overhead, personnel costs and costs associated with corporate initiatives. Headquarters &amp; Other Adjusted EBITDA loss in the </w:t>
      </w:r>
      <w:r>
        <w:rPr>
          <w:rFonts w:ascii="Arial;sans-serif" w:hAnsi="Arial;sans-serif"/>
          <w:b w:val="false"/>
          <w:color w:val="000000"/>
          <w:sz w:val="20"/>
        </w:rPr>
        <w:t>first</w:t>
      </w:r>
      <w:r>
        <w:rPr>
          <w:color w:val="000000"/>
        </w:rPr>
        <w:t xml:space="preserve"> </w:t>
      </w:r>
      <w:r>
        <w:rPr>
          <w:rFonts w:ascii="Helvetica;sans-serif" w:hAnsi="Helvetica;sans-serif"/>
          <w:b w:val="false"/>
          <w:color w:val="000000"/>
          <w:sz w:val="20"/>
        </w:rPr>
        <w:t>quarter was $232 million.</w:t>
      </w:r>
    </w:p>
    <w:p>
      <w:pPr>
        <w:pStyle w:val="TextBody"/>
        <w:spacing w:before="0" w:after="0"/>
        <w:jc w:val="both"/>
        <w:rPr/>
      </w:pPr>
      <w:r>
        <w:rPr/>
      </w:r>
    </w:p>
    <w:p>
      <w:pPr>
        <w:pStyle w:val="TextBody"/>
        <w:spacing w:lineRule="auto" w:line="288" w:before="0" w:after="0"/>
        <w:jc w:val="both"/>
        <w:rPr>
          <w:rFonts w:ascii="Helvetica;sans-serif" w:hAnsi="Helvetica;sans-serif"/>
          <w:b/>
          <w:color w:val="000000"/>
          <w:sz w:val="20"/>
        </w:rPr>
      </w:pPr>
      <w:r>
        <w:rPr>
          <w:rFonts w:ascii="Helvetica;sans-serif" w:hAnsi="Helvetica;sans-serif"/>
          <w:b/>
          <w:color w:val="000000"/>
          <w:sz w:val="20"/>
        </w:rPr>
        <w:t>Eliminations</w:t>
      </w:r>
    </w:p>
    <w:p>
      <w:pPr>
        <w:pStyle w:val="TextBody"/>
        <w:spacing w:before="0" w:after="0"/>
        <w:jc w:val="both"/>
        <w:rPr/>
      </w:pPr>
      <w:r>
        <w:rPr/>
      </w:r>
    </w:p>
    <w:p>
      <w:pPr>
        <w:pStyle w:val="TextBody"/>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Amounts represent eliminations of transactions between our Content &amp; Experiences segments, the most significant being content licensing between the Studios and Media segments, which are affected by the timing of recognition of content licenses. Revenue eliminations were consistent with the prior year period and Adjusted EBITDA eliminations were a benefit of $24 million, compared to a loss of $62 million in the prior year period. </w:t>
      </w:r>
    </w:p>
    <w:p>
      <w:pPr>
        <w:pStyle w:val="TextBody"/>
        <w:spacing w:before="0" w:after="0"/>
        <w:jc w:val="both"/>
        <w:rPr/>
      </w:pPr>
      <w:r>
        <w:rPr/>
      </w:r>
    </w:p>
    <w:p>
      <w:pPr>
        <w:pStyle w:val="TextBody"/>
        <w:spacing w:lineRule="auto" w:line="288" w:before="0" w:after="0"/>
        <w:jc w:val="both"/>
        <w:rPr>
          <w:rFonts w:ascii="Helvetica;sans-serif" w:hAnsi="Helvetica;sans-serif"/>
          <w:b/>
          <w:color w:val="000000"/>
          <w:sz w:val="24"/>
        </w:rPr>
      </w:pPr>
      <w:r>
        <w:rPr>
          <w:rFonts w:ascii="Helvetica;sans-serif" w:hAnsi="Helvetica;sans-serif"/>
          <w:b/>
          <w:color w:val="000000"/>
          <w:sz w:val="24"/>
        </w:rPr>
        <w:t>Corporate, Other and Eliminations</w:t>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9"/>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D9D9D6"/>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tbl>
      <w:tblPr>
        <w:tblW w:w="6383" w:type="dxa"/>
        <w:jc w:val="left"/>
        <w:tblInd w:w="0" w:type="dxa"/>
        <w:tblCellMar>
          <w:top w:w="28" w:type="dxa"/>
          <w:left w:w="28" w:type="dxa"/>
          <w:bottom w:w="28" w:type="dxa"/>
          <w:right w:w="28" w:type="dxa"/>
        </w:tblCellMar>
      </w:tblPr>
      <w:tblGrid>
        <w:gridCol w:w="124"/>
        <w:gridCol w:w="109"/>
        <w:gridCol w:w="109"/>
        <w:gridCol w:w="812"/>
        <w:gridCol w:w="812"/>
        <w:gridCol w:w="821"/>
        <w:gridCol w:w="358"/>
        <w:gridCol w:w="362"/>
        <w:gridCol w:w="156"/>
        <w:gridCol w:w="358"/>
        <w:gridCol w:w="362"/>
        <w:gridCol w:w="176"/>
        <w:gridCol w:w="270"/>
        <w:gridCol w:w="271"/>
        <w:gridCol w:w="366"/>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21"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2"/>
              </w:rPr>
            </w:pPr>
            <w:r>
              <w:rPr>
                <w:rFonts w:ascii="Helvetica;sans-serif" w:hAnsi="Helvetica;sans-serif"/>
                <w:b w:val="false"/>
                <w:i/>
                <w:color w:val="000000"/>
                <w:sz w:val="12"/>
              </w:rPr>
              <w:t>($ in millions)</w:t>
            </w:r>
          </w:p>
        </w:tc>
        <w:tc>
          <w:tcPr>
            <w:tcW w:w="87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D9D9D6"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u w:val="single"/>
              </w:rPr>
            </w:pPr>
            <w:r>
              <w:rPr>
                <w:rFonts w:ascii="Helvetica;sans-serif" w:hAnsi="Helvetica;sans-serif"/>
                <w:b w:val="false"/>
                <w:color w:val="000000"/>
                <w:sz w:val="16"/>
                <w:u w:val="single"/>
              </w:rPr>
              <w:t>1st Quarter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2023</w:t>
            </w:r>
          </w:p>
        </w:tc>
        <w:tc>
          <w:tcPr>
            <w:tcW w:w="896" w:type="dxa"/>
            <w:gridSpan w:val="3"/>
            <w:tcBorders/>
            <w:shd w:fill="D9D9D6"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u w:val="single"/>
              </w:rPr>
              <w:t>2022</w:t>
            </w:r>
            <w:r>
              <w:rPr>
                <w:rFonts w:ascii="Helvetica;sans-serif" w:hAnsi="Helvetica;sans-serif"/>
                <w:b w:val="false"/>
                <w:color w:val="000000"/>
                <w:sz w:val="10"/>
              </w:rPr>
              <w:t>8</w:t>
            </w:r>
          </w:p>
        </w:tc>
        <w:tc>
          <w:tcPr>
            <w:tcW w:w="907"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u w:val="single"/>
              </w:rPr>
            </w:pPr>
            <w:r>
              <w:rPr>
                <w:rFonts w:ascii="Helvetica;sans-serif" w:hAnsi="Helvetica;sans-serif"/>
                <w:b w:val="false"/>
                <w:color w:val="000000"/>
                <w:sz w:val="16"/>
                <w:u w:val="single"/>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Corporate &amp; Other</w:t>
            </w:r>
          </w:p>
        </w:tc>
        <w:tc>
          <w:tcPr>
            <w:tcW w:w="87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876"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$707</w:t>
            </w:r>
          </w:p>
        </w:tc>
        <w:tc>
          <w:tcPr>
            <w:tcW w:w="896" w:type="dxa"/>
            <w:gridSpan w:val="3"/>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$713</w:t>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(0.9 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20"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995 </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948 </w:t>
            </w:r>
          </w:p>
        </w:tc>
        <w:tc>
          <w:tcPr>
            <w:tcW w:w="17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($288)</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($235)</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(22.9</w:t>
            </w:r>
            <w:r>
              <w:rPr>
                <w:color w:val="000000"/>
              </w:rPr>
              <w:t> </w:t>
            </w:r>
          </w:p>
        </w:tc>
        <w:tc>
          <w:tcPr>
            <w:tcW w:w="366" w:type="dxa"/>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Eliminations</w:t>
            </w:r>
          </w:p>
        </w:tc>
        <w:tc>
          <w:tcPr>
            <w:tcW w:w="87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Revenue</w:t>
            </w:r>
          </w:p>
        </w:tc>
        <w:tc>
          <w:tcPr>
            <w:tcW w:w="720"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($1,427)</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($1,554)</w:t>
            </w:r>
          </w:p>
        </w:tc>
        <w:tc>
          <w:tcPr>
            <w:tcW w:w="17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Operating Expenses</w:t>
            </w:r>
          </w:p>
        </w:tc>
        <w:tc>
          <w:tcPr>
            <w:tcW w:w="720"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(1,430)</w:t>
            </w:r>
          </w:p>
        </w:tc>
        <w:tc>
          <w:tcPr>
            <w:tcW w:w="15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(1,472)</w:t>
            </w:r>
          </w:p>
        </w:tc>
        <w:tc>
          <w:tcPr>
            <w:tcW w:w="176" w:type="dxa"/>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2"/>
            <w:tcBorders/>
            <w:shd w:fill="D9D9D6"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(2.8 </w:t>
            </w:r>
          </w:p>
        </w:tc>
        <w:tc>
          <w:tcPr>
            <w:tcW w:w="366" w:type="dxa"/>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w:t>
            </w:r>
            <w:r>
              <w:rPr>
                <w:color w:val="000000"/>
              </w:rPr>
              <w:t> </w:t>
            </w:r>
          </w:p>
        </w:tc>
        <w:tc>
          <w:tcPr>
            <w:tcW w:w="156"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($82)</w:t>
            </w:r>
          </w:p>
        </w:tc>
        <w:tc>
          <w:tcPr>
            <w:tcW w:w="176" w:type="dxa"/>
            <w:tcBorders>
              <w:top w:val="single" w:sz="4" w:space="0" w:color="000000"/>
            </w:tcBorders>
            <w:shd w:fill="D9D9D6"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4" w:space="0" w:color="000000"/>
            </w:tcBorders>
            <w:shd w:fill="D9D9D6"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NM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D9D9D6"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NM=comparison not meaningful.</w:t>
            </w:r>
          </w:p>
        </w:tc>
        <w:tc>
          <w:tcPr>
            <w:tcW w:w="87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6"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gridSpan w:val="3"/>
            <w:tcBorders/>
            <w:shd w:fill="D9D9D6"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jc w:val="both"/>
        <w:rPr>
          <w:rFonts w:ascii="Helvetica;sans-serif" w:hAnsi="Helvetica;sans-serif"/>
          <w:b/>
          <w:color w:val="000000"/>
          <w:sz w:val="20"/>
        </w:rPr>
      </w:pPr>
      <w:r>
        <w:rPr>
          <w:rFonts w:ascii="Helvetica;sans-serif" w:hAnsi="Helvetica;sans-serif"/>
          <w:b/>
          <w:color w:val="000000"/>
          <w:sz w:val="20"/>
        </w:rPr>
        <w:t>Corporate &amp; Other</w:t>
      </w:r>
    </w:p>
    <w:p>
      <w:pPr>
        <w:pStyle w:val="TextBody"/>
        <w:spacing w:before="0" w:after="0"/>
        <w:jc w:val="both"/>
        <w:rPr/>
      </w:pPr>
      <w:r>
        <w:rPr/>
      </w:r>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Corporate &amp; Other primarily includes overhead and personnel costs; Sky operations outside of the Connectivity &amp; Platforms markets; Comcast Spectacor, which owns the Philadelphia Flyers and the Wells Fargo Center arena in Philadelphia, Pennsylvania; and Xumo, our consolidated streaming platform joint venture beginning in June 2022. Revenue for Corporate and Other was consistent with the prior year period. </w:t>
      </w:r>
    </w:p>
    <w:p>
      <w:pPr>
        <w:pStyle w:val="TextBody"/>
        <w:spacing w:before="0" w:after="0"/>
        <w:jc w:val="both"/>
        <w:rPr/>
      </w:pPr>
      <w:r>
        <w:rPr/>
      </w:r>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Adjusted EBITDA loss for Corporate &amp; Other increased, reflecting consistent revenue and higher operating expenses. Operating expenses increased primarily due to costs related to Xumo. </w:t>
      </w:r>
    </w:p>
    <w:p>
      <w:pPr>
        <w:pStyle w:val="TextBody"/>
        <w:spacing w:before="0" w:after="0"/>
        <w:jc w:val="both"/>
        <w:rPr/>
      </w:pPr>
      <w:r>
        <w:rPr/>
      </w:r>
    </w:p>
    <w:p>
      <w:pPr>
        <w:pStyle w:val="TextBody"/>
        <w:spacing w:lineRule="auto" w:line="288" w:before="0" w:after="0"/>
        <w:jc w:val="both"/>
        <w:rPr>
          <w:rFonts w:ascii="Helvetica;sans-serif" w:hAnsi="Helvetica;sans-serif"/>
          <w:b/>
          <w:color w:val="000000"/>
          <w:sz w:val="20"/>
        </w:rPr>
      </w:pPr>
      <w:r>
        <w:rPr>
          <w:rFonts w:ascii="Helvetica;sans-serif" w:hAnsi="Helvetica;sans-serif"/>
          <w:b/>
          <w:color w:val="000000"/>
          <w:sz w:val="20"/>
        </w:rPr>
        <w:t>Eliminations</w:t>
      </w:r>
    </w:p>
    <w:p>
      <w:pPr>
        <w:pStyle w:val="TextBody"/>
        <w:spacing w:before="0" w:after="0"/>
        <w:jc w:val="both"/>
        <w:rPr/>
      </w:pPr>
      <w:r>
        <w:rPr/>
      </w:r>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Amounts represent eliminations of transactions between Connectivity &amp; Platforms, Content &amp; Experiences and other businesses, the most significant being distribution of television network programming between the Media and Residential Connectivity &amp; Platforms segments. Revenue eliminations were $1.4 billion, compared to $1.6 billion in the prior year period, and Adjusted EBITDA eliminations were $3 million compared to a loss of $82 million in the prior year period.</w:t>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1" name="Frame10"/>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7</w:t>
                      </w:r>
                    </w:p>
                  </w:txbxContent>
                </v:textbox>
              </v:rect>
            </w:pict>
          </mc:Fallback>
        </mc:AlternateConten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95" w:type="dxa"/>
            <w:gridSpan w:val="15"/>
            <w:tcBorders>
              <w:top w:val="single" w:sz="8" w:space="0" w:color="D9D9D6"/>
            </w:tcBorders>
            <w:shd w:fill="auto" w:val="clear"/>
            <w:tcMar>
              <w:top w:w="30" w:type="dxa"/>
              <w:left w:w="0" w:type="dxa"/>
              <w:bottom w:w="0" w:type="dxa"/>
              <w:right w:w="0" w:type="dxa"/>
            </w:tcMar>
            <w:vAlign w:val="center"/>
          </w:tcPr>
          <w:p>
            <w:pPr>
              <w:pStyle w:val="TableContents"/>
              <w:spacing w:lineRule="auto" w:line="240" w:before="0" w:after="283"/>
              <w:jc w:val="both"/>
              <w:rPr>
                <w:rFonts w:ascii="Helvetica;sans-serif" w:hAnsi="Helvetica;sans-serif"/>
                <w:b/>
                <w:color w:val="000000"/>
                <w:sz w:val="20"/>
              </w:rPr>
            </w:pPr>
            <w:r>
              <w:rPr>
                <w:rFonts w:ascii="Helvetica;sans-serif" w:hAnsi="Helvetica;sans-serif"/>
                <w:b/>
                <w:color w:val="000000"/>
                <w:sz w:val="20"/>
              </w:rPr>
              <w:t>Notes:</w:t>
            </w:r>
          </w:p>
        </w:tc>
      </w:tr>
    </w:tbl>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1We define Adjusted Net Income and Adjusted EPS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See Table 5 for reconciliations of non-GAAP financial measures. </w:t>
      </w:r>
    </w:p>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2We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See Table 4 for reconciliation of non-GAAP financial measure. </w:t>
      </w:r>
    </w:p>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3All earnings per share amounts are presented on a diluted basis. </w:t>
      </w:r>
    </w:p>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4We define Free Cash Flow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Consolidated Statement of Cash Flows and are therefore excluded from capital expenditures and cash paid for intangible assets for Free Cash Flow. See Table 4 for reconciliation of non-GAAP financial measure. </w:t>
      </w:r>
    </w:p>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5From time to time, we may present adjusted information (e.g., Adjusted Revenues) to exclude the impact of certain events, gains, losses or other charges affecting period-to-period comparability of our operating performance. See Table 7 for reconciliations of non-GAAP financial measures.</w:t>
      </w:r>
    </w:p>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6Adjusted EBITDA is the measure of profit or loss for our segments. From time to time, we may present Adjusted EBITDA for components of our reportable segments, such as Peacock. We believe these measures are useful to evaluate our financial results and provide a basis of comparison to others, although our definition of Adjusted EBITDA may not be directly comparable to similar measures used by other companies. Adjusted EBITDA for components are generally presented on a consistent basis with the respective segments and include direct revenue and operating costs and expenses attributed to the component operations. </w:t>
      </w:r>
    </w:p>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7Constant currency growth rates are calculated by comparing the results for each comparable prior year period adjusted to reflect the average exchange rates from each current period presented, rather than the actual exchange rates that were in effect during the respective periods. See Table 6 for reconciliations of non-GAAP financial measures.</w:t>
      </w:r>
    </w:p>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8Beginning in the first quarter of 2023, we changed our presentation of segment operating results around our two primary businesses, Connectivity &amp; Platforms and Content &amp; Experiences. We have updated certain historical information as a result of these changes, including: (1) presentation of Cable Communications results in the Residential Connectivity &amp; Platforms and Business Services Connectivity segments and (2) presentation of Sky's results across the Connectivity &amp; Platforms and Content &amp; Entertainment segments, and Corporate &amp; Other. </w:t>
      </w:r>
    </w:p>
    <w:p>
      <w:pPr>
        <w:pStyle w:val="TextBody"/>
        <w:spacing w:lineRule="auto" w:line="288" w:before="0" w:after="180"/>
        <w:ind w:left="0" w:right="0" w:hanging="180"/>
        <w:jc w:val="both"/>
        <w:rPr>
          <w:rFonts w:ascii="Helvetica;sans-serif" w:hAnsi="Helvetica;sans-serif"/>
          <w:b w:val="false"/>
          <w:color w:val="000000"/>
          <w:sz w:val="20"/>
        </w:rPr>
      </w:pPr>
      <w:r>
        <w:rPr>
          <w:rFonts w:ascii="Helvetica;sans-serif" w:hAnsi="Helvetica;sans-serif"/>
          <w:b w:val="false"/>
          <w:color w:val="000000"/>
          <w:sz w:val="20"/>
        </w:rPr>
        <w:t xml:space="preserve">9Customer metrics for 2022 have been updated to reflect the new segment presentation, and to align methodologies for counting business customer metrics to: (1) include locations receiving our services outside of our distribution system and (2) now count certain customers based on the number of locations receiving services, including arrangements whereby third parties provide connectivity services leveraging our distribution system. These changes in methodology were not material to any period presented. Previously reported total Sky customer relationships of approximately 23 million as of December 31, 2022 also included approximately 5 million customer relationships outside of the Connectivity &amp; Platforms markets. </w:t>
      </w:r>
    </w:p>
    <w:p>
      <w:pPr>
        <w:pStyle w:val="TextBody"/>
        <w:spacing w:lineRule="auto" w:line="288" w:before="0" w:after="180"/>
        <w:jc w:val="both"/>
        <w:rPr>
          <w:rFonts w:ascii="Helvetica;sans-serif" w:hAnsi="Helvetica;sans-serif"/>
          <w:b w:val="false"/>
          <w:color w:val="000000"/>
          <w:sz w:val="20"/>
        </w:rPr>
      </w:pPr>
      <w:r>
        <w:rPr>
          <w:rFonts w:ascii="Helvetica;sans-serif" w:hAnsi="Helvetica;sans-serif"/>
          <w:b w:val="false"/>
          <w:color w:val="000000"/>
          <w:sz w:val="20"/>
        </w:rPr>
        <w:t>Numerical information is presented on a rounded basis using actual amounts. Minor differences in totals and percentage calculations may exist due to rounding.</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2" name="Frame11"/>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8</w:t>
                      </w:r>
                    </w:p>
                  </w:txbxContent>
                </v:textbox>
              </v:rect>
            </w:pict>
          </mc:Fallback>
        </mc:AlternateContent>
      </w:r>
    </w:p>
    <w:p>
      <w:pPr>
        <w:pStyle w:val="TextBody"/>
        <w:spacing w:lineRule="auto" w:line="288" w:before="120" w:after="283"/>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spacing w:before="0" w:after="0"/>
        <w:jc w:val="both"/>
        <w:rPr/>
      </w:pPr>
      <w:r>
        <w:rPr/>
      </w:r>
    </w:p>
    <w:p>
      <w:pPr>
        <w:pStyle w:val="TextBody"/>
        <w:spacing w:lineRule="auto" w:line="288" w:before="0" w:after="0"/>
        <w:jc w:val="both"/>
        <w:rPr>
          <w:rFonts w:ascii="Helvetica;sans-serif" w:hAnsi="Helvetica;sans-serif"/>
          <w:b/>
          <w:color w:val="000000"/>
          <w:sz w:val="18"/>
        </w:rPr>
      </w:pPr>
      <w:r>
        <w:rPr>
          <w:rFonts w:ascii="Helvetica;sans-serif" w:hAnsi="Helvetica;sans-serif"/>
          <w:b/>
          <w:color w:val="000000"/>
          <w:sz w:val="18"/>
        </w:rPr>
        <w:t>Conference Call and Other Information</w:t>
      </w:r>
    </w:p>
    <w:p>
      <w:pPr>
        <w:pStyle w:val="TextBody"/>
        <w:spacing w:lineRule="auto" w:line="288" w:before="0" w:after="0"/>
        <w:jc w:val="both"/>
        <w:rPr/>
      </w:pPr>
      <w:r>
        <w:rPr>
          <w:rFonts w:ascii="Helvetica;sans-serif" w:hAnsi="Helvetica;sans-serif"/>
          <w:b w:val="false"/>
          <w:color w:val="000000"/>
          <w:sz w:val="18"/>
        </w:rPr>
        <w:t xml:space="preserve">Comcast Corporation will host a conference call with the financial community today, April 27, 2023 at 8:30 a.m. Eastern Time (ET). The conference call and related materials will be broadcast live and posted on our Investor Relations website at </w:t>
      </w:r>
      <w:r>
        <w:rPr>
          <w:rFonts w:ascii="Helvetica;sans-serif" w:hAnsi="Helvetica;sans-serif"/>
          <w:b w:val="false"/>
          <w:color w:val="0000FF"/>
          <w:sz w:val="18"/>
          <w:u w:val="single"/>
        </w:rPr>
        <w:t>www.cmcsa.com</w:t>
      </w:r>
      <w:r>
        <w:rPr>
          <w:rFonts w:ascii="Helvetica;sans-serif" w:hAnsi="Helvetica;sans-serif"/>
          <w:b w:val="false"/>
          <w:color w:val="000000"/>
          <w:sz w:val="18"/>
        </w:rPr>
        <w:t>. Those parties interested in participating via telephone should dial (646) 828-8195 with the passcode 398279. A replay of the call will be available starting at 11:30 a.m. ET on Thursday, April 27, 2023 on the Investor Relations website.</w:t>
      </w:r>
    </w:p>
    <w:p>
      <w:pPr>
        <w:pStyle w:val="TextBody"/>
        <w:spacing w:before="0" w:after="0"/>
        <w:jc w:val="both"/>
        <w:rPr/>
      </w:pPr>
      <w:r>
        <w:rPr/>
      </w:r>
    </w:p>
    <w:p>
      <w:pPr>
        <w:pStyle w:val="TextBody"/>
        <w:spacing w:lineRule="auto" w:line="288" w:before="0" w:after="0"/>
        <w:jc w:val="both"/>
        <w:rPr/>
      </w:pPr>
      <w:r>
        <w:rPr>
          <w:rFonts w:ascii="Helvetica;sans-serif" w:hAnsi="Helvetica;sans-serif"/>
          <w:b w:val="false"/>
          <w:color w:val="000000"/>
          <w:sz w:val="18"/>
        </w:rPr>
        <w:t xml:space="preserve">From time to time, we post information that may be of interest to investors on our website at </w:t>
      </w:r>
      <w:r>
        <w:rPr>
          <w:rFonts w:ascii="Helvetica;sans-serif" w:hAnsi="Helvetica;sans-serif"/>
          <w:b w:val="false"/>
          <w:color w:val="0000FF"/>
          <w:sz w:val="18"/>
          <w:u w:val="single"/>
        </w:rPr>
        <w:t>www.cmcsa.com</w:t>
      </w:r>
      <w:r>
        <w:rPr>
          <w:color w:val="000000"/>
        </w:rPr>
        <w:t xml:space="preserve"> </w:t>
      </w:r>
      <w:r>
        <w:rPr>
          <w:rFonts w:ascii="Helvetica;sans-serif" w:hAnsi="Helvetica;sans-serif"/>
          <w:b w:val="false"/>
          <w:color w:val="000000"/>
          <w:sz w:val="18"/>
        </w:rPr>
        <w:t xml:space="preserve">and on our corporate website, </w:t>
      </w:r>
      <w:r>
        <w:rPr>
          <w:rFonts w:ascii="Helvetica;sans-serif" w:hAnsi="Helvetica;sans-serif"/>
          <w:b w:val="false"/>
          <w:color w:val="0000FF"/>
          <w:sz w:val="18"/>
          <w:u w:val="single"/>
        </w:rPr>
        <w:t>www.comcastcorporation.com</w:t>
      </w:r>
      <w:r>
        <w:rPr>
          <w:rFonts w:ascii="Helvetica;sans-serif" w:hAnsi="Helvetica;sans-serif"/>
          <w:b w:val="false"/>
          <w:color w:val="000000"/>
          <w:sz w:val="18"/>
        </w:rPr>
        <w:t xml:space="preserve">. To automatically receive Comcast financial news by email, please visit </w:t>
      </w:r>
      <w:r>
        <w:rPr>
          <w:rFonts w:ascii="Helvetica;sans-serif" w:hAnsi="Helvetica;sans-serif"/>
          <w:b w:val="false"/>
          <w:color w:val="0000FF"/>
          <w:sz w:val="18"/>
          <w:u w:val="single"/>
        </w:rPr>
        <w:t>www.cmcsa.com</w:t>
      </w:r>
      <w:r>
        <w:rPr>
          <w:color w:val="000000"/>
        </w:rPr>
        <w:t xml:space="preserve"> </w:t>
      </w:r>
      <w:r>
        <w:rPr>
          <w:rFonts w:ascii="Helvetica;sans-serif" w:hAnsi="Helvetica;sans-serif"/>
          <w:b w:val="false"/>
          <w:color w:val="000000"/>
          <w:sz w:val="18"/>
        </w:rPr>
        <w:t>and subscribe to email alerts.</w:t>
      </w:r>
    </w:p>
    <w:p>
      <w:pPr>
        <w:pStyle w:val="TextBody"/>
        <w:spacing w:before="120" w:after="283"/>
        <w:jc w:val="center"/>
        <w:rPr/>
      </w:pPr>
      <w:r>
        <w:rPr/>
      </w:r>
    </w:p>
    <w:p>
      <w:pPr>
        <w:pStyle w:val="TextBody"/>
        <w:spacing w:lineRule="auto" w:line="288" w:before="120" w:after="283"/>
        <w:jc w:val="center"/>
        <w:rPr>
          <w:rFonts w:ascii="Helvetica;sans-serif" w:hAnsi="Helvetica;sans-serif"/>
          <w:b w:val="false"/>
          <w:color w:val="000000"/>
          <w:sz w:val="18"/>
        </w:rPr>
      </w:pPr>
      <w:r>
        <w:rPr>
          <w:rFonts w:ascii="Helvetica;sans-serif" w:hAnsi="Helvetica;sans-serif"/>
          <w:b w:val="false"/>
          <w:color w:val="000000"/>
          <w:sz w:val="18"/>
        </w:rPr>
        <w:t>###</w:t>
      </w:r>
    </w:p>
    <w:tbl>
      <w:tblPr>
        <w:tblW w:w="6341" w:type="dxa"/>
        <w:jc w:val="center"/>
        <w:tblInd w:w="0" w:type="dxa"/>
        <w:tblCellMar>
          <w:top w:w="28" w:type="dxa"/>
          <w:left w:w="28" w:type="dxa"/>
          <w:bottom w:w="28" w:type="dxa"/>
          <w:right w:w="28" w:type="dxa"/>
        </w:tblCellMar>
      </w:tblPr>
      <w:tblGrid>
        <w:gridCol w:w="619"/>
        <w:gridCol w:w="545"/>
        <w:gridCol w:w="546"/>
        <w:gridCol w:w="459"/>
        <w:gridCol w:w="459"/>
        <w:gridCol w:w="462"/>
        <w:gridCol w:w="109"/>
        <w:gridCol w:w="109"/>
        <w:gridCol w:w="109"/>
        <w:gridCol w:w="499"/>
        <w:gridCol w:w="499"/>
        <w:gridCol w:w="501"/>
        <w:gridCol w:w="416"/>
        <w:gridCol w:w="416"/>
        <w:gridCol w:w="593"/>
      </w:tblGrid>
      <w:tr>
        <w:trPr/>
        <w:tc>
          <w:tcPr>
            <w:tcW w:w="61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Investor Contacts:</w:t>
            </w:r>
          </w:p>
        </w:tc>
        <w:tc>
          <w:tcPr>
            <w:tcW w:w="1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Press Contacts:</w:t>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Marci Ryvicker</w:t>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(215) 286-4781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Jennifer Khoury</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(215) 286-7408</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Jane Kearns</w:t>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(215) 286-4794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John Demming</w:t>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(215) 286-8011</w:t>
            </w:r>
          </w:p>
        </w:tc>
      </w:tr>
      <w:tr>
        <w:trPr/>
        <w:tc>
          <w:tcPr>
            <w:tcW w:w="1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Marc Kaplan</w:t>
            </w:r>
          </w:p>
        </w:tc>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(215) 286-6527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120" w:after="283"/>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spacing w:before="0" w:after="0"/>
        <w:jc w:val="both"/>
        <w:rPr/>
      </w:pPr>
      <w:r>
        <w:rPr/>
      </w:r>
    </w:p>
    <w:p>
      <w:pPr>
        <w:pStyle w:val="TextBody"/>
        <w:spacing w:lineRule="auto" w:line="288" w:before="0" w:after="0"/>
        <w:jc w:val="both"/>
        <w:rPr>
          <w:rFonts w:ascii="Helvetica;sans-serif" w:hAnsi="Helvetica;sans-serif"/>
          <w:b/>
          <w:color w:val="000000"/>
          <w:sz w:val="18"/>
        </w:rPr>
      </w:pPr>
      <w:r>
        <w:rPr>
          <w:rFonts w:ascii="Helvetica;sans-serif" w:hAnsi="Helvetica;sans-serif"/>
          <w:b/>
          <w:color w:val="000000"/>
          <w:sz w:val="18"/>
        </w:rPr>
        <w:t>Caution Concerning Forward-Looking Statements</w:t>
      </w:r>
    </w:p>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This press release includes statements that may constitute forward-looking statements. In evaluating these statements, readers should consider various factors, including the risks and uncertainties we describe in the “Risk Factors” sections of our most recent Annual Report on Form 10-K, our most recent Quarterly Report on Form 10-Q and other reports filed with the Securities and Exchange Commission (SEC). Factors that could cause our actual results to differ materially from these forward-looking statements include changes in and/or risks associated with: the competitive environment; consumer behavior; the advertising market; programming costs; consumer acceptance of our content; key distribution and/or licensing agreements; use and protection of our intellectual property; our reliance on third-party hardware, software and operational support; keeping pace with technological developments; cyber attacks, security breaches or technology disruptions; weak economic conditions; acquisitions and strategic initiatives; operating businesses internationally; natural disasters, severe weather-related and other uncontrollable events; loss of key personnel; laws and regulations; adverse decisions in litigation or governmental investigations; labor disputes; and other risks described from time to time in reports and other documents we file with the SEC. Readers are cautioned not to place undue reliance on forward-looking statements, which speak only as of the date they are made, and involve risks and uncertainties that could cause actual events or our actual results to differ materially from those expressed in any such forward-looking statements. We undertake no obligation to update or revise publicly any forward-looking statements, whether because of new information, future events or otherwise. The amount and timing of any dividends and share repurchases are subject to business, economic and other relevant factors.</w:t>
      </w:r>
    </w:p>
    <w:p>
      <w:pPr>
        <w:pStyle w:val="TextBody"/>
        <w:spacing w:before="0" w:after="0"/>
        <w:jc w:val="both"/>
        <w:rPr/>
      </w:pPr>
      <w:r>
        <w:rPr/>
      </w:r>
    </w:p>
    <w:p>
      <w:pPr>
        <w:pStyle w:val="TextBody"/>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spacing w:before="0" w:after="0"/>
        <w:jc w:val="both"/>
        <w:rPr/>
      </w:pPr>
      <w:r>
        <w:rPr/>
      </w:r>
    </w:p>
    <w:p>
      <w:pPr>
        <w:pStyle w:val="TextBody"/>
        <w:spacing w:lineRule="auto" w:line="288" w:before="0" w:after="0"/>
        <w:jc w:val="both"/>
        <w:rPr>
          <w:rFonts w:ascii="Helvetica;sans-serif" w:hAnsi="Helvetica;sans-serif"/>
          <w:b/>
          <w:color w:val="000000"/>
          <w:sz w:val="18"/>
        </w:rPr>
      </w:pPr>
      <w:r>
        <w:rPr>
          <w:rFonts w:ascii="Helvetica;sans-serif" w:hAnsi="Helvetica;sans-serif"/>
          <w:b/>
          <w:color w:val="000000"/>
          <w:sz w:val="18"/>
        </w:rPr>
        <w:t>Non-GAAP Financial Measures</w:t>
      </w:r>
    </w:p>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In this discussion, we sometimes refer to financial measures that are not presented according to generally accepted accounting principles in the U.S. (GAAP). Certain of these measures are considered “non-GAAP financial measures” under the SEC regulations; those rules require the supplemental explanations and reconciliations that are in Comcast’s Form 8-K (Quarterly Earnings Release) furnished to the SEC.</w:t>
      </w:r>
    </w:p>
    <w:p>
      <w:pPr>
        <w:pStyle w:val="TextBody"/>
        <w:spacing w:before="0" w:after="0"/>
        <w:jc w:val="both"/>
        <w:rPr/>
      </w:pPr>
      <w:r>
        <w:rPr/>
      </w:r>
    </w:p>
    <w:p>
      <w:pPr>
        <w:pStyle w:val="TextBody"/>
        <w:spacing w:lineRule="auto" w:line="288" w:before="0" w:after="0"/>
        <w:jc w:val="center"/>
        <w:rPr>
          <w:rFonts w:ascii="Helvetica;sans-serif" w:hAnsi="Helvetica;sans-serif"/>
          <w:b w:val="false"/>
          <w:color w:val="000000"/>
          <w:sz w:val="18"/>
        </w:rPr>
      </w:pPr>
      <w:r>
        <w:rPr>
          <w:rFonts w:ascii="Helvetica;sans-serif" w:hAnsi="Helvetica;sans-serif"/>
          <w:b w:val="false"/>
          <w:color w:val="000000"/>
          <w:sz w:val="18"/>
        </w:rPr>
        <w:t>###</w:t>
      </w:r>
    </w:p>
    <w:p>
      <w:pPr>
        <w:pStyle w:val="TextBody"/>
        <w:spacing w:before="0" w:after="0"/>
        <w:jc w:val="center"/>
        <w:rPr/>
      </w:pPr>
      <w:r>
        <w:rPr/>
      </w:r>
    </w:p>
    <w:p>
      <w:pPr>
        <w:pStyle w:val="TextBody"/>
        <w:spacing w:lineRule="auto" w:line="288" w:before="0" w:after="0"/>
        <w:rPr>
          <w:rFonts w:ascii="Helvetica;sans-serif" w:hAnsi="Helvetica;sans-serif"/>
          <w:b/>
          <w:color w:val="000000"/>
          <w:sz w:val="18"/>
        </w:rPr>
      </w:pPr>
      <w:r>
        <w:rPr>
          <w:rFonts w:ascii="Helvetica;sans-serif" w:hAnsi="Helvetica;sans-serif"/>
          <w:b/>
          <w:color w:val="000000"/>
          <w:sz w:val="18"/>
        </w:rPr>
        <w:t>About Comcast Corporation</w:t>
      </w:r>
    </w:p>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Comcast Corporation (Nasdaq: CMCSA) is a global media and technology company. From the connectivity and platforms we provide, to the content and experiences we create, our businesses reach hundreds of millions of customers, viewers, and guests worldwide. We deliver world-class broadband, wireless, and video through Xfinity, Comcast Business, and Sky; produce, distribute, and stream leading entertainment, sports, and news through brands including NBC, Telemundo, Universal, Peacock, and Sky; and bring incredible theme parks and attractions to life through Universal Destinations &amp; Experiences. Visit www.comcastcorporation.com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13" name="Frame12"/>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9</w:t>
                      </w:r>
                    </w:p>
                  </w:txbxContent>
                </v:textbox>
              </v:rect>
            </w:pict>
          </mc:Fallback>
        </mc:AlternateContent>
      </w:r>
    </w:p>
    <w:tbl>
      <w:tblPr>
        <w:tblW w:w="8762" w:type="dxa"/>
        <w:jc w:val="left"/>
        <w:tblInd w:w="0" w:type="dxa"/>
        <w:tblCellMar>
          <w:top w:w="28" w:type="dxa"/>
          <w:left w:w="28" w:type="dxa"/>
          <w:bottom w:w="28" w:type="dxa"/>
          <w:right w:w="28" w:type="dxa"/>
        </w:tblCellMar>
      </w:tblPr>
      <w:tblGrid>
        <w:gridCol w:w="322"/>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283"/>
        <w:gridCol w:w="301"/>
        <w:gridCol w:w="301"/>
        <w:gridCol w:w="301"/>
        <w:gridCol w:w="301"/>
        <w:gridCol w:w="301"/>
        <w:gridCol w:w="426"/>
      </w:tblGrid>
      <w:tr>
        <w:trPr/>
        <w:tc>
          <w:tcPr>
            <w:tcW w:w="322"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6"/>
            <w:vMerge w:val="restart"/>
            <w:tcBorders>
              <w:bottom w:val="single" w:sz="8" w:space="0" w:color="004EA8"/>
            </w:tcBorders>
            <w:shd w:fill="auto" w:val="clear"/>
            <w:tcMar>
              <w:top w:w="0" w:type="dxa"/>
              <w:left w:w="0" w:type="dxa"/>
              <w:right w:w="0" w:type="dxa"/>
            </w:tcMar>
            <w:vAlign w:val="center"/>
          </w:tcPr>
          <w:p>
            <w:pPr>
              <w:pStyle w:val="TableContents"/>
              <w:spacing w:before="0" w:after="0"/>
              <w:jc w:val="right"/>
              <w:rPr/>
            </w:pPr>
            <w:r>
              <w:rPr/>
              <w:drawing>
                <wp:inline distT="0" distB="63500" distL="0" distR="0">
                  <wp:extent cx="1143000" cy="495300"/>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1143000" cy="495300"/>
                          </a:xfrm>
                          <a:prstGeom prst="rect">
                            <a:avLst/>
                          </a:prstGeom>
                        </pic:spPr>
                      </pic:pic>
                    </a:graphicData>
                  </a:graphic>
                </wp:inline>
              </w:drawing>
            </w:r>
          </w:p>
        </w:tc>
      </w:tr>
      <w:tr>
        <w:trPr/>
        <w:tc>
          <w:tcPr>
            <w:tcW w:w="5982"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1</w:t>
            </w:r>
          </w:p>
        </w:tc>
        <w:tc>
          <w:tcPr>
            <w:tcW w:w="8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6"/>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6831" w:type="dxa"/>
            <w:gridSpan w:val="24"/>
            <w:tcBorders>
              <w:bottom w:val="single" w:sz="8" w:space="0" w:color="004EA8"/>
            </w:tcBorders>
            <w:shd w:fill="auto"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color w:val="828282"/>
                <w:sz w:val="24"/>
              </w:rPr>
            </w:pPr>
            <w:r>
              <w:rPr>
                <w:rFonts w:ascii="Helvetica;sans-serif" w:hAnsi="Helvetica;sans-serif"/>
                <w:b/>
                <w:color w:val="828282"/>
                <w:sz w:val="24"/>
              </w:rPr>
              <w:t>Condensed Consolidated Statement of Income (Unaudited)</w:t>
            </w:r>
          </w:p>
        </w:tc>
        <w:tc>
          <w:tcPr>
            <w:tcW w:w="1931" w:type="dxa"/>
            <w:gridSpan w:val="6"/>
            <w:vMerge w:val="continue"/>
            <w:tcBorders>
              <w:bottom w:val="single" w:sz="8" w:space="0" w:color="004EA8"/>
            </w:tcBorders>
            <w:shd w:fill="auto" w:val="clear"/>
            <w:tcMar>
              <w:top w:w="0" w:type="dxa"/>
              <w:left w:w="0" w:type="dxa"/>
              <w:right w:w="0" w:type="dxa"/>
            </w:tcMar>
            <w:vAlign w:val="center"/>
          </w:tcPr>
          <w:p>
            <w:pPr>
              <w:pStyle w:val="Normal"/>
              <w:rPr/>
            </w:pPr>
            <w:r>
              <w:rPr/>
            </w:r>
          </w:p>
        </w:tc>
      </w:tr>
    </w:tbl>
    <w:tbl>
      <w:tblPr>
        <w:tblW w:w="10205" w:type="dxa"/>
        <w:jc w:val="left"/>
        <w:tblInd w:w="0" w:type="dxa"/>
        <w:tblCellMar>
          <w:top w:w="28" w:type="dxa"/>
          <w:left w:w="28" w:type="dxa"/>
          <w:bottom w:w="28" w:type="dxa"/>
          <w:right w:w="28" w:type="dxa"/>
        </w:tblCellMar>
      </w:tblPr>
      <w:tblGrid>
        <w:gridCol w:w="2709"/>
        <w:gridCol w:w="2262"/>
        <w:gridCol w:w="2117"/>
        <w:gridCol w:w="420"/>
        <w:gridCol w:w="421"/>
        <w:gridCol w:w="193"/>
        <w:gridCol w:w="193"/>
        <w:gridCol w:w="193"/>
        <w:gridCol w:w="193"/>
        <w:gridCol w:w="413"/>
        <w:gridCol w:w="413"/>
        <w:gridCol w:w="193"/>
        <w:gridCol w:w="109"/>
        <w:gridCol w:w="109"/>
        <w:gridCol w:w="109"/>
        <w:gridCol w:w="158"/>
      </w:tblGrid>
      <w:tr>
        <w:trPr/>
        <w:tc>
          <w:tcPr>
            <w:tcW w:w="2709" w:type="dxa"/>
            <w:tcBorders/>
            <w:shd w:fill="auto" w:val="clear"/>
            <w:vAlign w:val="center"/>
          </w:tcPr>
          <w:p>
            <w:pPr>
              <w:pStyle w:val="TableContents"/>
              <w:spacing w:before="0" w:after="283"/>
              <w:rPr>
                <w:sz w:val="4"/>
                <w:szCs w:val="4"/>
              </w:rPr>
            </w:pPr>
            <w:r>
              <w:rPr>
                <w:sz w:val="4"/>
                <w:szCs w:val="4"/>
              </w:rPr>
            </w:r>
          </w:p>
        </w:tc>
        <w:tc>
          <w:tcPr>
            <w:tcW w:w="2262" w:type="dxa"/>
            <w:tcBorders/>
            <w:shd w:fill="auto" w:val="clear"/>
            <w:vAlign w:val="center"/>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 except per share data)</w:t>
            </w:r>
          </w:p>
        </w:tc>
        <w:tc>
          <w:tcPr>
            <w:tcW w:w="263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 w:type="dxa"/>
            <w:gridSpan w:val="2"/>
            <w:tcBorders/>
            <w:shd w:fill="auto" w:val="clea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2023</w:t>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Revenue</w:t>
            </w:r>
          </w:p>
        </w:tc>
        <w:tc>
          <w:tcPr>
            <w:tcW w:w="84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$29,691</w:t>
            </w:r>
            <w:r>
              <w:rPr>
                <w:color w:val="000000"/>
              </w:rPr>
              <w:t>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$31,010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Costs and expenses</w:t>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Programming and production </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9,004</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10,570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Marketing and promotion</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1,963</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2,062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operating and administrative</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9,301</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9,260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2,264</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2,213 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Amortization</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1,513</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1,335 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24,045</w:t>
            </w:r>
            <w:r>
              <w:rPr>
                <w:color w:val="000000"/>
              </w:rPr>
              <w:t>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25,440 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Operating income</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5,646</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5,569 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Interest expense</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(1,010)</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(993)</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 and other income (loss), net</w:t>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Equity in net income (losses) of investees, net</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485</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133 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Realized and unrealized gains (losses) on equity securities, net</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(6)</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117 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income (loss), net</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128</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607</w:t>
            </w:r>
            <w:r>
              <w:rPr>
                <w:color w:val="000000"/>
              </w:rPr>
              <w:t>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188 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Income before income taxes </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5,243</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4,764 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Income tax expense</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(1,476)</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(1,288)</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3,767</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3,476</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Less: Net income (loss) attributable to noncontrolling interests</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(67)</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(73)</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Net income attributable to Comcast Corporation</w:t>
            </w:r>
          </w:p>
        </w:tc>
        <w:tc>
          <w:tcPr>
            <w:tcW w:w="84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$3,834</w:t>
            </w:r>
            <w:r>
              <w:rPr>
                <w:color w:val="000000"/>
              </w:rPr>
              <w:t> </w:t>
            </w:r>
          </w:p>
        </w:tc>
        <w:tc>
          <w:tcPr>
            <w:tcW w:w="19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$3,549</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ind w:left="0" w:right="0" w:hanging="180"/>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Diluted earnings per common share attributable to Comcast Corporation shareholders</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$0.91</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$0.78</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vAlign w:val="center"/>
          </w:tcPr>
          <w:p>
            <w:pPr>
              <w:pStyle w:val="TableContents"/>
              <w:spacing w:before="0" w:after="283"/>
              <w:rPr>
                <w:sz w:val="4"/>
                <w:szCs w:val="4"/>
              </w:rPr>
            </w:pPr>
            <w:r>
              <w:rPr>
                <w:sz w:val="4"/>
                <w:szCs w:val="4"/>
              </w:rPr>
            </w:r>
          </w:p>
        </w:tc>
        <w:tc>
          <w:tcPr>
            <w:tcW w:w="1034" w:type="dxa"/>
            <w:gridSpan w:val="3"/>
            <w:tcBorders/>
            <w:shd w:fill="auto" w:val="clear"/>
            <w:vAlign w:val="center"/>
          </w:tcPr>
          <w:p>
            <w:pPr>
              <w:pStyle w:val="TableContents"/>
              <w:spacing w:before="0" w:after="283"/>
              <w:rPr>
                <w:sz w:val="4"/>
                <w:szCs w:val="4"/>
              </w:rPr>
            </w:pPr>
            <w:r>
              <w:rPr>
                <w:sz w:val="4"/>
                <w:szCs w:val="4"/>
              </w:rPr>
            </w:r>
          </w:p>
        </w:tc>
        <w:tc>
          <w:tcPr>
            <w:tcW w:w="579" w:type="dxa"/>
            <w:gridSpan w:val="3"/>
            <w:tcBorders/>
            <w:shd w:fill="auto" w:val="clear"/>
            <w:vAlign w:val="center"/>
          </w:tcPr>
          <w:p>
            <w:pPr>
              <w:pStyle w:val="TableContents"/>
              <w:spacing w:before="0" w:after="283"/>
              <w:rPr>
                <w:sz w:val="4"/>
                <w:szCs w:val="4"/>
              </w:rPr>
            </w:pPr>
            <w:r>
              <w:rPr>
                <w:sz w:val="4"/>
                <w:szCs w:val="4"/>
              </w:rPr>
            </w:r>
          </w:p>
        </w:tc>
        <w:tc>
          <w:tcPr>
            <w:tcW w:w="10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Diluted weighted-average number of common shares</w:t>
            </w:r>
          </w:p>
        </w:tc>
        <w:tc>
          <w:tcPr>
            <w:tcW w:w="84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4,227</w:t>
            </w:r>
            <w:r>
              <w:rPr>
                <w:color w:val="000000"/>
              </w:rPr>
              <w:t>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4,558 </w:t>
            </w:r>
          </w:p>
        </w:tc>
        <w:tc>
          <w:tcPr>
            <w:tcW w:w="19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15" name="Frame13"/>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10</w:t>
                      </w:r>
                    </w:p>
                  </w:txbxContent>
                </v:textbox>
              </v:rect>
            </w:pict>
          </mc:Fallback>
        </mc:AlternateContent>
      </w:r>
    </w:p>
    <w:tbl>
      <w:tblPr>
        <w:tblW w:w="7870" w:type="dxa"/>
        <w:jc w:val="left"/>
        <w:tblInd w:w="0" w:type="dxa"/>
        <w:tblCellMar>
          <w:top w:w="28" w:type="dxa"/>
          <w:left w:w="28" w:type="dxa"/>
          <w:bottom w:w="28" w:type="dxa"/>
          <w:right w:w="28" w:type="dxa"/>
        </w:tblCellMar>
      </w:tblPr>
      <w:tblGrid>
        <w:gridCol w:w="319"/>
        <w:gridCol w:w="281"/>
        <w:gridCol w:w="281"/>
        <w:gridCol w:w="281"/>
        <w:gridCol w:w="281"/>
        <w:gridCol w:w="281"/>
        <w:gridCol w:w="281"/>
        <w:gridCol w:w="281"/>
        <w:gridCol w:w="281"/>
        <w:gridCol w:w="281"/>
        <w:gridCol w:w="281"/>
        <w:gridCol w:w="281"/>
        <w:gridCol w:w="281"/>
        <w:gridCol w:w="281"/>
        <w:gridCol w:w="281"/>
        <w:gridCol w:w="281"/>
        <w:gridCol w:w="281"/>
        <w:gridCol w:w="281"/>
        <w:gridCol w:w="281"/>
        <w:gridCol w:w="281"/>
        <w:gridCol w:w="281"/>
        <w:gridCol w:w="205"/>
        <w:gridCol w:w="205"/>
        <w:gridCol w:w="205"/>
        <w:gridCol w:w="205"/>
        <w:gridCol w:w="205"/>
        <w:gridCol w:w="205"/>
        <w:gridCol w:w="205"/>
        <w:gridCol w:w="205"/>
        <w:gridCol w:w="291"/>
      </w:tblGrid>
      <w:tr>
        <w:trPr/>
        <w:tc>
          <w:tcPr>
            <w:tcW w:w="31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8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9"/>
            <w:vMerge w:val="restart"/>
            <w:tcBorders>
              <w:bottom w:val="single" w:sz="8" w:space="0" w:color="004EA8"/>
            </w:tcBorders>
            <w:shd w:fill="auto" w:val="clear"/>
            <w:tcMar>
              <w:top w:w="0" w:type="dxa"/>
              <w:left w:w="0" w:type="dxa"/>
              <w:right w:w="0" w:type="dxa"/>
            </w:tcMar>
            <w:vAlign w:val="center"/>
          </w:tcPr>
          <w:p>
            <w:pPr>
              <w:pStyle w:val="TableContents"/>
              <w:spacing w:before="0" w:after="0"/>
              <w:jc w:val="right"/>
              <w:rPr/>
            </w:pPr>
            <w:r>
              <w:rPr/>
              <w:drawing>
                <wp:inline distT="0" distB="63500" distL="0" distR="0">
                  <wp:extent cx="1143000" cy="495300"/>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1143000" cy="495300"/>
                          </a:xfrm>
                          <a:prstGeom prst="rect">
                            <a:avLst/>
                          </a:prstGeom>
                        </pic:spPr>
                      </pic:pic>
                    </a:graphicData>
                  </a:graphic>
                </wp:inline>
              </w:drawing>
            </w:r>
          </w:p>
        </w:tc>
      </w:tr>
      <w:tr>
        <w:trPr/>
        <w:tc>
          <w:tcPr>
            <w:tcW w:w="5939"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2</w:t>
            </w:r>
          </w:p>
        </w:tc>
        <w:tc>
          <w:tcPr>
            <w:tcW w:w="1931" w:type="dxa"/>
            <w:gridSpan w:val="9"/>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5939" w:type="dxa"/>
            <w:gridSpan w:val="21"/>
            <w:tcBorders>
              <w:bottom w:val="single" w:sz="8" w:space="0" w:color="004EA8"/>
            </w:tcBorders>
            <w:shd w:fill="auto"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color w:val="828282"/>
                <w:sz w:val="24"/>
              </w:rPr>
            </w:pPr>
            <w:r>
              <w:rPr>
                <w:rFonts w:ascii="Helvetica;sans-serif" w:hAnsi="Helvetica;sans-serif"/>
                <w:b/>
                <w:color w:val="828282"/>
                <w:sz w:val="24"/>
              </w:rPr>
              <w:t>Consolidated Statement of Cash Flows (Unaudited)</w:t>
            </w:r>
          </w:p>
        </w:tc>
        <w:tc>
          <w:tcPr>
            <w:tcW w:w="1931" w:type="dxa"/>
            <w:gridSpan w:val="9"/>
            <w:vMerge w:val="continue"/>
            <w:tcBorders>
              <w:bottom w:val="single" w:sz="8" w:space="0" w:color="004EA8"/>
            </w:tcBorders>
            <w:shd w:fill="auto" w:val="clear"/>
            <w:tcMar>
              <w:top w:w="0" w:type="dxa"/>
              <w:left w:w="0" w:type="dxa"/>
              <w:right w:w="0" w:type="dxa"/>
            </w:tcMar>
            <w:vAlign w:val="center"/>
          </w:tcPr>
          <w:p>
            <w:pPr>
              <w:pStyle w:val="Normal"/>
              <w:rPr/>
            </w:pPr>
            <w:r>
              <w:rPr/>
            </w:r>
          </w:p>
        </w:tc>
      </w:tr>
    </w:tbl>
    <w:tbl>
      <w:tblPr>
        <w:tblW w:w="9841" w:type="dxa"/>
        <w:jc w:val="left"/>
        <w:tblInd w:w="0" w:type="dxa"/>
        <w:tblCellMar>
          <w:top w:w="28" w:type="dxa"/>
          <w:left w:w="28" w:type="dxa"/>
          <w:bottom w:w="28" w:type="dxa"/>
          <w:right w:w="28" w:type="dxa"/>
        </w:tblCellMar>
      </w:tblPr>
      <w:tblGrid>
        <w:gridCol w:w="2636"/>
        <w:gridCol w:w="2319"/>
        <w:gridCol w:w="2335"/>
        <w:gridCol w:w="368"/>
        <w:gridCol w:w="368"/>
        <w:gridCol w:w="202"/>
        <w:gridCol w:w="202"/>
        <w:gridCol w:w="202"/>
        <w:gridCol w:w="202"/>
        <w:gridCol w:w="360"/>
        <w:gridCol w:w="361"/>
        <w:gridCol w:w="286"/>
      </w:tblGrid>
      <w:tr>
        <w:trPr/>
        <w:tc>
          <w:tcPr>
            <w:tcW w:w="2636" w:type="dxa"/>
            <w:tcBorders/>
            <w:shd w:fill="auto" w:val="clear"/>
            <w:vAlign w:val="center"/>
          </w:tcPr>
          <w:p>
            <w:pPr>
              <w:pStyle w:val="TableContents"/>
              <w:spacing w:before="0" w:after="283"/>
              <w:rPr>
                <w:sz w:val="4"/>
                <w:szCs w:val="4"/>
              </w:rPr>
            </w:pPr>
            <w:r>
              <w:rPr>
                <w:sz w:val="4"/>
                <w:szCs w:val="4"/>
              </w:rPr>
            </w:r>
          </w:p>
        </w:tc>
        <w:tc>
          <w:tcPr>
            <w:tcW w:w="2319" w:type="dxa"/>
            <w:tcBorders/>
            <w:shd w:fill="auto" w:val="clear"/>
            <w:vAlign w:val="center"/>
          </w:tcPr>
          <w:p>
            <w:pPr>
              <w:pStyle w:val="TableContents"/>
              <w:spacing w:before="0" w:after="283"/>
              <w:rPr>
                <w:sz w:val="4"/>
                <w:szCs w:val="4"/>
              </w:rPr>
            </w:pPr>
            <w:r>
              <w:rPr>
                <w:sz w:val="4"/>
                <w:szCs w:val="4"/>
              </w:rPr>
            </w:r>
          </w:p>
        </w:tc>
        <w:tc>
          <w:tcPr>
            <w:tcW w:w="2335"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25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March 31,</w:t>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2023</w:t>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2022</w:t>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OPERATING ACTIVITIES</w:t>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income</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$3,767</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$3,476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Adjustments to reconcile net income to net cash provided by operating activities:</w:t>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 and amortization</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3,777</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3,548 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Share-based compensation</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359</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376 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Noncash interest expense (income), net</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78</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93 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(gain) loss on investment activity and other</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(517)</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(113)</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82</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106 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Changes in operating assets and liabilities, net of effects of acquisitions and divestitures:</w:t>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and noncurrent receivables, net</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363</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(527)</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Film and television costs, net</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13</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363 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 and accrued expenses related to trade creditors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(651)</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314 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operating assets and liabilities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(43)</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(379)</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operating activities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7,228</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7,257 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INVESTING ACTIVITIES</w:t>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Capital expenditures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(2,664)</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(1,856)</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paid for intangible assets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(765)</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(641)</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Construction of Universal Beijing Resort</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(87)</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(147)</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sales of businesses and investments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343</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Purchases of investments </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(149)</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(48)</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(used in) investing activities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(3,370)</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(2,597)</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FINANCING ACTIVITIES</w:t>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(repayments of) short-term borrowings, net</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(660)</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borrowings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1,059</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117 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Repurchases and repayments of debt</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(49)</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(104)</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Repurchases of common stock under repurchase program and employee plans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(2,176)</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(3,223)</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Dividends paid</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(1,174)</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(1,166)</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vAlign w:val="center"/>
          </w:tcPr>
          <w:p>
            <w:pPr>
              <w:pStyle w:val="TableContents"/>
              <w:spacing w:before="0" w:after="283"/>
              <w:rPr>
                <w:sz w:val="4"/>
                <w:szCs w:val="4"/>
              </w:rPr>
            </w:pPr>
            <w:r>
              <w:rPr>
                <w:sz w:val="4"/>
                <w:szCs w:val="4"/>
              </w:rPr>
            </w:r>
          </w:p>
        </w:tc>
        <w:tc>
          <w:tcPr>
            <w:tcW w:w="938" w:type="dxa"/>
            <w:gridSpan w:val="3"/>
            <w:tcBorders/>
            <w:shd w:fill="auto" w:val="clear"/>
            <w:vAlign w:val="center"/>
          </w:tcPr>
          <w:p>
            <w:pPr>
              <w:pStyle w:val="TableContents"/>
              <w:spacing w:before="0" w:after="283"/>
              <w:rPr>
                <w:sz w:val="4"/>
                <w:szCs w:val="4"/>
              </w:rPr>
            </w:pPr>
            <w:r>
              <w:rPr>
                <w:sz w:val="4"/>
                <w:szCs w:val="4"/>
              </w:rPr>
            </w:r>
          </w:p>
        </w:tc>
        <w:tc>
          <w:tcPr>
            <w:tcW w:w="606" w:type="dxa"/>
            <w:gridSpan w:val="3"/>
            <w:tcBorders/>
            <w:shd w:fill="auto" w:val="clear"/>
            <w:vAlign w:val="center"/>
          </w:tcPr>
          <w:p>
            <w:pPr>
              <w:pStyle w:val="TableContents"/>
              <w:spacing w:before="0" w:after="283"/>
              <w:rPr>
                <w:sz w:val="4"/>
                <w:szCs w:val="4"/>
              </w:rPr>
            </w:pPr>
            <w:r>
              <w:rPr>
                <w:sz w:val="4"/>
                <w:szCs w:val="4"/>
              </w:rPr>
            </w:r>
          </w:p>
        </w:tc>
        <w:tc>
          <w:tcPr>
            <w:tcW w:w="1007" w:type="dxa"/>
            <w:gridSpan w:val="3"/>
            <w:tcBorders/>
            <w:shd w:fill="auto" w:val="cle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(82)</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(114)</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(used in) financing activities</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(3,082)</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(4,490)</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Impact of foreign currency on cash, cash equivalents and restricted cash</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20</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Increase (decrease) in cash, cash equivalents and restricted cash</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796</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135 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beginning of period</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4,782</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8,778 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cash equivalents and restricted cash, end of period</w:t>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$5,577</w:t>
            </w:r>
            <w:r>
              <w:rPr>
                <w:color w:val="000000"/>
              </w:rPr>
              <w:t>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$8,914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17" name="Frame14"/>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11</w:t>
                      </w:r>
                    </w:p>
                  </w:txbxContent>
                </v:textbox>
              </v:rect>
            </w:pict>
          </mc:Fallback>
        </mc:AlternateContent>
      </w:r>
    </w:p>
    <w:tbl>
      <w:tblPr>
        <w:tblW w:w="8062" w:type="dxa"/>
        <w:jc w:val="left"/>
        <w:tblInd w:w="0" w:type="dxa"/>
        <w:tblCellMar>
          <w:top w:w="28" w:type="dxa"/>
          <w:left w:w="28" w:type="dxa"/>
          <w:bottom w:w="28" w:type="dxa"/>
          <w:right w:w="28" w:type="dxa"/>
        </w:tblCellMar>
      </w:tblPr>
      <w:tblGrid>
        <w:gridCol w:w="331"/>
        <w:gridCol w:w="290"/>
        <w:gridCol w:w="290"/>
        <w:gridCol w:w="290"/>
        <w:gridCol w:w="290"/>
        <w:gridCol w:w="290"/>
        <w:gridCol w:w="290"/>
        <w:gridCol w:w="290"/>
        <w:gridCol w:w="290"/>
        <w:gridCol w:w="290"/>
        <w:gridCol w:w="290"/>
        <w:gridCol w:w="290"/>
        <w:gridCol w:w="290"/>
        <w:gridCol w:w="290"/>
        <w:gridCol w:w="290"/>
        <w:gridCol w:w="290"/>
        <w:gridCol w:w="290"/>
        <w:gridCol w:w="290"/>
        <w:gridCol w:w="290"/>
        <w:gridCol w:w="290"/>
        <w:gridCol w:w="290"/>
        <w:gridCol w:w="205"/>
        <w:gridCol w:w="205"/>
        <w:gridCol w:w="205"/>
        <w:gridCol w:w="205"/>
        <w:gridCol w:w="205"/>
        <w:gridCol w:w="205"/>
        <w:gridCol w:w="205"/>
        <w:gridCol w:w="205"/>
        <w:gridCol w:w="291"/>
      </w:tblGrid>
      <w:tr>
        <w:trPr/>
        <w:tc>
          <w:tcPr>
            <w:tcW w:w="331"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r>
      <w:tr>
        <w:trPr/>
        <w:tc>
          <w:tcPr>
            <w:tcW w:w="9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1" w:type="dxa"/>
            <w:gridSpan w:val="9"/>
            <w:vMerge w:val="restart"/>
            <w:tcBorders>
              <w:bottom w:val="single" w:sz="8" w:space="0" w:color="004EA8"/>
            </w:tcBorders>
            <w:shd w:fill="auto" w:val="clear"/>
            <w:tcMar>
              <w:top w:w="0" w:type="dxa"/>
              <w:left w:w="0" w:type="dxa"/>
              <w:right w:w="0" w:type="dxa"/>
            </w:tcMar>
            <w:vAlign w:val="center"/>
          </w:tcPr>
          <w:p>
            <w:pPr>
              <w:pStyle w:val="TableContents"/>
              <w:spacing w:before="0" w:after="0"/>
              <w:jc w:val="right"/>
              <w:rPr/>
            </w:pPr>
            <w:r>
              <w:rPr/>
              <w:drawing>
                <wp:inline distT="0" distB="63500" distL="0" distR="0">
                  <wp:extent cx="1143000" cy="495300"/>
                  <wp:effectExtent l="0" t="0" r="0" b="0"/>
                  <wp:docPr id="1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descr=""/>
                          <pic:cNvPicPr>
                            <a:picLocks noChangeAspect="1" noChangeArrowheads="1"/>
                          </pic:cNvPicPr>
                        </pic:nvPicPr>
                        <pic:blipFill>
                          <a:blip r:embed="rId5"/>
                          <a:stretch>
                            <a:fillRect/>
                          </a:stretch>
                        </pic:blipFill>
                        <pic:spPr bwMode="auto">
                          <a:xfrm>
                            <a:off x="0" y="0"/>
                            <a:ext cx="1143000" cy="495300"/>
                          </a:xfrm>
                          <a:prstGeom prst="rect">
                            <a:avLst/>
                          </a:prstGeom>
                        </pic:spPr>
                      </pic:pic>
                    </a:graphicData>
                  </a:graphic>
                </wp:inline>
              </w:drawing>
            </w:r>
          </w:p>
        </w:tc>
      </w:tr>
      <w:tr>
        <w:trPr/>
        <w:tc>
          <w:tcPr>
            <w:tcW w:w="6131"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3</w:t>
            </w:r>
          </w:p>
        </w:tc>
        <w:tc>
          <w:tcPr>
            <w:tcW w:w="1931" w:type="dxa"/>
            <w:gridSpan w:val="9"/>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6131" w:type="dxa"/>
            <w:gridSpan w:val="21"/>
            <w:tcBorders>
              <w:bottom w:val="single" w:sz="8" w:space="0" w:color="004EA8"/>
            </w:tcBorders>
            <w:shd w:fill="auto"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color w:val="828282"/>
                <w:sz w:val="24"/>
              </w:rPr>
            </w:pPr>
            <w:r>
              <w:rPr>
                <w:rFonts w:ascii="Helvetica;sans-serif" w:hAnsi="Helvetica;sans-serif"/>
                <w:b/>
                <w:color w:val="828282"/>
                <w:sz w:val="24"/>
              </w:rPr>
              <w:t>Condensed Consolidated Balance Sheet (Unaudited)</w:t>
            </w:r>
          </w:p>
        </w:tc>
        <w:tc>
          <w:tcPr>
            <w:tcW w:w="1931" w:type="dxa"/>
            <w:gridSpan w:val="9"/>
            <w:vMerge w:val="continue"/>
            <w:tcBorders>
              <w:bottom w:val="single" w:sz="8" w:space="0" w:color="004EA8"/>
            </w:tcBorders>
            <w:shd w:fill="auto" w:val="clear"/>
            <w:tcMar>
              <w:top w:w="0" w:type="dxa"/>
              <w:left w:w="0" w:type="dxa"/>
              <w:right w:w="0" w:type="dxa"/>
            </w:tcMar>
            <w:vAlign w:val="center"/>
          </w:tcPr>
          <w:p>
            <w:pPr>
              <w:pStyle w:val="Normal"/>
              <w:rPr/>
            </w:pPr>
            <w:r>
              <w:rPr/>
            </w:r>
          </w:p>
        </w:tc>
      </w:tr>
    </w:tbl>
    <w:tbl>
      <w:tblPr>
        <w:tblW w:w="8568" w:type="dxa"/>
        <w:jc w:val="left"/>
        <w:tblInd w:w="0" w:type="dxa"/>
        <w:tblCellMar>
          <w:top w:w="28" w:type="dxa"/>
          <w:left w:w="28" w:type="dxa"/>
          <w:bottom w:w="28" w:type="dxa"/>
          <w:right w:w="28" w:type="dxa"/>
        </w:tblCellMar>
      </w:tblPr>
      <w:tblGrid>
        <w:gridCol w:w="2368"/>
        <w:gridCol w:w="1564"/>
        <w:gridCol w:w="1574"/>
        <w:gridCol w:w="473"/>
        <w:gridCol w:w="473"/>
        <w:gridCol w:w="316"/>
        <w:gridCol w:w="109"/>
        <w:gridCol w:w="109"/>
        <w:gridCol w:w="109"/>
        <w:gridCol w:w="491"/>
        <w:gridCol w:w="440"/>
        <w:gridCol w:w="542"/>
      </w:tblGrid>
      <w:tr>
        <w:trPr/>
        <w:tc>
          <w:tcPr>
            <w:tcW w:w="2368" w:type="dxa"/>
            <w:tcBorders/>
            <w:shd w:fill="auto" w:val="clear"/>
            <w:vAlign w:val="center"/>
          </w:tcPr>
          <w:p>
            <w:pPr>
              <w:pStyle w:val="TableContents"/>
              <w:spacing w:before="0" w:after="283"/>
              <w:rPr>
                <w:sz w:val="4"/>
                <w:szCs w:val="4"/>
              </w:rPr>
            </w:pPr>
            <w:r>
              <w:rPr>
                <w:sz w:val="4"/>
                <w:szCs w:val="4"/>
              </w:rPr>
            </w:r>
          </w:p>
        </w:tc>
        <w:tc>
          <w:tcPr>
            <w:tcW w:w="1564" w:type="dxa"/>
            <w:tcBorders/>
            <w:shd w:fill="auto" w:val="clear"/>
            <w:vAlign w:val="center"/>
          </w:tcPr>
          <w:p>
            <w:pPr>
              <w:pStyle w:val="TableContents"/>
              <w:spacing w:before="0" w:after="283"/>
              <w:rPr>
                <w:sz w:val="4"/>
                <w:szCs w:val="4"/>
              </w:rPr>
            </w:pPr>
            <w:r>
              <w:rPr>
                <w:sz w:val="4"/>
                <w:szCs w:val="4"/>
              </w:rPr>
            </w:r>
          </w:p>
        </w:tc>
        <w:tc>
          <w:tcPr>
            <w:tcW w:w="1574"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December 31,</w:t>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2022</w:t>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ASSETS</w:t>
            </w:r>
          </w:p>
        </w:tc>
        <w:tc>
          <w:tcPr>
            <w:tcW w:w="12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Assets</w:t>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and cash equivalents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$5,535</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$4,749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Receivables, net</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12,287</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12,672 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current assets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4,555</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4,406 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current assets</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22,377</w:t>
            </w:r>
            <w:r>
              <w:rPr>
                <w:color w:val="000000"/>
              </w:rPr>
              <w:t>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21,826 </w:t>
            </w:r>
          </w:p>
        </w:tc>
        <w:tc>
          <w:tcPr>
            <w:tcW w:w="5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Film and television costs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12,612</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12,560 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7,834</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7,250 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Investment securing collateralized obligation</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464</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490 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Property and equipment, net</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56,279</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55,485 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Goodwill</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58,960</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58,494 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Franchise rights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59,365</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59,365 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intangible assets, net</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29,004</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29,308 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assets, net</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12,535</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12,497 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$259,429</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$257,275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vAlign w:val="center"/>
          </w:tcPr>
          <w:p>
            <w:pPr>
              <w:pStyle w:val="TableContents"/>
              <w:spacing w:before="0" w:after="283"/>
              <w:rPr>
                <w:sz w:val="4"/>
                <w:szCs w:val="4"/>
              </w:rPr>
            </w:pPr>
            <w:r>
              <w:rPr>
                <w:sz w:val="4"/>
                <w:szCs w:val="4"/>
              </w:rPr>
            </w:r>
          </w:p>
        </w:tc>
        <w:tc>
          <w:tcPr>
            <w:tcW w:w="12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3" w:type="dxa"/>
            <w:gridSpan w:val="3"/>
            <w:tcBorders/>
            <w:shd w:fill="auto" w:val="cle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LIABILITIES AND EQUITY</w:t>
            </w:r>
          </w:p>
        </w:tc>
        <w:tc>
          <w:tcPr>
            <w:tcW w:w="126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Liabilities</w:t>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 and accrued expenses related to trade creditors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$12,159</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$12,544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participations and residuals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1,641</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1,770 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revenue</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2,663</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2,380 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expenses and other current liabilities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9,648</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9,450 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Current portion of long-term debt</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1,130</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1,743 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Collateralized obligation</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5,173</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current liabilities</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32,415</w:t>
            </w:r>
            <w:r>
              <w:rPr>
                <w:color w:val="000000"/>
              </w:rPr>
              <w:t>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27,887 </w:t>
            </w:r>
          </w:p>
        </w:tc>
        <w:tc>
          <w:tcPr>
            <w:tcW w:w="5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Long-term debt, less current portion</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94,403</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93,068 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Collateralized obligation</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5,172 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Deferred income taxes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28,804</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28,714 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noncurrent liabilities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20,353</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20,395 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Redeemable noncontrolling interests </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422</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411 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Equity</w:t>
            </w:r>
          </w:p>
        </w:tc>
        <w:tc>
          <w:tcPr>
            <w:tcW w:w="12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Comcast Corporation shareholders' equity</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82,421</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80,943 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Noncontrolling interests</w:t>
            </w:r>
          </w:p>
        </w:tc>
        <w:tc>
          <w:tcPr>
            <w:tcW w:w="9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612</w:t>
            </w: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684 </w:t>
            </w:r>
          </w:p>
        </w:tc>
        <w:tc>
          <w:tcPr>
            <w:tcW w:w="54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equity</w:t>
            </w:r>
          </w:p>
        </w:tc>
        <w:tc>
          <w:tcPr>
            <w:tcW w:w="9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83,033</w:t>
            </w:r>
            <w:r>
              <w:rPr>
                <w:color w:val="000000"/>
              </w:rPr>
              <w:t> </w:t>
            </w:r>
          </w:p>
        </w:tc>
        <w:tc>
          <w:tcPr>
            <w:tcW w:w="31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81,627 </w:t>
            </w:r>
          </w:p>
        </w:tc>
        <w:tc>
          <w:tcPr>
            <w:tcW w:w="54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2"/>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pPr>
            <w:r>
              <w:rPr>
                <w:rFonts w:ascii="Helvetica;sans-serif" w:hAnsi="Helvetica;sans-serif"/>
                <w:b/>
                <w:color w:val="000000"/>
                <w:sz w:val="18"/>
              </w:rPr>
              <w:t>$259,429</w:t>
            </w:r>
            <w:r>
              <w:rPr>
                <w:color w:val="000000"/>
              </w:rPr>
              <w:t> </w:t>
            </w:r>
          </w:p>
        </w:tc>
        <w:tc>
          <w:tcPr>
            <w:tcW w:w="316"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$257,275 </w:t>
            </w:r>
          </w:p>
        </w:tc>
        <w:tc>
          <w:tcPr>
            <w:tcW w:w="542"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19" name="Frame15"/>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12</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2312"/>
        <w:gridCol w:w="2031"/>
        <w:gridCol w:w="2045"/>
        <w:gridCol w:w="109"/>
        <w:gridCol w:w="109"/>
        <w:gridCol w:w="109"/>
        <w:gridCol w:w="109"/>
        <w:gridCol w:w="109"/>
        <w:gridCol w:w="134"/>
        <w:gridCol w:w="134"/>
        <w:gridCol w:w="134"/>
        <w:gridCol w:w="134"/>
        <w:gridCol w:w="134"/>
        <w:gridCol w:w="134"/>
        <w:gridCol w:w="330"/>
        <w:gridCol w:w="331"/>
        <w:gridCol w:w="252"/>
        <w:gridCol w:w="205"/>
        <w:gridCol w:w="205"/>
        <w:gridCol w:w="205"/>
        <w:gridCol w:w="323"/>
        <w:gridCol w:w="323"/>
        <w:gridCol w:w="294"/>
      </w:tblGrid>
      <w:tr>
        <w:trPr/>
        <w:tc>
          <w:tcPr>
            <w:tcW w:w="2312" w:type="dxa"/>
            <w:tcBorders/>
            <w:shd w:fill="auto" w:val="clear"/>
            <w:vAlign w:val="center"/>
          </w:tcPr>
          <w:p>
            <w:pPr>
              <w:pStyle w:val="TableContents"/>
              <w:spacing w:before="0" w:after="283"/>
              <w:rPr>
                <w:sz w:val="4"/>
                <w:szCs w:val="4"/>
              </w:rPr>
            </w:pPr>
            <w:r>
              <w:rPr>
                <w:sz w:val="4"/>
                <w:szCs w:val="4"/>
              </w:rPr>
            </w:r>
          </w:p>
        </w:tc>
        <w:tc>
          <w:tcPr>
            <w:tcW w:w="2031" w:type="dxa"/>
            <w:tcBorders/>
            <w:shd w:fill="auto" w:val="clear"/>
            <w:vAlign w:val="center"/>
          </w:tcPr>
          <w:p>
            <w:pPr>
              <w:pStyle w:val="TableContents"/>
              <w:spacing w:before="0" w:after="283"/>
              <w:rPr>
                <w:sz w:val="4"/>
                <w:szCs w:val="4"/>
              </w:rPr>
            </w:pPr>
            <w:r>
              <w:rPr>
                <w:sz w:val="4"/>
                <w:szCs w:val="4"/>
              </w:rPr>
            </w:r>
          </w:p>
        </w:tc>
        <w:tc>
          <w:tcPr>
            <w:tcW w:w="20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2468" w:type="dxa"/>
            <w:gridSpan w:val="9"/>
            <w:vMerge w:val="restart"/>
            <w:tcBorders/>
            <w:shd w:fill="auto" w:val="clear"/>
            <w:tcMar>
              <w:top w:w="0" w:type="dxa"/>
              <w:left w:w="0" w:type="dxa"/>
              <w:bottom w:w="0" w:type="dxa"/>
              <w:right w:w="0" w:type="dxa"/>
            </w:tcMar>
            <w:vAlign w:val="center"/>
          </w:tcPr>
          <w:p>
            <w:pPr>
              <w:pStyle w:val="TableContents"/>
              <w:spacing w:before="0" w:after="0"/>
              <w:jc w:val="right"/>
              <w:rPr/>
            </w:pPr>
            <w:r>
              <w:rPr/>
              <w:drawing>
                <wp:inline distT="0" distB="63500" distL="0" distR="0">
                  <wp:extent cx="1143000" cy="485775"/>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1143000" cy="485775"/>
                          </a:xfrm>
                          <a:prstGeom prst="rect">
                            <a:avLst/>
                          </a:prstGeom>
                        </pic:spPr>
                      </pic:pic>
                    </a:graphicData>
                  </a:graphic>
                </wp:inline>
              </w:drawing>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2468"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6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2468"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 from Net Income Attributable to Comcast Corporation to Adjusted EBITDA (Unaudited)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134" w:type="dxa"/>
            <w:tcBorders/>
            <w:shd w:fill="auto" w:val="clear"/>
          </w:tcPr>
          <w:p>
            <w:pPr>
              <w:pStyle w:val="TableContents"/>
              <w:spacing w:before="0" w:after="283"/>
              <w:rPr>
                <w:sz w:val="4"/>
                <w:szCs w:val="4"/>
              </w:rPr>
            </w:pPr>
            <w:r>
              <w:rPr>
                <w:sz w:val="4"/>
                <w:szCs w:val="4"/>
              </w:rPr>
            </w:r>
          </w:p>
        </w:tc>
        <w:tc>
          <w:tcPr>
            <w:tcW w:w="2468" w:type="dxa"/>
            <w:gridSpan w:val="9"/>
            <w:vMerge w:val="continue"/>
            <w:tcBorders/>
            <w:shd w:fill="auto" w:val="clear"/>
            <w:tcMar>
              <w:top w:w="0" w:type="dxa"/>
              <w:left w:w="0" w:type="dxa"/>
              <w:bottom w:w="0" w:type="dxa"/>
              <w:right w:w="0" w:type="dxa"/>
            </w:tcMar>
            <w:vAlign w:val="center"/>
          </w:tcPr>
          <w:p>
            <w:pPr>
              <w:pStyle w:val="Normal"/>
              <w:rPr/>
            </w:pPr>
            <w:r>
              <w:rPr/>
            </w:r>
          </w:p>
        </w:tc>
      </w:tr>
      <w:tr>
        <w:trPr/>
        <w:tc>
          <w:tcPr>
            <w:tcW w:w="6388"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17" w:type="dxa"/>
            <w:gridSpan w:val="9"/>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555" w:type="dxa"/>
            <w:gridSpan w:val="6"/>
            <w:tcBorders/>
            <w:shd w:fill="auto" w:val="clea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17" w:type="dxa"/>
            <w:gridSpan w:val="9"/>
            <w:vMerge w:val="continue"/>
            <w:tcBorders/>
            <w:shd w:fill="auto" w:val="clear"/>
            <w:tcMar>
              <w:top w:w="0" w:type="dxa"/>
              <w:left w:w="0" w:type="dxa"/>
              <w:bottom w:w="0" w:type="dxa"/>
              <w:right w:w="0" w:type="dxa"/>
            </w:tcMar>
            <w:vAlign w:val="center"/>
          </w:tcPr>
          <w:p>
            <w:pPr>
              <w:pStyle w:val="Normal"/>
              <w:rPr/>
            </w:pPr>
            <w:r>
              <w:rPr/>
            </w:r>
          </w:p>
        </w:tc>
        <w:tc>
          <w:tcPr>
            <w:tcW w:w="1555" w:type="dxa"/>
            <w:gridSpan w:val="6"/>
            <w:tcBorders/>
            <w:shd w:fill="auto" w:val="clea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Net income attributable to Comcast Corporation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$3,834</w:t>
            </w:r>
            <w:r>
              <w:rPr>
                <w:color w:val="000000"/>
              </w:rPr>
              <w:t> </w:t>
            </w:r>
          </w:p>
        </w:tc>
        <w:tc>
          <w:tcPr>
            <w:tcW w:w="25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$3,549 </w:t>
            </w:r>
          </w:p>
        </w:tc>
        <w:tc>
          <w:tcPr>
            <w:tcW w:w="2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Net income (loss) attributable to noncontrolling interests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(67)</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Income tax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1,476</w:t>
            </w:r>
            <w:r>
              <w:rPr>
                <w:color w:val="000000"/>
              </w:rPr>
              <w:t>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1,288 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Interest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1,010</w:t>
            </w:r>
            <w:r>
              <w:rPr>
                <w:color w:val="000000"/>
              </w:rPr>
              <w:t>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993 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Investment and other (income) loss,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(607)</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(188)</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Depreciation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2,264</w:t>
            </w:r>
            <w:r>
              <w:rPr>
                <w:color w:val="000000"/>
              </w:rPr>
              <w:t>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2,213 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1,513</w:t>
            </w:r>
            <w:r>
              <w:rPr>
                <w:color w:val="000000"/>
              </w:rPr>
              <w:t>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1,335 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c>
          <w:tcPr>
            <w:tcW w:w="615"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 xml:space="preserve">Adjustments </w:t>
            </w:r>
            <w:r>
              <w:rPr>
                <w:rFonts w:ascii="Helvetica;sans-serif" w:hAnsi="Helvetica;sans-serif"/>
                <w:b w:val="false"/>
                <w:color w:val="000000"/>
                <w:sz w:val="10"/>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(8)</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33 </w:t>
            </w:r>
          </w:p>
        </w:tc>
        <w:tc>
          <w:tcPr>
            <w:tcW w:w="2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$9,415</w:t>
            </w:r>
            <w:r>
              <w:rPr>
                <w:color w:val="000000"/>
              </w:rPr>
              <w:t> </w:t>
            </w:r>
          </w:p>
        </w:tc>
        <w:tc>
          <w:tcPr>
            <w:tcW w:w="25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$9,150 </w:t>
            </w:r>
          </w:p>
        </w:tc>
        <w:tc>
          <w:tcPr>
            <w:tcW w:w="29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402"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653"/>
        <w:gridCol w:w="394"/>
        <w:gridCol w:w="394"/>
        <w:gridCol w:w="804"/>
        <w:gridCol w:w="767"/>
        <w:gridCol w:w="767"/>
        <w:gridCol w:w="767"/>
        <w:gridCol w:w="767"/>
        <w:gridCol w:w="767"/>
        <w:gridCol w:w="767"/>
        <w:gridCol w:w="814"/>
        <w:gridCol w:w="225"/>
        <w:gridCol w:w="225"/>
        <w:gridCol w:w="350"/>
        <w:gridCol w:w="326"/>
        <w:gridCol w:w="227"/>
        <w:gridCol w:w="109"/>
        <w:gridCol w:w="109"/>
        <w:gridCol w:w="109"/>
        <w:gridCol w:w="323"/>
        <w:gridCol w:w="323"/>
        <w:gridCol w:w="218"/>
      </w:tblGrid>
      <w:tr>
        <w:trPr/>
        <w:tc>
          <w:tcPr>
            <w:tcW w:w="653"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7661" w:type="dxa"/>
            <w:gridSpan w:val="11"/>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 from Net Cash Provided by Operating Activities to Free Cash Flow (Unaudited)</w:t>
            </w:r>
          </w:p>
        </w:tc>
        <w:tc>
          <w:tcPr>
            <w:tcW w:w="2544" w:type="dxa"/>
            <w:gridSpan w:val="11"/>
            <w:tcBorders/>
            <w:shd w:fill="auto" w:val="clear"/>
          </w:tcPr>
          <w:p>
            <w:pPr>
              <w:pStyle w:val="TableContents"/>
              <w:spacing w:before="0" w:after="283"/>
              <w:rPr>
                <w:sz w:val="4"/>
                <w:szCs w:val="4"/>
              </w:rPr>
            </w:pPr>
            <w:r>
              <w:rPr>
                <w:sz w:val="4"/>
                <w:szCs w:val="4"/>
              </w:rPr>
            </w:r>
          </w:p>
        </w:tc>
      </w:tr>
      <w:tr>
        <w:trPr/>
        <w:tc>
          <w:tcPr>
            <w:tcW w:w="1441"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1353" w:type="dxa"/>
            <w:gridSpan w:val="5"/>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191" w:type="dxa"/>
            <w:gridSpan w:val="6"/>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tcPr>
          <w:p>
            <w:pPr>
              <w:pStyle w:val="TableContents"/>
              <w:spacing w:before="0" w:after="283"/>
              <w:rPr>
                <w:sz w:val="4"/>
                <w:szCs w:val="4"/>
              </w:rPr>
            </w:pPr>
            <w:r>
              <w:rPr>
                <w:sz w:val="4"/>
                <w:szCs w:val="4"/>
              </w:rPr>
            </w:r>
          </w:p>
        </w:tc>
        <w:tc>
          <w:tcPr>
            <w:tcW w:w="767" w:type="dxa"/>
            <w:tcBorders/>
            <w:shd w:fill="auto" w:val="clear"/>
          </w:tcPr>
          <w:p>
            <w:pPr>
              <w:pStyle w:val="TableContents"/>
              <w:spacing w:before="0" w:after="283"/>
              <w:rPr>
                <w:sz w:val="4"/>
                <w:szCs w:val="4"/>
              </w:rPr>
            </w:pPr>
            <w:r>
              <w:rPr>
                <w:sz w:val="4"/>
                <w:szCs w:val="4"/>
              </w:rPr>
            </w:r>
          </w:p>
        </w:tc>
        <w:tc>
          <w:tcPr>
            <w:tcW w:w="814" w:type="dxa"/>
            <w:tcBorders/>
            <w:shd w:fill="auto" w:val="clear"/>
          </w:tcPr>
          <w:p>
            <w:pPr>
              <w:pStyle w:val="TableContents"/>
              <w:spacing w:before="0" w:after="283"/>
              <w:rPr>
                <w:sz w:val="4"/>
                <w:szCs w:val="4"/>
              </w:rPr>
            </w:pPr>
            <w:r>
              <w:rPr>
                <w:sz w:val="4"/>
                <w:szCs w:val="4"/>
              </w:rPr>
            </w:r>
          </w:p>
        </w:tc>
        <w:tc>
          <w:tcPr>
            <w:tcW w:w="1353" w:type="dxa"/>
            <w:gridSpan w:val="5"/>
            <w:vMerge w:val="continue"/>
            <w:tcBorders/>
            <w:shd w:fill="auto" w:val="clear"/>
            <w:tcMar>
              <w:top w:w="0" w:type="dxa"/>
              <w:left w:w="0" w:type="dxa"/>
              <w:bottom w:w="0" w:type="dxa"/>
              <w:right w:w="0" w:type="dxa"/>
            </w:tcMar>
            <w:vAlign w:val="center"/>
          </w:tcPr>
          <w:p>
            <w:pPr>
              <w:pStyle w:val="Normal"/>
              <w:rPr/>
            </w:pPr>
            <w:r>
              <w:rPr/>
            </w:r>
          </w:p>
        </w:tc>
        <w:tc>
          <w:tcPr>
            <w:tcW w:w="1191" w:type="dxa"/>
            <w:gridSpan w:val="6"/>
            <w:tcBorders/>
            <w:shd w:fill="auto" w:val="clea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 millions)</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Net cash provided by operating activities</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$7,228</w:t>
            </w:r>
            <w:r>
              <w:rPr>
                <w:color w:val="000000"/>
              </w:rPr>
              <w:t> </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$7,257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Capital expenditures</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(2,664)</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(1,856)</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paid for capitalized software and other intangible assets</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(765)</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(641)</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2338" w:type="dxa"/>
            <w:gridSpan w:val="3"/>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4" w:type="dxa"/>
            <w:gridSpan w:val="3"/>
            <w:tcBorders/>
            <w:shd w:fill="auto" w:val="clea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Free Cash Flow</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$3,800</w:t>
            </w:r>
            <w:r>
              <w:rPr>
                <w:color w:val="000000"/>
              </w:rPr>
              <w:t> </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$4,760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61" w:type="dxa"/>
            <w:gridSpan w:val="11"/>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0"/>
              </w:rPr>
            </w:pPr>
            <w:r>
              <w:rPr>
                <w:rFonts w:ascii="Helvetica;sans-serif" w:hAnsi="Helvetica;sans-serif"/>
                <w:b/>
                <w:color w:val="828282"/>
                <w:sz w:val="20"/>
              </w:rPr>
              <w:t>Alternate Presentation of Free Cash Flow (Unaudited)</w:t>
            </w:r>
          </w:p>
        </w:tc>
        <w:tc>
          <w:tcPr>
            <w:tcW w:w="2544" w:type="dxa"/>
            <w:gridSpan w:val="11"/>
            <w:tcBorders/>
            <w:shd w:fill="auto" w:val="clear"/>
          </w:tcPr>
          <w:p>
            <w:pPr>
              <w:pStyle w:val="TableContents"/>
              <w:spacing w:before="0" w:after="283"/>
              <w:rPr>
                <w:sz w:val="4"/>
                <w:szCs w:val="4"/>
              </w:rPr>
            </w:pPr>
            <w:r>
              <w:rPr>
                <w:sz w:val="4"/>
                <w:szCs w:val="4"/>
              </w:rPr>
            </w:r>
          </w:p>
        </w:tc>
      </w:tr>
      <w:tr>
        <w:trPr/>
        <w:tc>
          <w:tcPr>
            <w:tcW w:w="1441"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1353" w:type="dxa"/>
            <w:gridSpan w:val="5"/>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191" w:type="dxa"/>
            <w:gridSpan w:val="6"/>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tcPr>
          <w:p>
            <w:pPr>
              <w:pStyle w:val="TableContents"/>
              <w:spacing w:before="0" w:after="283"/>
              <w:rPr>
                <w:sz w:val="4"/>
                <w:szCs w:val="4"/>
              </w:rPr>
            </w:pPr>
            <w:r>
              <w:rPr>
                <w:sz w:val="4"/>
                <w:szCs w:val="4"/>
              </w:rPr>
            </w:r>
          </w:p>
        </w:tc>
        <w:tc>
          <w:tcPr>
            <w:tcW w:w="767" w:type="dxa"/>
            <w:tcBorders/>
            <w:shd w:fill="auto" w:val="clear"/>
          </w:tcPr>
          <w:p>
            <w:pPr>
              <w:pStyle w:val="TableContents"/>
              <w:spacing w:before="0" w:after="283"/>
              <w:rPr>
                <w:sz w:val="4"/>
                <w:szCs w:val="4"/>
              </w:rPr>
            </w:pPr>
            <w:r>
              <w:rPr>
                <w:sz w:val="4"/>
                <w:szCs w:val="4"/>
              </w:rPr>
            </w:r>
          </w:p>
        </w:tc>
        <w:tc>
          <w:tcPr>
            <w:tcW w:w="814" w:type="dxa"/>
            <w:tcBorders/>
            <w:shd w:fill="auto" w:val="clear"/>
          </w:tcPr>
          <w:p>
            <w:pPr>
              <w:pStyle w:val="TableContents"/>
              <w:spacing w:before="0" w:after="283"/>
              <w:rPr>
                <w:sz w:val="4"/>
                <w:szCs w:val="4"/>
              </w:rPr>
            </w:pPr>
            <w:r>
              <w:rPr>
                <w:sz w:val="4"/>
                <w:szCs w:val="4"/>
              </w:rPr>
            </w:r>
          </w:p>
        </w:tc>
        <w:tc>
          <w:tcPr>
            <w:tcW w:w="1353" w:type="dxa"/>
            <w:gridSpan w:val="5"/>
            <w:vMerge w:val="continue"/>
            <w:tcBorders/>
            <w:shd w:fill="auto" w:val="clear"/>
            <w:tcMar>
              <w:top w:w="0" w:type="dxa"/>
              <w:left w:w="0" w:type="dxa"/>
              <w:bottom w:w="0" w:type="dxa"/>
              <w:right w:w="0" w:type="dxa"/>
            </w:tcMar>
            <w:vAlign w:val="center"/>
          </w:tcPr>
          <w:p>
            <w:pPr>
              <w:pStyle w:val="Normal"/>
              <w:rPr/>
            </w:pPr>
            <w:r>
              <w:rPr/>
            </w:r>
          </w:p>
        </w:tc>
        <w:tc>
          <w:tcPr>
            <w:tcW w:w="1191" w:type="dxa"/>
            <w:gridSpan w:val="6"/>
            <w:tcBorders/>
            <w:shd w:fill="auto" w:val="clea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 millions)</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Adjusted EBITDA</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$9,415</w:t>
            </w:r>
            <w:r>
              <w:rPr>
                <w:color w:val="000000"/>
              </w:rPr>
              <w:t> </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$9,150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Capital expenditures</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(2,664)</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(1,856)</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paid for capitalized software and other intangible assets</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(765)</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(641)</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interest expense</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(766)</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(747)</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 xml:space="preserve">Cash taxes </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(148)</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Changes in operating assets and liabilities</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(1,731)</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(1,475)</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Noncash share-based compensation</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359</w:t>
            </w:r>
            <w:r>
              <w:rPr>
                <w:color w:val="000000"/>
              </w:rPr>
              <w:t>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376 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 xml:space="preserve">Other </w:t>
            </w:r>
            <w:r>
              <w:rPr>
                <w:rFonts w:ascii="Helvetica;sans-serif" w:hAnsi="Helvetica;sans-serif"/>
                <w:b w:val="false"/>
                <w:color w:val="000000"/>
                <w:sz w:val="10"/>
              </w:rPr>
              <w:t>(2)</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99</w:t>
            </w:r>
            <w:r>
              <w:rPr>
                <w:color w:val="000000"/>
              </w:rPr>
              <w:t> </w:t>
            </w:r>
          </w:p>
        </w:tc>
        <w:tc>
          <w:tcPr>
            <w:tcW w:w="22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42 </w:t>
            </w:r>
          </w:p>
        </w:tc>
        <w:tc>
          <w:tcPr>
            <w:tcW w:w="21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2338" w:type="dxa"/>
            <w:gridSpan w:val="3"/>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4" w:type="dxa"/>
            <w:gridSpan w:val="3"/>
            <w:tcBorders/>
            <w:shd w:fill="auto" w:val="clea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Free Cash Flow</w:t>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7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$3,800</w:t>
            </w:r>
            <w:r>
              <w:rPr>
                <w:color w:val="000000"/>
              </w:rPr>
              <w:t> </w:t>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$4,760 </w:t>
            </w:r>
          </w:p>
        </w:tc>
        <w:tc>
          <w:tcPr>
            <w:tcW w:w="21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(1)</w:t>
            </w:r>
          </w:p>
        </w:tc>
        <w:tc>
          <w:tcPr>
            <w:tcW w:w="6220" w:type="dxa"/>
            <w:gridSpan w:val="8"/>
            <w:tcBorders/>
            <w:shd w:fill="auto" w:val="clear"/>
            <w:tcMar>
              <w:top w:w="0" w:type="dxa"/>
              <w:left w:w="0" w:type="dxa"/>
              <w:bottom w:w="0" w:type="dxa"/>
              <w:right w:w="0" w:type="dxa"/>
            </w:tcMar>
            <w:vAlign w:val="center"/>
          </w:tcPr>
          <w:p>
            <w:pPr>
              <w:pStyle w:val="TableContents"/>
              <w:spacing w:lineRule="auto" w:line="240" w:before="0" w:after="0"/>
              <w:jc w:val="both"/>
              <w:rPr>
                <w:rFonts w:ascii="Helvetica;sans-serif" w:hAnsi="Helvetica;sans-serif"/>
                <w:b w:val="false"/>
                <w:color w:val="000000"/>
                <w:sz w:val="16"/>
              </w:rPr>
            </w:pPr>
            <w:r>
              <w:rPr>
                <w:rFonts w:ascii="Helvetica;sans-serif" w:hAnsi="Helvetica;sans-serif"/>
                <w:b w:val="false"/>
                <w:color w:val="000000"/>
                <w:sz w:val="16"/>
              </w:rPr>
              <w:t xml:space="preserve">1st quarter 2023 and 2022 Adjusted EBITDA excludes $(8) million and $33 million of other operating and administrative expenses, respectively, related to our investment portfolio. </w:t>
            </w:r>
          </w:p>
        </w:tc>
        <w:tc>
          <w:tcPr>
            <w:tcW w:w="2544" w:type="dxa"/>
            <w:gridSpan w:val="11"/>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2338" w:type="dxa"/>
            <w:gridSpan w:val="3"/>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4" w:type="dxa"/>
            <w:gridSpan w:val="3"/>
            <w:tcBorders/>
            <w:shd w:fill="auto" w:val="clear"/>
            <w:vAlign w:val="cente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2338" w:type="dxa"/>
            <w:gridSpan w:val="3"/>
            <w:tcBorders/>
            <w:shd w:fill="auto" w:val="clear"/>
            <w:vAlign w:val="center"/>
          </w:tcPr>
          <w:p>
            <w:pPr>
              <w:pStyle w:val="TableContents"/>
              <w:spacing w:before="0" w:after="283"/>
              <w:rPr>
                <w:sz w:val="4"/>
                <w:szCs w:val="4"/>
              </w:rPr>
            </w:pPr>
            <w:r>
              <w:rPr>
                <w:sz w:val="4"/>
                <w:szCs w:val="4"/>
              </w:rPr>
            </w:r>
          </w:p>
        </w:tc>
        <w:tc>
          <w:tcPr>
            <w:tcW w:w="6426" w:type="dxa"/>
            <w:gridSpan w:val="16"/>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0" w:type="dxa"/>
            <w:gridSpan w:val="8"/>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44" w:type="dxa"/>
            <w:gridSpan w:val="11"/>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2338" w:type="dxa"/>
            <w:gridSpan w:val="3"/>
            <w:tcBorders/>
            <w:shd w:fill="auto" w:val="clear"/>
            <w:vAlign w:val="center"/>
          </w:tcPr>
          <w:p>
            <w:pPr>
              <w:pStyle w:val="TableContents"/>
              <w:spacing w:before="0" w:after="283"/>
              <w:rPr>
                <w:sz w:val="4"/>
                <w:szCs w:val="4"/>
              </w:rPr>
            </w:pPr>
            <w:r>
              <w:rPr>
                <w:sz w:val="4"/>
                <w:szCs w:val="4"/>
              </w:rPr>
            </w:r>
          </w:p>
        </w:tc>
        <w:tc>
          <w:tcPr>
            <w:tcW w:w="6426" w:type="dxa"/>
            <w:gridSpan w:val="16"/>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vAlign w:val="center"/>
          </w:tcPr>
          <w:p>
            <w:pPr>
              <w:pStyle w:val="TableContents"/>
              <w:spacing w:before="0" w:after="283"/>
              <w:rPr>
                <w:sz w:val="4"/>
                <w:szCs w:val="4"/>
              </w:rPr>
            </w:pPr>
            <w:r>
              <w:rPr>
                <w:sz w:val="4"/>
                <w:szCs w:val="4"/>
              </w:rPr>
            </w:r>
          </w:p>
        </w:tc>
        <w:tc>
          <w:tcPr>
            <w:tcW w:w="2338" w:type="dxa"/>
            <w:gridSpan w:val="3"/>
            <w:tcBorders/>
            <w:shd w:fill="auto" w:val="clear"/>
            <w:vAlign w:val="center"/>
          </w:tcPr>
          <w:p>
            <w:pPr>
              <w:pStyle w:val="TableContents"/>
              <w:spacing w:before="0" w:after="283"/>
              <w:rPr>
                <w:sz w:val="4"/>
                <w:szCs w:val="4"/>
              </w:rPr>
            </w:pPr>
            <w:r>
              <w:rPr>
                <w:sz w:val="4"/>
                <w:szCs w:val="4"/>
              </w:rPr>
            </w:r>
          </w:p>
        </w:tc>
        <w:tc>
          <w:tcPr>
            <w:tcW w:w="6426" w:type="dxa"/>
            <w:gridSpan w:val="16"/>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2"/>
              </w:rPr>
            </w:pPr>
            <w:r>
              <w:rPr>
                <w:rFonts w:ascii="Helvetica;sans-serif" w:hAnsi="Helvetica;sans-serif"/>
                <w:b w:val="false"/>
                <w:color w:val="000000"/>
                <w:sz w:val="12"/>
              </w:rPr>
              <w:t>(2)</w:t>
            </w:r>
          </w:p>
        </w:tc>
        <w:tc>
          <w:tcPr>
            <w:tcW w:w="6220" w:type="dxa"/>
            <w:gridSpan w:val="8"/>
            <w:tcBorders/>
            <w:shd w:fill="auto"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 xml:space="preserve">1st quarter 2023 and 2022 include decreases of $(8) million and $33 million, respectively, of costs related to our investment portfolio as these amounts are excluded from Adjusted EBITDA. </w:t>
            </w:r>
          </w:p>
        </w:tc>
        <w:tc>
          <w:tcPr>
            <w:tcW w:w="2544" w:type="dxa"/>
            <w:gridSpan w:val="11"/>
            <w:tcBorders/>
            <w:shd w:fill="auto" w:val="clear"/>
          </w:tcPr>
          <w:p>
            <w:pPr>
              <w:pStyle w:val="TableContents"/>
              <w:spacing w:before="0" w:after="283"/>
              <w:rPr>
                <w:sz w:val="4"/>
                <w:szCs w:val="4"/>
              </w:rPr>
            </w:pPr>
            <w:r>
              <w:rPr>
                <w:sz w:val="4"/>
                <w:szCs w:val="4"/>
              </w:rPr>
            </w:r>
          </w:p>
        </w:tc>
      </w:tr>
      <w:tr>
        <w:trPr/>
        <w:tc>
          <w:tcPr>
            <w:tcW w:w="1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7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2348" w:type="dxa"/>
            <w:gridSpan w:val="3"/>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1" name="Frame16"/>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13</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1335"/>
        <w:gridCol w:w="1159"/>
        <w:gridCol w:w="1161"/>
        <w:gridCol w:w="256"/>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218"/>
        <w:gridCol w:w="218"/>
        <w:gridCol w:w="325"/>
        <w:gridCol w:w="109"/>
        <w:gridCol w:w="109"/>
        <w:gridCol w:w="109"/>
        <w:gridCol w:w="233"/>
        <w:gridCol w:w="233"/>
        <w:gridCol w:w="283"/>
        <w:gridCol w:w="120"/>
        <w:gridCol w:w="120"/>
        <w:gridCol w:w="120"/>
        <w:gridCol w:w="200"/>
        <w:gridCol w:w="200"/>
        <w:gridCol w:w="201"/>
        <w:gridCol w:w="120"/>
        <w:gridCol w:w="120"/>
        <w:gridCol w:w="120"/>
        <w:gridCol w:w="247"/>
        <w:gridCol w:w="248"/>
        <w:gridCol w:w="243"/>
      </w:tblGrid>
      <w:tr>
        <w:trPr/>
        <w:tc>
          <w:tcPr>
            <w:tcW w:w="1335"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15"/>
            <w:vMerge w:val="restart"/>
            <w:tcBorders>
              <w:bottom w:val="single" w:sz="8" w:space="0" w:color="004EA8"/>
            </w:tcBorders>
            <w:shd w:fill="auto" w:val="clear"/>
            <w:tcMar>
              <w:top w:w="0" w:type="dxa"/>
              <w:left w:w="0" w:type="dxa"/>
              <w:right w:w="0" w:type="dxa"/>
            </w:tcMar>
            <w:vAlign w:val="center"/>
          </w:tcPr>
          <w:p>
            <w:pPr>
              <w:pStyle w:val="TableContents"/>
              <w:spacing w:before="0" w:after="0"/>
              <w:jc w:val="center"/>
              <w:rPr/>
            </w:pPr>
            <w:r>
              <w:rPr/>
              <w:drawing>
                <wp:inline distT="0" distB="63500" distL="0" distR="0">
                  <wp:extent cx="1200150" cy="51435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1200150" cy="514350"/>
                          </a:xfrm>
                          <a:prstGeom prst="rect">
                            <a:avLst/>
                          </a:prstGeom>
                        </pic:spPr>
                      </pic:pic>
                    </a:graphicData>
                  </a:graphic>
                </wp:inline>
              </w:drawing>
            </w:r>
          </w:p>
        </w:tc>
      </w:tr>
      <w:tr>
        <w:trPr/>
        <w:tc>
          <w:tcPr>
            <w:tcW w:w="3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5</w:t>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15"/>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15"/>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15"/>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3911" w:type="dxa"/>
            <w:gridSpan w:val="4"/>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0"/>
              </w:rPr>
            </w:pPr>
            <w:r>
              <w:rPr>
                <w:rFonts w:ascii="Helvetica;sans-serif" w:hAnsi="Helvetica;sans-serif"/>
                <w:b/>
                <w:color w:val="828282"/>
                <w:sz w:val="20"/>
              </w:rPr>
              <w:t>Reconciliations of Adjusted Net Income and Adjusted EPS (Unaudited)</w:t>
            </w:r>
          </w:p>
        </w:tc>
        <w:tc>
          <w:tcPr>
            <w:tcW w:w="109" w:type="dxa"/>
            <w:tcBorders>
              <w:bottom w:val="single" w:sz="8" w:space="0" w:color="004EA8"/>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218" w:type="dxa"/>
            <w:tcBorders/>
            <w:shd w:fill="auto" w:val="clear"/>
          </w:tcPr>
          <w:p>
            <w:pPr>
              <w:pStyle w:val="TableContents"/>
              <w:spacing w:before="0" w:after="283"/>
              <w:rPr>
                <w:sz w:val="4"/>
                <w:szCs w:val="4"/>
              </w:rPr>
            </w:pPr>
            <w:r>
              <w:rPr>
                <w:sz w:val="4"/>
                <w:szCs w:val="4"/>
              </w:rPr>
            </w:r>
          </w:p>
        </w:tc>
        <w:tc>
          <w:tcPr>
            <w:tcW w:w="218" w:type="dxa"/>
            <w:tcBorders/>
            <w:shd w:fill="auto" w:val="clear"/>
          </w:tcPr>
          <w:p>
            <w:pPr>
              <w:pStyle w:val="TableContents"/>
              <w:spacing w:before="0" w:after="283"/>
              <w:rPr>
                <w:sz w:val="4"/>
                <w:szCs w:val="4"/>
              </w:rPr>
            </w:pPr>
            <w:r>
              <w:rPr>
                <w:sz w:val="4"/>
                <w:szCs w:val="4"/>
              </w:rPr>
            </w:r>
          </w:p>
        </w:tc>
        <w:tc>
          <w:tcPr>
            <w:tcW w:w="325"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2808" w:type="dxa"/>
            <w:gridSpan w:val="15"/>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3655" w:type="dxa"/>
            <w:gridSpan w:val="3"/>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23" w:type="dxa"/>
            <w:gridSpan w:val="21"/>
            <w:tcBorders>
              <w:top w:val="single" w:sz="8" w:space="0" w:color="004EA8"/>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35" w:type="dxa"/>
            <w:gridSpan w:val="18"/>
            <w:tcBorders/>
            <w:shd w:fill="auto" w:val="clea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723" w:type="dxa"/>
            <w:gridSpan w:val="21"/>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135" w:type="dxa"/>
            <w:gridSpan w:val="18"/>
            <w:tcBorders/>
            <w:shd w:fill="auto" w:val="clea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2723" w:type="dxa"/>
            <w:gridSpan w:val="21"/>
            <w:vMerge w:val="continue"/>
            <w:tcBorders/>
            <w:shd w:fill="auto" w:val="clear"/>
            <w:tcMar>
              <w:top w:w="0" w:type="dxa"/>
              <w:left w:w="0" w:type="dxa"/>
              <w:bottom w:w="0" w:type="dxa"/>
              <w:right w:w="0" w:type="dxa"/>
            </w:tcMar>
            <w:vAlign w:val="center"/>
          </w:tcPr>
          <w:p>
            <w:pPr>
              <w:pStyle w:val="Normal"/>
              <w:rPr/>
            </w:pPr>
            <w:r>
              <w:rPr/>
            </w:r>
          </w:p>
        </w:tc>
        <w:tc>
          <w:tcPr>
            <w:tcW w:w="3135" w:type="dxa"/>
            <w:gridSpan w:val="18"/>
            <w:tcBorders/>
            <w:shd w:fill="auto" w:val="clea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3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2022</w:t>
            </w:r>
          </w:p>
        </w:tc>
        <w:tc>
          <w:tcPr>
            <w:tcW w:w="2059" w:type="dxa"/>
            <w:gridSpan w:val="12"/>
            <w:tcBorders/>
            <w:shd w:fill="auto" w:val="clea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 millions, except per share data)</w:t>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EPS</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EPS</w:t>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Net income attributable to Comcast Corporation and diluted earnings per share attributable to Comcast Corporation shareholders</w:t>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$3,834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$0.91</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$3,549</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$0.78</w:t>
            </w:r>
          </w:p>
        </w:tc>
      </w:tr>
      <w:tr>
        <w:trPr/>
        <w:tc>
          <w:tcPr>
            <w:tcW w:w="3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 xml:space="preserve">Change </w:t>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8.0 </w:t>
            </w:r>
          </w:p>
        </w:tc>
        <w:tc>
          <w:tcPr>
            <w:tcW w:w="325"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16.7 </w:t>
            </w:r>
          </w:p>
        </w:tc>
        <w:tc>
          <w:tcPr>
            <w:tcW w:w="283"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 xml:space="preserve">Amortization of acquisition-related intangible assets </w:t>
            </w:r>
            <w:r>
              <w:rPr>
                <w:rFonts w:ascii="Helvetica;sans-serif" w:hAnsi="Helvetica;sans-serif"/>
                <w:b w:val="false"/>
                <w:color w:val="000000"/>
                <w:sz w:val="10"/>
              </w:rPr>
              <w:t>(1)</w:t>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0.10</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481</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0.11 </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16"/>
              </w:rPr>
              <w:t xml:space="preserve">Investments </w:t>
            </w:r>
            <w:r>
              <w:rPr>
                <w:rFonts w:ascii="Helvetica;sans-serif" w:hAnsi="Helvetica;sans-serif"/>
                <w:b w:val="false"/>
                <w:color w:val="000000"/>
                <w:sz w:val="10"/>
              </w:rPr>
              <w:t>(2)</w:t>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(0.09)</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(130)</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(0.03)</w:t>
            </w:r>
          </w:p>
        </w:tc>
        <w:tc>
          <w:tcPr>
            <w:tcW w:w="24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5" w:type="dxa"/>
            <w:gridSpan w:val="3"/>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8" w:type="dxa"/>
            <w:gridSpan w:val="3"/>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8" w:type="dxa"/>
            <w:gridSpan w:val="3"/>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8" w:type="dxa"/>
            <w:gridSpan w:val="3"/>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8" w:type="dxa"/>
            <w:gridSpan w:val="3"/>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8" w:type="dxa"/>
            <w:gridSpan w:val="3"/>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8" w:type="dxa"/>
            <w:gridSpan w:val="3"/>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8" w:type="dxa"/>
            <w:gridSpan w:val="3"/>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49"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601" w:type="dxa"/>
            <w:gridSpan w:val="3"/>
            <w:tcBorders/>
            <w:shd w:fill="auto" w:val="clear"/>
            <w:vAlign w:val="center"/>
          </w:tcPr>
          <w:p>
            <w:pPr>
              <w:pStyle w:val="TableContents"/>
              <w:spacing w:before="0" w:after="283"/>
              <w:rPr>
                <w:sz w:val="4"/>
                <w:szCs w:val="4"/>
              </w:rPr>
            </w:pPr>
            <w:r>
              <w:rPr>
                <w:sz w:val="4"/>
                <w:szCs w:val="4"/>
              </w:rPr>
            </w:r>
          </w:p>
        </w:tc>
        <w:tc>
          <w:tcPr>
            <w:tcW w:w="360" w:type="dxa"/>
            <w:gridSpan w:val="3"/>
            <w:tcBorders/>
            <w:shd w:fill="auto" w:val="clear"/>
            <w:vAlign w:val="center"/>
          </w:tcPr>
          <w:p>
            <w:pPr>
              <w:pStyle w:val="TableContents"/>
              <w:spacing w:before="0" w:after="283"/>
              <w:rPr>
                <w:sz w:val="4"/>
                <w:szCs w:val="4"/>
              </w:rPr>
            </w:pPr>
            <w:r>
              <w:rPr>
                <w:sz w:val="4"/>
                <w:szCs w:val="4"/>
              </w:rPr>
            </w:r>
          </w:p>
        </w:tc>
        <w:tc>
          <w:tcPr>
            <w:tcW w:w="738" w:type="dxa"/>
            <w:gridSpan w:val="3"/>
            <w:tcBorders/>
            <w:shd w:fill="auto" w:val="cle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color w:val="000000"/>
                <w:sz w:val="16"/>
              </w:rPr>
            </w:pPr>
            <w:r>
              <w:rPr>
                <w:rFonts w:ascii="Helvetica;sans-serif" w:hAnsi="Helvetica;sans-serif"/>
                <w:b/>
                <w:color w:val="000000"/>
                <w:sz w:val="16"/>
              </w:rPr>
              <w:t>Adjusted Net income and Adjusted EPS</w:t>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$3,877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$0.92</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$3,900</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$0.86</w:t>
            </w:r>
          </w:p>
        </w:tc>
      </w:tr>
      <w:tr>
        <w:trPr/>
        <w:tc>
          <w:tcPr>
            <w:tcW w:w="3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 xml:space="preserve">Change </w:t>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36"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(0.6 </w:t>
            </w:r>
          </w:p>
        </w:tc>
        <w:tc>
          <w:tcPr>
            <w:tcW w:w="325"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i/>
                <w:color w:val="000000"/>
                <w:sz w:val="16"/>
              </w:rPr>
            </w:pPr>
            <w:r>
              <w:rPr>
                <w:rFonts w:ascii="Helvetica;sans-serif" w:hAnsi="Helvetica;sans-serif"/>
                <w:b w:val="false"/>
                <w:i/>
                <w:color w:val="000000"/>
                <w:sz w:val="16"/>
              </w:rPr>
              <w:t>7.0 </w:t>
            </w:r>
          </w:p>
        </w:tc>
        <w:tc>
          <w:tcPr>
            <w:tcW w:w="283" w:type="dxa"/>
            <w:tcBorders>
              <w:top w:val="doub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w:t>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ind w:left="0" w:right="0" w:hanging="270"/>
        <w:rPr/>
      </w:pPr>
      <w:r>
        <w:rPr>
          <w:rFonts w:ascii="Helvetica;sans-serif" w:hAnsi="Helvetica;sans-serif"/>
          <w:b w:val="false"/>
          <w:color w:val="000000"/>
          <w:sz w:val="14"/>
        </w:rPr>
        <w:t>(1)Acquisition-related intangible assets are recognized as a result of the application of Accounting Standards Codification Topic 805, </w:t>
      </w:r>
      <w:r>
        <w:rPr>
          <w:rFonts w:ascii="Helvetica;sans-serif" w:hAnsi="Helvetica;sans-serif"/>
          <w:b w:val="false"/>
          <w:i/>
          <w:color w:val="000000"/>
          <w:sz w:val="14"/>
        </w:rPr>
        <w:t>Business Combinations</w:t>
      </w:r>
      <w:r>
        <w:rPr>
          <w:color w:val="000000"/>
        </w:rPr>
        <w:t> </w:t>
      </w:r>
      <w:r>
        <w:rPr>
          <w:rFonts w:ascii="Helvetica;sans-serif" w:hAnsi="Helvetica;sans-serif"/>
          <w:b w:val="false"/>
          <w:color w:val="000000"/>
          <w:sz w:val="14"/>
        </w:rPr>
        <w:t>(such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w:t>
      </w:r>
    </w:p>
    <w:tbl>
      <w:tblPr>
        <w:tblW w:w="7103" w:type="dxa"/>
        <w:jc w:val="left"/>
        <w:tblInd w:w="0" w:type="dxa"/>
        <w:tblCellMar>
          <w:top w:w="28" w:type="dxa"/>
          <w:left w:w="28" w:type="dxa"/>
          <w:bottom w:w="28" w:type="dxa"/>
          <w:right w:w="28" w:type="dxa"/>
        </w:tblCellMar>
      </w:tblPr>
      <w:tblGrid>
        <w:gridCol w:w="1672"/>
        <w:gridCol w:w="1472"/>
        <w:gridCol w:w="1476"/>
        <w:gridCol w:w="109"/>
        <w:gridCol w:w="109"/>
        <w:gridCol w:w="109"/>
        <w:gridCol w:w="275"/>
        <w:gridCol w:w="275"/>
        <w:gridCol w:w="275"/>
        <w:gridCol w:w="275"/>
        <w:gridCol w:w="278"/>
        <w:gridCol w:w="109"/>
        <w:gridCol w:w="109"/>
        <w:gridCol w:w="109"/>
        <w:gridCol w:w="132"/>
        <w:gridCol w:w="132"/>
        <w:gridCol w:w="187"/>
      </w:tblGrid>
      <w:tr>
        <w:trPr/>
        <w:tc>
          <w:tcPr>
            <w:tcW w:w="1672"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Three Months Ended</w:t>
              <w:br/>
              <w:t>March 31,</w:t>
            </w:r>
          </w:p>
        </w:tc>
        <w:tc>
          <w:tcPr>
            <w:tcW w:w="778" w:type="dxa"/>
            <w:gridSpan w:val="6"/>
            <w:tcBorders/>
            <w:shd w:fill="auto" w:val="clear"/>
          </w:tcPr>
          <w:p>
            <w:pPr>
              <w:pStyle w:val="TableContents"/>
              <w:spacing w:before="0" w:after="283"/>
              <w:rPr>
                <w:sz w:val="4"/>
                <w:szCs w:val="4"/>
              </w:rPr>
            </w:pPr>
            <w:r>
              <w:rPr>
                <w:sz w:val="4"/>
                <w:szCs w:val="4"/>
              </w:rPr>
            </w:r>
          </w:p>
        </w:tc>
      </w:tr>
      <w:tr>
        <w:trPr/>
        <w:tc>
          <w:tcPr>
            <w:tcW w:w="46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2022</w:t>
            </w:r>
          </w:p>
        </w:tc>
      </w:tr>
      <w:tr>
        <w:trPr/>
        <w:tc>
          <w:tcPr>
            <w:tcW w:w="4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Amortization of acquisition-related intangible assets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$556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$592</w:t>
            </w:r>
          </w:p>
        </w:tc>
      </w:tr>
      <w:tr>
        <w:trPr/>
        <w:tc>
          <w:tcPr>
            <w:tcW w:w="4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Amortization of acquisition-related intangible assets,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28"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$481</w:t>
            </w:r>
          </w:p>
        </w:tc>
      </w:tr>
    </w:tbl>
    <w:p>
      <w:pPr>
        <w:pStyle w:val="TextBody"/>
        <w:spacing w:lineRule="auto" w:line="288" w:before="0" w:after="0"/>
        <w:ind w:left="0" w:right="0" w:hanging="270"/>
        <w:rPr>
          <w:rFonts w:ascii="Helvetica;sans-serif" w:hAnsi="Helvetica;sans-serif"/>
          <w:b w:val="false"/>
          <w:color w:val="000000"/>
          <w:sz w:val="14"/>
        </w:rPr>
      </w:pPr>
      <w:r>
        <w:rPr>
          <w:rFonts w:ascii="Helvetica;sans-serif" w:hAnsi="Helvetica;sans-serif"/>
          <w:b w:val="false"/>
          <w:color w:val="000000"/>
          <w:sz w:val="14"/>
        </w:rPr>
        <w:t xml:space="preserve">(2)Adjustments for investments include realized and unrealized (gains) losses on equity securities, net (as stated in Table 1), as well as the equity in net (income) losses of investees, net, for certain equity method investments, including Atairos and Hulu and costs related to our investment portfolio. </w:t>
      </w:r>
    </w:p>
    <w:p>
      <w:pPr>
        <w:pStyle w:val="TextBody"/>
        <w:spacing w:before="0" w:after="0"/>
        <w:ind w:left="0" w:right="0" w:firstLine="90"/>
        <w:rPr/>
      </w:pPr>
      <w:r>
        <w:rPr/>
      </w:r>
    </w:p>
    <w:tbl>
      <w:tblPr>
        <w:tblW w:w="6866" w:type="dxa"/>
        <w:jc w:val="left"/>
        <w:tblInd w:w="0" w:type="dxa"/>
        <w:tblCellMar>
          <w:top w:w="28" w:type="dxa"/>
          <w:left w:w="28" w:type="dxa"/>
          <w:bottom w:w="28" w:type="dxa"/>
          <w:right w:w="28" w:type="dxa"/>
        </w:tblCellMar>
      </w:tblPr>
      <w:tblGrid>
        <w:gridCol w:w="1464"/>
        <w:gridCol w:w="1290"/>
        <w:gridCol w:w="1295"/>
        <w:gridCol w:w="109"/>
        <w:gridCol w:w="109"/>
        <w:gridCol w:w="109"/>
        <w:gridCol w:w="275"/>
        <w:gridCol w:w="275"/>
        <w:gridCol w:w="275"/>
        <w:gridCol w:w="275"/>
        <w:gridCol w:w="278"/>
        <w:gridCol w:w="109"/>
        <w:gridCol w:w="109"/>
        <w:gridCol w:w="109"/>
        <w:gridCol w:w="247"/>
        <w:gridCol w:w="248"/>
        <w:gridCol w:w="136"/>
        <w:gridCol w:w="154"/>
      </w:tblGrid>
      <w:tr>
        <w:trPr/>
        <w:tc>
          <w:tcPr>
            <w:tcW w:w="1464"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8"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Three Months Ended</w:t>
              <w:b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5" w:type="dxa"/>
            <w:gridSpan w:val="4"/>
            <w:tcBorders/>
            <w:shd w:fill="auto" w:val="clea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2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4"/>
              </w:rPr>
            </w:pPr>
            <w:r>
              <w:rPr>
                <w:rFonts w:ascii="Helvetica;sans-serif" w:hAnsi="Helvetica;sans-serif"/>
                <w:b w:val="false"/>
                <w:color w:val="000000"/>
                <w:sz w:val="14"/>
              </w:rPr>
              <w:t>2022</w:t>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Realized and unrealized (gains) losses on equity securities,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$6 </w:t>
            </w:r>
          </w:p>
        </w:tc>
        <w:tc>
          <w:tcPr>
            <w:tcW w:w="2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($117)</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Equity in net (income) losses of investees, net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5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(521)</w:t>
            </w:r>
          </w:p>
        </w:tc>
        <w:tc>
          <w:tcPr>
            <w:tcW w:w="27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(55)</w:t>
            </w:r>
          </w:p>
        </w:tc>
        <w:tc>
          <w:tcPr>
            <w:tcW w:w="1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Investments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5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(515)</w:t>
            </w:r>
          </w:p>
        </w:tc>
        <w:tc>
          <w:tcPr>
            <w:tcW w:w="2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(172)</w:t>
            </w:r>
          </w:p>
        </w:tc>
        <w:tc>
          <w:tcPr>
            <w:tcW w:w="13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4"/>
              </w:rPr>
            </w:pPr>
            <w:r>
              <w:rPr>
                <w:rFonts w:ascii="Helvetica;sans-serif" w:hAnsi="Helvetica;sans-serif"/>
                <w:b w:val="false"/>
                <w:color w:val="000000"/>
                <w:sz w:val="14"/>
              </w:rPr>
              <w:t>Investments,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550" w:type="dxa"/>
            <w:gridSpan w:val="2"/>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($389)</w:t>
            </w:r>
          </w:p>
        </w:tc>
        <w:tc>
          <w:tcPr>
            <w:tcW w:w="278"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 w:type="dxa"/>
            <w:gridSpan w:val="2"/>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4"/>
              </w:rPr>
            </w:pPr>
            <w:r>
              <w:rPr>
                <w:rFonts w:ascii="Helvetica;sans-serif" w:hAnsi="Helvetica;sans-serif"/>
                <w:b w:val="false"/>
                <w:color w:val="000000"/>
                <w:sz w:val="14"/>
              </w:rPr>
              <w:t>($130)</w:t>
            </w:r>
          </w:p>
        </w:tc>
        <w:tc>
          <w:tcPr>
            <w:tcW w:w="136"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ind w:left="0" w:right="0" w:firstLine="90"/>
        <w:rPr/>
      </w:pPr>
      <w:r>
        <w:rPr/>
      </w:r>
    </w:p>
    <w:p>
      <w:pPr>
        <w:pStyle w:val="TextBody"/>
        <w:spacing w:before="0" w:after="0"/>
        <w:ind w:left="0" w:right="0" w:firstLine="90"/>
        <w:rPr/>
      </w:pPr>
      <w:r>
        <w:rPr/>
      </w:r>
    </w:p>
    <w:p>
      <w:pPr>
        <w:pStyle w:val="TextBody"/>
        <w:spacing w:before="0" w:after="0"/>
        <w:ind w:left="0" w:right="0" w:firstLine="90"/>
        <w:rPr/>
      </w:pPr>
      <w:r>
        <w:rPr/>
      </w:r>
    </w:p>
    <w:p>
      <w:pPr>
        <w:pStyle w:val="TextBody"/>
        <w:spacing w:before="0" w:after="0"/>
        <w:ind w:left="0" w:right="0" w:firstLine="90"/>
        <w:rPr/>
      </w:pPr>
      <w:r>
        <w:rPr/>
      </w:r>
    </w:p>
    <w:p>
      <w:pPr>
        <w:pStyle w:val="TextBody"/>
        <w:spacing w:before="0" w:after="0"/>
        <w:rPr/>
      </w:pPr>
      <w:r>
        <w:rPr/>
      </w:r>
    </w:p>
    <w:p>
      <w:pPr>
        <w:pStyle w:val="TextBody"/>
        <w:spacing w:before="0" w:after="120"/>
        <w:jc w:val="both"/>
        <w:rPr/>
      </w:pPr>
      <w:r>
        <w:rPr/>
      </w:r>
    </w:p>
    <w:p>
      <w:pPr>
        <w:pStyle w:val="TextBody"/>
        <w:spacing w:before="0" w:after="1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3" name="Frame17"/>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14</w:t>
                      </w:r>
                    </w:p>
                  </w:txbxContent>
                </v:textbox>
              </v:rect>
            </w:pict>
          </mc:Fallback>
        </mc:AlternateContent>
      </w:r>
    </w:p>
    <w:tbl>
      <w:tblPr>
        <w:tblW w:w="7467" w:type="dxa"/>
        <w:jc w:val="center"/>
        <w:tblInd w:w="0" w:type="dxa"/>
        <w:tblCellMar>
          <w:top w:w="28" w:type="dxa"/>
          <w:left w:w="28" w:type="dxa"/>
          <w:bottom w:w="28" w:type="dxa"/>
          <w:right w:w="28" w:type="dxa"/>
        </w:tblCellMar>
      </w:tblPr>
      <w:tblGrid>
        <w:gridCol w:w="281"/>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47"/>
        <w:gridCol w:w="238"/>
        <w:gridCol w:w="238"/>
        <w:gridCol w:w="238"/>
        <w:gridCol w:w="238"/>
        <w:gridCol w:w="238"/>
        <w:gridCol w:w="238"/>
        <w:gridCol w:w="238"/>
        <w:gridCol w:w="238"/>
        <w:gridCol w:w="342"/>
      </w:tblGrid>
      <w:tr>
        <w:trPr/>
        <w:tc>
          <w:tcPr>
            <w:tcW w:w="281"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r>
      <w:tr>
        <w:trPr/>
        <w:tc>
          <w:tcPr>
            <w:tcW w:w="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6" w:type="dxa"/>
            <w:gridSpan w:val="9"/>
            <w:vMerge w:val="restart"/>
            <w:tcBorders>
              <w:bottom w:val="single" w:sz="8" w:space="0" w:color="0066CC"/>
            </w:tcBorders>
            <w:shd w:fill="auto" w:val="clear"/>
            <w:tcMar>
              <w:top w:w="0" w:type="dxa"/>
              <w:left w:w="0" w:type="dxa"/>
              <w:right w:w="0" w:type="dxa"/>
            </w:tcMar>
            <w:vAlign w:val="center"/>
          </w:tcPr>
          <w:p>
            <w:pPr>
              <w:pStyle w:val="TableContents"/>
              <w:spacing w:before="0" w:after="0"/>
              <w:jc w:val="right"/>
              <w:rPr/>
            </w:pPr>
            <w:r>
              <w:rPr/>
              <w:drawing>
                <wp:inline distT="0" distB="63500" distL="0" distR="0">
                  <wp:extent cx="1343025" cy="581025"/>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8"/>
                          <a:stretch>
                            <a:fillRect/>
                          </a:stretch>
                        </pic:blipFill>
                        <pic:spPr bwMode="auto">
                          <a:xfrm>
                            <a:off x="0" y="0"/>
                            <a:ext cx="1343025" cy="581025"/>
                          </a:xfrm>
                          <a:prstGeom prst="rect">
                            <a:avLst/>
                          </a:prstGeom>
                        </pic:spPr>
                      </pic:pic>
                    </a:graphicData>
                  </a:graphic>
                </wp:inline>
              </w:drawing>
            </w:r>
          </w:p>
        </w:tc>
      </w:tr>
      <w:tr>
        <w:trPr/>
        <w:tc>
          <w:tcPr>
            <w:tcW w:w="5221"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6</w:t>
            </w:r>
          </w:p>
        </w:tc>
        <w:tc>
          <w:tcPr>
            <w:tcW w:w="2246" w:type="dxa"/>
            <w:gridSpan w:val="9"/>
            <w:vMerge w:val="continue"/>
            <w:tcBorders>
              <w:bottom w:val="single" w:sz="8" w:space="0" w:color="0066CC"/>
            </w:tcBorders>
            <w:shd w:fill="auto" w:val="clear"/>
            <w:tcMar>
              <w:top w:w="0" w:type="dxa"/>
              <w:left w:w="0" w:type="dxa"/>
              <w:right w:w="0" w:type="dxa"/>
            </w:tcMar>
            <w:vAlign w:val="center"/>
          </w:tcPr>
          <w:p>
            <w:pPr>
              <w:pStyle w:val="Normal"/>
              <w:rPr/>
            </w:pPr>
            <w:r>
              <w:rPr/>
            </w:r>
          </w:p>
        </w:tc>
      </w:tr>
      <w:tr>
        <w:trPr/>
        <w:tc>
          <w:tcPr>
            <w:tcW w:w="5221" w:type="dxa"/>
            <w:gridSpan w:val="21"/>
            <w:tcBorders>
              <w:bottom w:val="single" w:sz="8" w:space="0" w:color="0066CC"/>
            </w:tcBorders>
            <w:shd w:fill="auto"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color w:val="828282"/>
                <w:sz w:val="22"/>
              </w:rPr>
            </w:pPr>
            <w:r>
              <w:rPr>
                <w:rFonts w:ascii="Helvetica;sans-serif" w:hAnsi="Helvetica;sans-serif"/>
                <w:b/>
                <w:color w:val="828282"/>
                <w:sz w:val="22"/>
              </w:rPr>
              <w:t>Reconciliation of Constant Currency (Unaudited)</w:t>
            </w:r>
          </w:p>
        </w:tc>
        <w:tc>
          <w:tcPr>
            <w:tcW w:w="2246" w:type="dxa"/>
            <w:gridSpan w:val="9"/>
            <w:vMerge w:val="continue"/>
            <w:tcBorders>
              <w:bottom w:val="single" w:sz="8" w:space="0" w:color="0066CC"/>
            </w:tcBorders>
            <w:shd w:fill="auto" w:val="clear"/>
            <w:tcMar>
              <w:top w:w="0" w:type="dxa"/>
              <w:left w:w="0" w:type="dxa"/>
              <w:right w:w="0" w:type="dxa"/>
            </w:tcMar>
            <w:vAlign w:val="center"/>
          </w:tcPr>
          <w:p>
            <w:pPr>
              <w:pStyle w:val="Normal"/>
              <w:rPr/>
            </w:pPr>
            <w:r>
              <w:rPr/>
            </w:r>
          </w:p>
        </w:tc>
      </w:tr>
    </w:tbl>
    <w:tbl>
      <w:tblPr>
        <w:tblW w:w="10205" w:type="dxa"/>
        <w:jc w:val="center"/>
        <w:tblInd w:w="0" w:type="dxa"/>
        <w:tblCellMar>
          <w:top w:w="28" w:type="dxa"/>
          <w:left w:w="28" w:type="dxa"/>
          <w:bottom w:w="28" w:type="dxa"/>
          <w:right w:w="28" w:type="dxa"/>
        </w:tblCellMar>
      </w:tblPr>
      <w:tblGrid>
        <w:gridCol w:w="1689"/>
        <w:gridCol w:w="1143"/>
        <w:gridCol w:w="1150"/>
        <w:gridCol w:w="109"/>
        <w:gridCol w:w="109"/>
        <w:gridCol w:w="109"/>
        <w:gridCol w:w="109"/>
        <w:gridCol w:w="109"/>
        <w:gridCol w:w="162"/>
        <w:gridCol w:w="162"/>
        <w:gridCol w:w="162"/>
        <w:gridCol w:w="162"/>
        <w:gridCol w:w="262"/>
        <w:gridCol w:w="264"/>
        <w:gridCol w:w="526"/>
        <w:gridCol w:w="109"/>
        <w:gridCol w:w="109"/>
        <w:gridCol w:w="109"/>
        <w:gridCol w:w="530"/>
        <w:gridCol w:w="522"/>
        <w:gridCol w:w="524"/>
        <w:gridCol w:w="109"/>
        <w:gridCol w:w="109"/>
        <w:gridCol w:w="109"/>
        <w:gridCol w:w="418"/>
        <w:gridCol w:w="336"/>
        <w:gridCol w:w="994"/>
      </w:tblGrid>
      <w:tr>
        <w:trPr/>
        <w:tc>
          <w:tcPr>
            <w:tcW w:w="1689" w:type="dxa"/>
            <w:tcBorders/>
            <w:shd w:fill="auto" w:val="clear"/>
            <w:vAlign w:val="center"/>
          </w:tcPr>
          <w:p>
            <w:pPr>
              <w:pStyle w:val="TableContents"/>
              <w:spacing w:before="0" w:after="283"/>
              <w:rPr>
                <w:sz w:val="4"/>
                <w:szCs w:val="4"/>
              </w:rPr>
            </w:pPr>
            <w:r>
              <w:rPr>
                <w:sz w:val="4"/>
                <w:szCs w:val="4"/>
              </w:rPr>
            </w:r>
          </w:p>
        </w:tc>
        <w:tc>
          <w:tcPr>
            <w:tcW w:w="1143"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994" w:type="dxa"/>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7"/>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March 31, 2022</w:t>
            </w:r>
          </w:p>
        </w:tc>
        <w:tc>
          <w:tcPr>
            <w:tcW w:w="3978" w:type="dxa"/>
            <w:gridSpan w:val="12"/>
            <w:tcBorders/>
            <w:shd w:fill="auto" w:val="clea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00" w:type="dxa"/>
            <w:gridSpan w:val="7"/>
            <w:vMerge w:val="continue"/>
            <w:tcBorders/>
            <w:shd w:fill="auto" w:val="clear"/>
            <w:tcMar>
              <w:top w:w="0" w:type="dxa"/>
              <w:left w:w="0" w:type="dxa"/>
              <w:bottom w:w="0" w:type="dxa"/>
              <w:right w:w="0" w:type="dxa"/>
            </w:tcMar>
            <w:vAlign w:val="center"/>
          </w:tcPr>
          <w:p>
            <w:pPr>
              <w:pStyle w:val="Normal"/>
              <w:rPr/>
            </w:pPr>
            <w:r>
              <w:rPr/>
            </w:r>
          </w:p>
        </w:tc>
        <w:tc>
          <w:tcPr>
            <w:tcW w:w="3978" w:type="dxa"/>
            <w:gridSpan w:val="12"/>
            <w:tcBorders/>
            <w:shd w:fill="auto" w:val="clea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 except per customer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Reconciliation of Connectivity &amp; Platforms Constant Currency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&amp; Platforms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$18,340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($347)</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$17,993</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Business Services Connectivity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2,172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2,171</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$20,512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($349)</w:t>
            </w:r>
          </w:p>
        </w:tc>
        <w:tc>
          <w:tcPr>
            <w:tcW w:w="5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$20,163</w:t>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and Platforms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$6,553</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Business Services Connectivity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1 </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1,234</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$7,844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($57)</w:t>
            </w:r>
          </w:p>
        </w:tc>
        <w:tc>
          <w:tcPr>
            <w:tcW w:w="5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$7,787</w:t>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Connectivity &amp; Platforms Adjusted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Residential Connectivity &amp; Platforms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36.0 </w:t>
            </w:r>
          </w:p>
        </w:tc>
        <w:tc>
          <w:tcPr>
            <w:tcW w:w="5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 bps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36.4 </w:t>
            </w:r>
          </w:p>
        </w:tc>
        <w:tc>
          <w:tcPr>
            <w:tcW w:w="9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Business Services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56.8 </w:t>
            </w:r>
          </w:p>
        </w:tc>
        <w:tc>
          <w:tcPr>
            <w:tcW w:w="52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56.8 </w:t>
            </w:r>
          </w:p>
        </w:tc>
        <w:tc>
          <w:tcPr>
            <w:tcW w:w="99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Connectivity &amp; Platforms Adjusted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2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38.2</w:t>
            </w:r>
            <w:r>
              <w:rPr>
                <w:color w:val="000000"/>
              </w:rPr>
              <w:t> </w:t>
            </w:r>
          </w:p>
        </w:tc>
        <w:tc>
          <w:tcPr>
            <w:tcW w:w="52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40 bps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38.6</w:t>
            </w:r>
            <w:r>
              <w:rPr>
                <w:color w:val="000000"/>
              </w:rPr>
              <w:t> </w:t>
            </w:r>
          </w:p>
        </w:tc>
        <w:tc>
          <w:tcPr>
            <w:tcW w:w="99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w:t>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030" w:type="dxa"/>
            <w:gridSpan w:val="15"/>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March 31, 2022</w:t>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030" w:type="dxa"/>
            <w:gridSpan w:val="15"/>
            <w:vMerge w:val="continue"/>
            <w:tcBorders/>
            <w:shd w:fill="auto" w:val="clear"/>
            <w:tcMar>
              <w:top w:w="0" w:type="dxa"/>
              <w:left w:w="0" w:type="dxa"/>
              <w:bottom w:w="0" w:type="dxa"/>
              <w:right w:w="0" w:type="dxa"/>
            </w:tcMar>
            <w:vAlign w:val="center"/>
          </w:tcPr>
          <w:p>
            <w:pPr>
              <w:pStyle w:val="Normal"/>
              <w:rPr/>
            </w:pPr>
            <w:r>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 except per customer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As Reported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Effects of Foreign 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Constant Currency Amounts</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Reconciliation of Residential Connectivity &amp; Platforms Constant Currency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broadband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$6,050</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Domestic wireless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677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677</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International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(78)</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762</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Total residential connectivity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$7,568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($78)</w:t>
            </w:r>
          </w:p>
        </w:tc>
        <w:tc>
          <w:tcPr>
            <w:tcW w:w="5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$7,489</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Video</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8,002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(191)</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7,811</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Advertising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1,073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(35)</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1,038</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1,698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1,655</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$18,340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($347)</w:t>
            </w:r>
          </w:p>
        </w:tc>
        <w:tc>
          <w:tcPr>
            <w:tcW w:w="5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$17,993</w:t>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Programming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$4,884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($103)</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$4,781</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Non-Programming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(187)</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6,659</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$11,729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($289)</w:t>
            </w:r>
          </w:p>
        </w:tc>
        <w:tc>
          <w:tcPr>
            <w:tcW w:w="52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$11,440</w:t>
            </w:r>
          </w:p>
        </w:tc>
      </w:tr>
      <w:tr>
        <w:trPr/>
        <w:tc>
          <w:tcPr>
            <w:tcW w:w="39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$6,611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($58)</w:t>
            </w:r>
          </w:p>
        </w:tc>
        <w:tc>
          <w:tcPr>
            <w:tcW w:w="52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$6,553</w:t>
            </w:r>
          </w:p>
        </w:tc>
      </w:tr>
      <w:tr>
        <w:trPr/>
        <w:tc>
          <w:tcPr>
            <w:tcW w:w="39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8"/>
              </w:rPr>
            </w:pPr>
            <w:r>
              <w:rPr>
                <w:rFonts w:ascii="Helvetica;sans-serif" w:hAnsi="Helvetica;sans-serif"/>
                <w:b w:val="false"/>
                <w:i/>
                <w:color w:val="000000"/>
                <w:sz w:val="18"/>
              </w:rPr>
              <w:t>Adjusted EBITDA Margin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5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36.0</w:t>
            </w:r>
            <w:r>
              <w:rPr>
                <w:color w:val="000000"/>
              </w:rPr>
              <w:t> </w:t>
            </w:r>
          </w:p>
        </w:tc>
        <w:tc>
          <w:tcPr>
            <w:tcW w:w="5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40 bps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36.4</w:t>
            </w:r>
            <w:r>
              <w:rPr>
                <w:color w:val="000000"/>
              </w:rPr>
              <w:t> </w:t>
            </w:r>
          </w:p>
        </w:tc>
        <w:tc>
          <w:tcPr>
            <w:tcW w:w="994"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8"/>
              </w:rPr>
            </w:pPr>
            <w:r>
              <w:rPr>
                <w:rFonts w:ascii="Helvetica;sans-serif" w:hAnsi="Helvetica;sans-serif"/>
                <w:b/>
                <w:color w:val="000000"/>
                <w:sz w:val="18"/>
              </w:rPr>
              <w:t>%</w:t>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r>
        <w:trPr/>
        <w:tc>
          <w:tcPr>
            <w:tcW w:w="398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18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5" name="Frame18"/>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15</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442"/>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389"/>
        <w:gridCol w:w="209"/>
        <w:gridCol w:w="209"/>
        <w:gridCol w:w="209"/>
        <w:gridCol w:w="209"/>
        <w:gridCol w:w="209"/>
        <w:gridCol w:w="209"/>
        <w:gridCol w:w="209"/>
        <w:gridCol w:w="209"/>
        <w:gridCol w:w="311"/>
      </w:tblGrid>
      <w:tr>
        <w:trPr/>
        <w:tc>
          <w:tcPr>
            <w:tcW w:w="442"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12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9"/>
            <w:vMerge w:val="restart"/>
            <w:tcBorders>
              <w:bottom w:val="single" w:sz="8" w:space="0" w:color="004EA8"/>
            </w:tcBorders>
            <w:shd w:fill="auto" w:val="clear"/>
            <w:tcMar>
              <w:top w:w="0" w:type="dxa"/>
              <w:left w:w="0" w:type="dxa"/>
              <w:right w:w="0" w:type="dxa"/>
            </w:tcMar>
            <w:vAlign w:val="center"/>
          </w:tcPr>
          <w:p>
            <w:pPr>
              <w:pStyle w:val="TableContents"/>
              <w:spacing w:before="0" w:after="0"/>
              <w:jc w:val="center"/>
              <w:rPr/>
            </w:pPr>
            <w:r>
              <w:rPr/>
              <w:drawing>
                <wp:inline distT="0" distB="63500" distL="0" distR="0">
                  <wp:extent cx="1171575" cy="504825"/>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9"/>
                          <a:stretch>
                            <a:fillRect/>
                          </a:stretch>
                        </pic:blipFill>
                        <pic:spPr bwMode="auto">
                          <a:xfrm>
                            <a:off x="0" y="0"/>
                            <a:ext cx="1171575" cy="504825"/>
                          </a:xfrm>
                          <a:prstGeom prst="rect">
                            <a:avLst/>
                          </a:prstGeom>
                        </pic:spPr>
                      </pic:pic>
                    </a:graphicData>
                  </a:graphic>
                </wp:inline>
              </w:drawing>
            </w:r>
          </w:p>
        </w:tc>
      </w:tr>
      <w:tr>
        <w:trPr/>
        <w:tc>
          <w:tcPr>
            <w:tcW w:w="8222" w:type="dxa"/>
            <w:gridSpan w:val="21"/>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828282"/>
                <w:sz w:val="28"/>
              </w:rPr>
            </w:pPr>
            <w:r>
              <w:rPr>
                <w:rFonts w:ascii="Helvetica;sans-serif" w:hAnsi="Helvetica;sans-serif"/>
                <w:b/>
                <w:color w:val="828282"/>
                <w:sz w:val="28"/>
              </w:rPr>
              <w:t>TABLE 7</w:t>
            </w:r>
          </w:p>
        </w:tc>
        <w:tc>
          <w:tcPr>
            <w:tcW w:w="1983" w:type="dxa"/>
            <w:gridSpan w:val="9"/>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8222" w:type="dxa"/>
            <w:gridSpan w:val="21"/>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83" w:type="dxa"/>
            <w:gridSpan w:val="9"/>
            <w:vMerge w:val="continue"/>
            <w:tcBorders>
              <w:bottom w:val="single" w:sz="8" w:space="0" w:color="004EA8"/>
            </w:tcBorders>
            <w:shd w:fill="auto" w:val="clear"/>
            <w:tcMar>
              <w:top w:w="0" w:type="dxa"/>
              <w:left w:w="0" w:type="dxa"/>
              <w:right w:w="0" w:type="dxa"/>
            </w:tcMar>
            <w:vAlign w:val="center"/>
          </w:tcPr>
          <w:p>
            <w:pPr>
              <w:pStyle w:val="Normal"/>
              <w:rPr/>
            </w:pPr>
            <w:r>
              <w:rPr/>
            </w:r>
          </w:p>
        </w:tc>
      </w:tr>
      <w:tr>
        <w:trPr/>
        <w:tc>
          <w:tcPr>
            <w:tcW w:w="8222" w:type="dxa"/>
            <w:gridSpan w:val="21"/>
            <w:tcBorders>
              <w:bottom w:val="single" w:sz="8" w:space="0" w:color="004EA8"/>
            </w:tcBorders>
            <w:shd w:fill="auto" w:val="clear"/>
            <w:tcMar>
              <w:top w:w="0" w:type="dxa"/>
              <w:left w:w="0" w:type="dxa"/>
              <w:bottom w:w="30" w:type="dxa"/>
              <w:right w:w="0" w:type="dxa"/>
            </w:tcMar>
            <w:vAlign w:val="center"/>
          </w:tcPr>
          <w:p>
            <w:pPr>
              <w:pStyle w:val="TableContents"/>
              <w:spacing w:lineRule="auto" w:line="240" w:before="0" w:after="283"/>
              <w:jc w:val="left"/>
              <w:rPr>
                <w:rFonts w:ascii="Helvetica;sans-serif" w:hAnsi="Helvetica;sans-serif"/>
                <w:b/>
                <w:color w:val="828282"/>
                <w:sz w:val="21"/>
              </w:rPr>
            </w:pPr>
            <w:r>
              <w:rPr>
                <w:rFonts w:ascii="Helvetica;sans-serif" w:hAnsi="Helvetica;sans-serif"/>
                <w:b/>
                <w:color w:val="828282"/>
                <w:sz w:val="21"/>
              </w:rPr>
              <w:t>Reconciliation of Media Revenue Excluding Olympics and 2022 Super Bowl (Unaudited)</w:t>
            </w:r>
          </w:p>
        </w:tc>
        <w:tc>
          <w:tcPr>
            <w:tcW w:w="1983" w:type="dxa"/>
            <w:gridSpan w:val="9"/>
            <w:vMerge w:val="continue"/>
            <w:tcBorders>
              <w:bottom w:val="single" w:sz="8" w:space="0" w:color="004EA8"/>
            </w:tcBorders>
            <w:shd w:fill="auto" w:val="clear"/>
            <w:tcMar>
              <w:top w:w="0" w:type="dxa"/>
              <w:left w:w="0" w:type="dxa"/>
              <w:right w:w="0" w:type="dxa"/>
            </w:tcMar>
            <w:vAlign w:val="center"/>
          </w:tcPr>
          <w:p>
            <w:pPr>
              <w:pStyle w:val="Normal"/>
              <w:rPr/>
            </w:pPr>
            <w:r>
              <w:rPr/>
            </w:r>
          </w:p>
        </w:tc>
      </w:tr>
    </w:tbl>
    <w:tbl>
      <w:tblPr>
        <w:tblW w:w="10205" w:type="dxa"/>
        <w:jc w:val="left"/>
        <w:tblInd w:w="0" w:type="dxa"/>
        <w:tblCellMar>
          <w:top w:w="28" w:type="dxa"/>
          <w:left w:w="28" w:type="dxa"/>
          <w:bottom w:w="28" w:type="dxa"/>
          <w:right w:w="28" w:type="dxa"/>
        </w:tblCellMar>
      </w:tblPr>
      <w:tblGrid>
        <w:gridCol w:w="1458"/>
        <w:gridCol w:w="1268"/>
        <w:gridCol w:w="1270"/>
        <w:gridCol w:w="109"/>
        <w:gridCol w:w="109"/>
        <w:gridCol w:w="109"/>
        <w:gridCol w:w="109"/>
        <w:gridCol w:w="109"/>
        <w:gridCol w:w="347"/>
        <w:gridCol w:w="347"/>
        <w:gridCol w:w="347"/>
        <w:gridCol w:w="347"/>
        <w:gridCol w:w="348"/>
        <w:gridCol w:w="109"/>
        <w:gridCol w:w="368"/>
        <w:gridCol w:w="368"/>
        <w:gridCol w:w="176"/>
        <w:gridCol w:w="109"/>
        <w:gridCol w:w="109"/>
        <w:gridCol w:w="109"/>
        <w:gridCol w:w="360"/>
        <w:gridCol w:w="361"/>
        <w:gridCol w:w="176"/>
        <w:gridCol w:w="109"/>
        <w:gridCol w:w="109"/>
        <w:gridCol w:w="109"/>
        <w:gridCol w:w="109"/>
        <w:gridCol w:w="109"/>
        <w:gridCol w:w="285"/>
        <w:gridCol w:w="286"/>
        <w:gridCol w:w="567"/>
      </w:tblGrid>
      <w:tr>
        <w:trPr/>
        <w:tc>
          <w:tcPr>
            <w:tcW w:w="1458" w:type="dxa"/>
            <w:tcBorders/>
            <w:shd w:fill="auto" w:val="clear"/>
            <w:vAlign w:val="center"/>
          </w:tcPr>
          <w:p>
            <w:pPr>
              <w:pStyle w:val="TableContents"/>
              <w:spacing w:before="0" w:after="283"/>
              <w:rPr>
                <w:sz w:val="4"/>
                <w:szCs w:val="4"/>
              </w:rPr>
            </w:pPr>
            <w:r>
              <w:rPr>
                <w:sz w:val="4"/>
                <w:szCs w:val="4"/>
              </w:rPr>
            </w:r>
          </w:p>
        </w:tc>
        <w:tc>
          <w:tcPr>
            <w:tcW w:w="1268" w:type="dxa"/>
            <w:tcBorders/>
            <w:shd w:fill="auto" w:val="clear"/>
            <w:vAlign w:val="center"/>
          </w:tcPr>
          <w:p>
            <w:pPr>
              <w:pStyle w:val="TableContents"/>
              <w:spacing w:before="0" w:after="283"/>
              <w:rPr>
                <w:sz w:val="4"/>
                <w:szCs w:val="4"/>
              </w:rPr>
            </w:pPr>
            <w:r>
              <w:rPr>
                <w:sz w:val="4"/>
                <w:szCs w:val="4"/>
              </w:rPr>
            </w:r>
          </w:p>
        </w:tc>
        <w:tc>
          <w:tcPr>
            <w:tcW w:w="12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928" w:type="dxa"/>
            <w:gridSpan w:val="18"/>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623" w:type="dxa"/>
            <w:gridSpan w:val="20"/>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6209" w:type="dxa"/>
            <w:gridSpan w:val="28"/>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928" w:type="dxa"/>
            <w:gridSpan w:val="18"/>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4623" w:type="dxa"/>
            <w:gridSpan w:val="20"/>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6209" w:type="dxa"/>
            <w:gridSpan w:val="28"/>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6" w:type="dxa"/>
            <w:gridSpan w:val="5"/>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Three Months Ended</w:t>
              <w:br/>
              <w:t>March 31,</w:t>
            </w:r>
          </w:p>
        </w:tc>
        <w:tc>
          <w:tcPr>
            <w:tcW w:w="3928" w:type="dxa"/>
            <w:gridSpan w:val="18"/>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09" w:type="dxa"/>
            <w:tcBorders/>
            <w:shd w:fill="auto" w:val="clear"/>
          </w:tcPr>
          <w:p>
            <w:pPr>
              <w:pStyle w:val="TableContents"/>
              <w:spacing w:before="0" w:after="283"/>
              <w:rPr>
                <w:sz w:val="4"/>
                <w:szCs w:val="4"/>
              </w:rPr>
            </w:pPr>
            <w:r>
              <w:rPr>
                <w:sz w:val="4"/>
                <w:szCs w:val="4"/>
              </w:rPr>
            </w:r>
          </w:p>
        </w:tc>
        <w:tc>
          <w:tcPr>
            <w:tcW w:w="1736" w:type="dxa"/>
            <w:gridSpan w:val="5"/>
            <w:vMerge w:val="continue"/>
            <w:tcBorders/>
            <w:shd w:fill="auto" w:val="clear"/>
            <w:tcMar>
              <w:top w:w="0" w:type="dxa"/>
              <w:left w:w="0" w:type="dxa"/>
              <w:bottom w:w="0" w:type="dxa"/>
              <w:right w:w="0" w:type="dxa"/>
            </w:tcMar>
            <w:vAlign w:val="center"/>
          </w:tcPr>
          <w:p>
            <w:pPr>
              <w:pStyle w:val="Normal"/>
              <w:rPr/>
            </w:pPr>
            <w:r>
              <w:rPr/>
            </w:r>
          </w:p>
        </w:tc>
        <w:tc>
          <w:tcPr>
            <w:tcW w:w="3928" w:type="dxa"/>
            <w:gridSpan w:val="18"/>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8"/>
              </w:rPr>
            </w:pPr>
            <w:r>
              <w:rPr>
                <w:rFonts w:ascii="Helvetica;sans-serif" w:hAnsi="Helvetica;sans-serif"/>
                <w:b/>
                <w:color w:val="000000"/>
                <w:sz w:val="18"/>
              </w:rPr>
              <w:t>Growth %</w:t>
            </w:r>
          </w:p>
        </w:tc>
      </w:tr>
      <w:tr>
        <w:trPr/>
        <w:tc>
          <w:tcPr>
            <w:tcW w:w="3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$6,152</w:t>
            </w: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$7,758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(20.7 </w:t>
            </w:r>
          </w:p>
        </w:tc>
        <w:tc>
          <w:tcPr>
            <w:tcW w:w="56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3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Beijing Olympics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963 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2022 Super Bowl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 xml:space="preserve">Revenue excluding Olympics and 2022 Super Bowl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8"/>
              </w:rPr>
              <w:t>$6,152</w:t>
            </w:r>
            <w:r>
              <w:rPr>
                <w:color w:val="000000"/>
              </w:rPr>
              <w:t>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$6,276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(2.0 </w:t>
            </w:r>
          </w:p>
        </w:tc>
        <w:tc>
          <w:tcPr>
            <w:tcW w:w="567"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r>
      <w:tr>
        <w:trPr/>
        <w:tc>
          <w:tcPr>
            <w:tcW w:w="39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6209" w:type="dxa"/>
            <w:gridSpan w:val="28"/>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5317" w:type="dxa"/>
            <w:gridSpan w:val="22"/>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1" w:type="dxa"/>
            <w:gridSpan w:val="26"/>
            <w:tcBorders/>
            <w:shd w:fill="auto" w:val="clea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39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19"/>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Helvetica;sans-serif" w:hAnsi="Helvetica;sans-serif"/>
                          <w:b w:val="false"/>
                          <w:color w:val="000000"/>
                          <w:sz w:val="16"/>
                        </w:rPr>
                      </w:pPr>
                      <w:r>
                        <w:rPr>
                          <w:rFonts w:ascii="Helvetica;sans-serif" w:hAnsi="Helvetica;sans-serif"/>
                          <w:b w:val="false"/>
                          <w:color w:val="000000"/>
                          <w:sz w:val="16"/>
                        </w:rPr>
                        <w:t>16</w:t>
                      </w:r>
                    </w:p>
                  </w:txbxContent>
                </v:textbox>
              </v:rect>
            </w:pict>
          </mc:Fallback>
        </mc:AlternateContent>
      </w:r>
    </w:p>
    <w:p>
      <w:pPr>
        <w:pStyle w:val="TextBody"/>
        <w:spacing w:lineRule="auto" w:line="288" w:before="0" w:after="0"/>
        <w:jc w:val="right"/>
        <w:rPr>
          <w:rFonts w:ascii="Helvetica;sans-serif" w:hAnsi="Helvetica;sans-serif"/>
          <w:b/>
          <w:color w:val="000000"/>
          <w:sz w:val="18"/>
        </w:rPr>
      </w:pPr>
      <w:r>
        <w:rPr>
          <w:rFonts w:ascii="Helvetica;sans-serif" w:hAnsi="Helvetica;sans-serif"/>
          <w:b/>
          <w:color w:val="000000"/>
          <w:sz w:val="18"/>
        </w:rPr>
        <w:t>Exhibit 99.2</w:t>
      </w:r>
    </w:p>
    <w:p>
      <w:pPr>
        <w:pStyle w:val="TextBody"/>
        <w:spacing w:lineRule="auto" w:line="288" w:before="1" w:after="283"/>
        <w:rPr>
          <w:color w:val="000000"/>
        </w:rPr>
      </w:pPr>
      <w:r>
        <w:rPr>
          <w:color w:val="000000"/>
        </w:rPr>
        <w:t> </w:t>
      </w:r>
    </w:p>
    <w:p>
      <w:pPr>
        <w:pStyle w:val="TextBody"/>
        <w:spacing w:lineRule="auto" w:line="288" w:before="1" w:after="283"/>
        <w:rPr>
          <w:rFonts w:ascii="Helvetica;sans-serif" w:hAnsi="Helvetica;sans-serif"/>
          <w:b/>
          <w:color w:val="000000"/>
          <w:sz w:val="18"/>
        </w:rPr>
      </w:pPr>
      <w:r>
        <w:rPr>
          <w:rFonts w:ascii="Helvetica;sans-serif" w:hAnsi="Helvetica;sans-serif"/>
          <w:b/>
          <w:color w:val="000000"/>
          <w:sz w:val="18"/>
        </w:rPr>
        <w:t>Exhibit 99.2 - Explanation of Non-GAAP and Other Financial Measures</w:t>
      </w:r>
    </w:p>
    <w:p>
      <w:pPr>
        <w:pStyle w:val="TextBody"/>
        <w:spacing w:lineRule="auto" w:line="288" w:before="1" w:after="283"/>
        <w:rPr>
          <w:color w:val="000000"/>
        </w:rPr>
      </w:pPr>
      <w:r>
        <w:rPr>
          <w:color w:val="000000"/>
        </w:rPr>
        <w:t> </w:t>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This Exhibit 99.2 to the accompanying Current Report on Form 8-K for Comcast Corporation (“we”, “us” or “our”) sets forth the reasons we believe that presentation of financial measures not in accordance with generally accepted accounting principles in the United States (GAAP) contained in the earnings press release filed as Exhibit 99.1 to the Current Report on Form 8-K provides useful information to investors regarding our results of operations and financial condition. To the extent material, this Exhibit also discloses the additional purposes, if any, for which our management uses these non-GAAP financial measures. Reconciliations between these non-GAAP financial measures and their most directly comparable GAAP financial measures are included in the earnings press release itself. Non-GAAP financial information should be considered in addition to, but not as a substitute for, operating income, net income, net income attributable to Comcast Corporation, earnings per common share attributable to Comcast Corporation shareholders, net cash provided by operating activities or other measures of performance or liquidity reported in accordance with GAAP.</w:t>
      </w:r>
    </w:p>
    <w:p>
      <w:pPr>
        <w:pStyle w:val="TextBody"/>
        <w:spacing w:before="0" w:after="0"/>
        <w:rPr/>
      </w:pPr>
      <w:r>
        <w:rPr/>
      </w:r>
    </w:p>
    <w:p>
      <w:pPr>
        <w:pStyle w:val="TextBody"/>
        <w:spacing w:lineRule="auto" w:line="417"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Adjusted EBITDA</w:t>
      </w:r>
    </w:p>
    <w:p>
      <w:pPr>
        <w:pStyle w:val="TextBody"/>
        <w:spacing w:before="0" w:after="0"/>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 xml:space="preserve">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 </w:t>
      </w:r>
    </w:p>
    <w:p>
      <w:pPr>
        <w:pStyle w:val="TextBody"/>
        <w:spacing w:before="0" w:after="0"/>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 xml:space="preserve">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 </w:t>
      </w:r>
    </w:p>
    <w:p>
      <w:pPr>
        <w:pStyle w:val="TextBody"/>
        <w:spacing w:before="0" w:after="0"/>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 xml:space="preserve">We also use Adjusted EBITDA as the measure of profit or loss for our segments. Our measure of Adjusted EBITDA for our segments is not a non-GAAP financial measure under rules promulgated by the Securities and Exchange Commission. </w:t>
      </w:r>
    </w:p>
    <w:p>
      <w:pPr>
        <w:pStyle w:val="TextBody"/>
        <w:spacing w:before="0" w:after="0"/>
        <w:jc w:val="both"/>
        <w:rPr/>
      </w:pPr>
      <w:r>
        <w:rPr/>
      </w:r>
    </w:p>
    <w:p>
      <w:pPr>
        <w:pStyle w:val="TextBody"/>
        <w:spacing w:lineRule="auto" w:line="417" w:before="0" w:after="0"/>
        <w:rPr>
          <w:rFonts w:ascii="Helvetica;sans-serif" w:hAnsi="Helvetica;sans-serif"/>
          <w:b w:val="false"/>
          <w:color w:val="000000"/>
          <w:sz w:val="18"/>
          <w:u w:val="single"/>
        </w:rPr>
      </w:pPr>
      <w:r>
        <w:rPr>
          <w:rFonts w:ascii="Helvetica;sans-serif" w:hAnsi="Helvetica;sans-serif"/>
          <w:b w:val="false"/>
          <w:color w:val="000000"/>
          <w:sz w:val="18"/>
          <w:u w:val="single"/>
        </w:rPr>
        <w:t>Adjusted Net Income and Adjusted EPS</w:t>
      </w:r>
    </w:p>
    <w:p>
      <w:pPr>
        <w:pStyle w:val="TextBody"/>
        <w:spacing w:before="0" w:after="0"/>
        <w:rPr/>
      </w:pPr>
      <w:r>
        <w:rPr/>
      </w:r>
    </w:p>
    <w:p>
      <w:pPr>
        <w:pStyle w:val="TextBody"/>
        <w:spacing w:lineRule="auto" w:line="288" w:before="0" w:after="0"/>
        <w:rPr/>
      </w:pPr>
      <w:r>
        <w:rPr>
          <w:rFonts w:ascii="Helvetica;sans-serif" w:hAnsi="Helvetica;sans-serif"/>
          <w:b w:val="false"/>
          <w:color w:val="000000"/>
          <w:sz w:val="18"/>
        </w:rPr>
        <w:t xml:space="preserve">Adjusted Net Income and Adjusted EPS are non-GAAP financial measures presenting the earnings generated by our ongoing operations that we believe is useful to investors in making meaningful comparisons to other companies, although these measures may not be directly comparable to similar measures used by other companies, and period-over-period comparisons. Adjusted Net Income and Adjusted EPS are defined as net income attributable to Comcast Corporation and diluted earnings per common share attributable to Comcast Corporation shareholders, respectively, adjusted to exclude the effects of the amortization of acquisition-related intangible assets, investments that investors may want to evaluate separately (such as based on fair value) and the impact of certain events, gains, losses or other charges that affect period-over-period comparisons. Acquisition-related intangible assets are recognized as a result of the application of Accounting Standards Codification Topic (“ASC”) 805, </w:t>
      </w:r>
      <w:r>
        <w:rPr>
          <w:rFonts w:ascii="Helvetica;sans-serif" w:hAnsi="Helvetica;sans-serif"/>
          <w:b w:val="false"/>
          <w:i/>
          <w:color w:val="000000"/>
          <w:sz w:val="18"/>
        </w:rPr>
        <w:t>Business Combinations</w:t>
      </w:r>
      <w:r>
        <w:rPr>
          <w:color w:val="000000"/>
        </w:rPr>
        <w:t xml:space="preserve"> </w:t>
      </w:r>
      <w:r>
        <w:rPr>
          <w:rFonts w:ascii="Helvetica;sans-serif" w:hAnsi="Helvetica;sans-serif"/>
          <w:b w:val="false"/>
          <w:color w:val="000000"/>
          <w:sz w:val="18"/>
        </w:rPr>
        <w:t xml:space="preserve">(such as customer relationships), and their amortization is significantly affected by the size and timing of our acquisitions. Amortization of intangible assets not resulting from business combinations (such as software and acquired intellectual property rights used in our theme parks) is included in Adjusted Net Income and Adjusted EPS. Investments that investors may want to evaluate separately include all equity securities accounted for under ASC Topic 321, </w:t>
      </w:r>
      <w:r>
        <w:rPr>
          <w:rFonts w:ascii="Helvetica;sans-serif" w:hAnsi="Helvetica;sans-serif"/>
          <w:b w:val="false"/>
          <w:i/>
          <w:color w:val="000000"/>
          <w:sz w:val="18"/>
        </w:rPr>
        <w:t>Investments-Equity Securities</w:t>
      </w:r>
      <w:r>
        <w:rPr>
          <w:rFonts w:ascii="Helvetica;sans-serif" w:hAnsi="Helvetica;sans-serif"/>
          <w:b w:val="false"/>
          <w:color w:val="000000"/>
          <w:sz w:val="18"/>
        </w:rPr>
        <w:t xml:space="preserve">, as well as certain investments accounted for under ASC 323, </w:t>
      </w:r>
      <w:r>
        <w:rPr>
          <w:rFonts w:ascii="Helvetica;sans-serif" w:hAnsi="Helvetica;sans-serif"/>
          <w:b w:val="false"/>
          <w:i/>
          <w:color w:val="000000"/>
          <w:sz w:val="18"/>
        </w:rPr>
        <w:t xml:space="preserve">Investments-Equity Method and Joint </w:t>
      </w:r>
      <w:r>
        <w:rPr>
          <w:rFonts w:ascii="Helvetica;sans-serif" w:hAnsi="Helvetica;sans-serif"/>
          <w:b w:val="false"/>
          <w:color w:val="000000"/>
          <w:sz w:val="18"/>
        </w:rPr>
        <w:t>Ventures.</w:t>
      </w:r>
    </w:p>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jc w:val="both"/>
        <w:rPr>
          <w:rFonts w:ascii="Helvetica;sans-serif" w:hAnsi="Helvetica;sans-serif"/>
          <w:b/>
          <w:color w:val="000000"/>
          <w:sz w:val="18"/>
        </w:rPr>
      </w:pPr>
      <w:r>
        <w:rPr>
          <w:rFonts w:ascii="Helvetica;sans-serif" w:hAnsi="Helvetica;sans-serif"/>
          <w:b/>
          <w:color w:val="000000"/>
          <w:sz w:val="18"/>
        </w:rPr>
        <w:t>Exhibit 99.2 - Explanation of Non-GAAP and Other Financial Measures, cont’d</w:t>
      </w:r>
    </w:p>
    <w:p>
      <w:pPr>
        <w:pStyle w:val="TextBody"/>
        <w:spacing w:before="0" w:after="0"/>
        <w:rPr/>
      </w:pPr>
      <w:r>
        <w:rPr/>
      </w:r>
    </w:p>
    <w:p>
      <w:pPr>
        <w:pStyle w:val="TextBody"/>
        <w:spacing w:lineRule="auto" w:line="417" w:before="0" w:after="0"/>
        <w:rPr>
          <w:rFonts w:ascii="Helvetica;sans-serif" w:hAnsi="Helvetica;sans-serif"/>
          <w:b w:val="false"/>
          <w:color w:val="000000"/>
          <w:sz w:val="18"/>
          <w:u w:val="single"/>
        </w:rPr>
      </w:pPr>
      <w:r>
        <w:rPr>
          <w:rFonts w:ascii="Helvetica;sans-serif" w:hAnsi="Helvetica;sans-serif"/>
          <w:b w:val="false"/>
          <w:color w:val="000000"/>
          <w:sz w:val="18"/>
          <w:u w:val="single"/>
        </w:rPr>
        <w:t>Free Cash Flow</w:t>
      </w:r>
    </w:p>
    <w:p>
      <w:pPr>
        <w:pStyle w:val="TextBody"/>
        <w:spacing w:before="0" w:after="0"/>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Free Cash Flow is a non-GAAP financial measure that we believe provides a meaningful measure of liquidity and a useful basis for assessing our ability to repay debt, make strategic acquisitions and investments, and return capital to investors through stock repurchases and dividends. It is also a significant performance measure in our annual incentive compensation programs. Additionally, we believe Free Cash Flow is useful to investors as a basis for comparing our performance and coverage ratios with other companies in our industries, although our measure of Free Cash Flow may not be directly comparable to similar measures used by other companies. Free Cash Flow has certain limitations, including that it does not represent the residual cash flow available for discretionary expenditures since other non-discretionary payments, such as mandatory debt repayments, are not deducted from the measure.  </w:t>
      </w:r>
    </w:p>
    <w:p>
      <w:pPr>
        <w:pStyle w:val="TextBody"/>
        <w:spacing w:before="0" w:after="0"/>
        <w:rPr/>
      </w:pPr>
      <w:r>
        <w:rPr/>
      </w:r>
    </w:p>
    <w:p>
      <w:pPr>
        <w:pStyle w:val="TextBody"/>
        <w:spacing w:lineRule="auto" w:line="276" w:before="0" w:after="0"/>
        <w:rPr>
          <w:rFonts w:ascii="Helvetica;sans-serif" w:hAnsi="Helvetica;sans-serif"/>
          <w:b w:val="false"/>
          <w:color w:val="000000"/>
          <w:sz w:val="18"/>
        </w:rPr>
      </w:pPr>
      <w:r>
        <w:rPr>
          <w:rFonts w:ascii="Helvetica;sans-serif" w:hAnsi="Helvetica;sans-serif"/>
          <w:b w:val="false"/>
          <w:color w:val="000000"/>
          <w:sz w:val="18"/>
        </w:rPr>
        <w:t>Free Cash Flow is defined as net cash provided by operating activities (as stated in our Consolidated Statement of Cash Flows) reduced by capital expenditures and cash paid for intangible assets. From time to time, we may exclude from Free Cash Flow the impact of certain cash receipts or payments (such as significant legal settlements) that affect period-to-period comparability. Cash payments related to certain capital or intangible assets, such as the construction of Universal Beijing Resort, are presented separately in our Statement of Cash Flows and are therefore excluded from capital expenditures and cash paid for intangible assets for Free Cash Flow.</w:t>
      </w:r>
    </w:p>
    <w:p>
      <w:pPr>
        <w:pStyle w:val="TextBody"/>
        <w:spacing w:before="0" w:after="0"/>
        <w:rPr/>
      </w:pPr>
      <w:r>
        <w:rPr/>
      </w:r>
    </w:p>
    <w:p>
      <w:pPr>
        <w:pStyle w:val="TextBody"/>
        <w:spacing w:lineRule="auto" w:line="288"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Constant Currency</w:t>
      </w:r>
    </w:p>
    <w:p>
      <w:pPr>
        <w:pStyle w:val="TextBody"/>
        <w:spacing w:before="0" w:after="0"/>
        <w:jc w:val="both"/>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 xml:space="preserve">Constant currency and constant currency growth rates are non-GAAP financial measures that present our results of operations excluding the estimated effects of foreign currency exchange rate fluctuations. Certain of our businesses, including Connectivity &amp; Platforms, have operations outside the United States that are conducted in local currencies. As a result, the comparability of the financial results reported in U.S. dollars is affected by changes in foreign currency exchange rates. In our Connectivity &amp; Platforms business, we use constant currency and constant currency growth rates to evaluate the underlying performance of the businesses, and we believe they are helpful for investors because such measures present operating results on a comparable basis year over year to evaluate their underlying performance. </w:t>
      </w:r>
    </w:p>
    <w:p>
      <w:pPr>
        <w:pStyle w:val="TextBody"/>
        <w:spacing w:before="0" w:after="0"/>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Constant currency and constant currency growth rates are calculated by comparing the results for each comparable prior year period adjusted to reflect the average exchange rates from each current year period presented, rather than the actual exchange rates that were in effect during the respective periods.</w:t>
      </w:r>
    </w:p>
    <w:p>
      <w:pPr>
        <w:pStyle w:val="TextBody"/>
        <w:spacing w:before="0" w:after="0"/>
        <w:jc w:val="both"/>
        <w:rPr/>
      </w:pPr>
      <w:r>
        <w:rPr/>
      </w:r>
    </w:p>
    <w:p>
      <w:pPr>
        <w:pStyle w:val="TextBody"/>
        <w:spacing w:lineRule="auto" w:line="288"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Other Adjustments</w:t>
      </w:r>
    </w:p>
    <w:p>
      <w:pPr>
        <w:pStyle w:val="TextBody"/>
        <w:spacing w:before="0" w:after="0"/>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We also present adjusted information (e.g., Adjusted Revenues), to exclude the impact of certain events, gains, losses or other charges. This adjusted information is a non-GAAP financial measure. We believe, among other things, that the adjusted information may help investors evaluate our ongoing operations and can assist in making meaningful period-over-period comparisons.</w:t>
      </w:r>
    </w:p>
    <w:p>
      <w:pPr>
        <w:pStyle w:val="TextBody"/>
        <w:spacing w:lineRule="auto" w:line="288" w:before="1" w:after="283"/>
        <w:rPr>
          <w:color w:val="000000"/>
        </w:rPr>
      </w:pPr>
      <w:r>
        <w:rPr>
          <w:color w:val="000000"/>
        </w:rPr>
        <w:t> </w:t>
      </w:r>
    </w:p>
    <w:p>
      <w:pPr>
        <w:pStyle w:val="TextBody"/>
        <w:spacing w:lineRule="auto" w:line="417" w:before="0" w:after="0"/>
        <w:jc w:val="both"/>
        <w:rPr>
          <w:rFonts w:ascii="Helvetica;sans-serif" w:hAnsi="Helvetica;sans-serif"/>
          <w:b w:val="false"/>
          <w:color w:val="000000"/>
          <w:sz w:val="18"/>
          <w:u w:val="single"/>
        </w:rPr>
      </w:pPr>
      <w:r>
        <w:rPr>
          <w:rFonts w:ascii="Helvetica;sans-serif" w:hAnsi="Helvetica;sans-serif"/>
          <w:b w:val="false"/>
          <w:color w:val="000000"/>
          <w:sz w:val="18"/>
          <w:u w:val="single"/>
        </w:rPr>
        <w:t>Pro Forma Information</w:t>
      </w:r>
    </w:p>
    <w:p>
      <w:pPr>
        <w:pStyle w:val="TextBody"/>
        <w:spacing w:before="0" w:after="0"/>
        <w:rPr/>
      </w:pPr>
      <w:r>
        <w:rPr/>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Pro forma information is used by management to evaluate performance when certain acquisitions or dispositions occur. Historical information reflects results of acquired businesses only after the acquisition dates while pro forma information enhances comparability of financial information between periods by adjusting the information as if the acquisitions or dispositions occurred at the beginning of a preceding year. Our pro forma information is adjusted for the timing of acquisitions or dispositions, the effects of acquisition accounting and the elimination of costs and expenses directly related to the transaction, but does not include adjustments for costs related to integration activities, cost savings or synergies that have been or may be achieved by the combined businesses. Pro forma information is not a non-GAAP financial measure under Securities and Exchange Commission rules. Our pro forma information is not necessarily indicative of future results or what our results would have been had the acquired businesses been operated by us during the pro forma period.</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 w:name="Helvetica">
    <w:altName w:val="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19</Pages>
  <Words>7333</Words>
  <CharactersWithSpaces>49226</CharactersWithSpaces>
  <Paragraphs>1303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