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8-K</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December 31, 2004</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Comcast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Pennsylvania</w:t>
            </w:r>
          </w:p>
        </w:tc>
        <w:tc>
          <w:tcPr>
            <w:tcW w:w="4380" w:type="dxa"/>
            <w:vAlign w:val="bottom"/>
            <w:gridSpan w:val="5"/>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600" w:type="dxa"/>
            <w:vAlign w:val="bottom"/>
            <w:gridSpan w:val="8"/>
          </w:tcPr>
          <w:p>
            <w:pPr>
              <w:jc w:val="center"/>
              <w:ind w:right="3120"/>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86"/>
        </w:trPr>
        <w:tc>
          <w:tcPr>
            <w:tcW w:w="860" w:type="dxa"/>
            <w:vAlign w:val="bottom"/>
            <w:gridSpan w:val="2"/>
          </w:tcPr>
          <w:p>
            <w:pPr>
              <w:spacing w:after="0"/>
              <w:rPr>
                <w:sz w:val="24"/>
                <w:szCs w:val="24"/>
                <w:color w:val="auto"/>
              </w:rPr>
            </w:pPr>
          </w:p>
        </w:tc>
        <w:tc>
          <w:tcPr>
            <w:tcW w:w="3120" w:type="dxa"/>
            <w:vAlign w:val="bottom"/>
            <w:gridSpan w:val="2"/>
          </w:tcPr>
          <w:p>
            <w:pPr>
              <w:jc w:val="right"/>
              <w:ind w:right="2230"/>
              <w:spacing w:after="0"/>
              <w:rPr>
                <w:sz w:val="20"/>
                <w:szCs w:val="20"/>
                <w:color w:val="auto"/>
              </w:rPr>
            </w:pPr>
            <w:r>
              <w:rPr>
                <w:rFonts w:ascii="Arial" w:cs="Arial" w:eastAsia="Arial" w:hAnsi="Arial"/>
                <w:sz w:val="18"/>
                <w:szCs w:val="18"/>
                <w:color w:val="auto"/>
                <w:w w:val="90"/>
              </w:rPr>
              <w:t>000-50093</w:t>
            </w:r>
          </w:p>
        </w:tc>
        <w:tc>
          <w:tcPr>
            <w:tcW w:w="6600" w:type="dxa"/>
            <w:vAlign w:val="bottom"/>
            <w:gridSpan w:val="8"/>
          </w:tcPr>
          <w:p>
            <w:pPr>
              <w:jc w:val="right"/>
              <w:spacing w:after="0"/>
              <w:rPr>
                <w:sz w:val="20"/>
                <w:szCs w:val="20"/>
                <w:color w:val="auto"/>
              </w:rPr>
            </w:pPr>
            <w:r>
              <w:rPr>
                <w:rFonts w:ascii="Arial" w:cs="Arial" w:eastAsia="Arial" w:hAnsi="Arial"/>
                <w:sz w:val="18"/>
                <w:szCs w:val="18"/>
                <w:color w:val="auto"/>
              </w:rPr>
              <w:t>27-0000798</w:t>
            </w:r>
          </w:p>
        </w:tc>
      </w:tr>
      <w:tr>
        <w:trPr>
          <w:trHeight w:val="20"/>
        </w:trPr>
        <w:tc>
          <w:tcPr>
            <w:tcW w:w="6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291"/>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20" w:type="dxa"/>
            <w:vAlign w:val="bottom"/>
          </w:tcPr>
          <w:p>
            <w:pPr>
              <w:jc w:val="right"/>
              <w:ind w:right="50"/>
              <w:spacing w:after="0"/>
              <w:rPr>
                <w:sz w:val="20"/>
                <w:szCs w:val="20"/>
                <w:color w:val="auto"/>
              </w:rPr>
            </w:pPr>
            <w:r>
              <w:rPr>
                <w:rFonts w:ascii="Arial" w:cs="Arial" w:eastAsia="Arial" w:hAnsi="Arial"/>
                <w:sz w:val="18"/>
                <w:szCs w:val="18"/>
                <w:color w:val="auto"/>
              </w:rPr>
              <w:t>(Commission File Number)</w:t>
            </w: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gridSpan w:val="4"/>
          </w:tcPr>
          <w:p>
            <w:pPr>
              <w:jc w:val="right"/>
              <w:ind w:right="360"/>
              <w:spacing w:after="0"/>
              <w:rPr>
                <w:sz w:val="20"/>
                <w:szCs w:val="20"/>
                <w:color w:val="auto"/>
              </w:rPr>
            </w:pPr>
            <w:r>
              <w:rPr>
                <w:rFonts w:ascii="Arial" w:cs="Arial" w:eastAsia="Arial" w:hAnsi="Arial"/>
                <w:sz w:val="18"/>
                <w:szCs w:val="18"/>
                <w:color w:val="auto"/>
              </w:rPr>
              <w:t>(IRS Employer Identification No.)</w:t>
            </w:r>
          </w:p>
        </w:tc>
      </w:tr>
      <w:tr>
        <w:trPr>
          <w:trHeight w:val="755"/>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20" w:type="dxa"/>
            <w:vAlign w:val="bottom"/>
            <w:gridSpan w:val="6"/>
          </w:tcPr>
          <w:p>
            <w:pPr>
              <w:spacing w:after="0"/>
              <w:rPr>
                <w:sz w:val="20"/>
                <w:szCs w:val="20"/>
                <w:color w:val="auto"/>
              </w:rPr>
            </w:pPr>
            <w:r>
              <w:rPr>
                <w:rFonts w:ascii="Arial" w:cs="Arial" w:eastAsia="Arial" w:hAnsi="Arial"/>
                <w:sz w:val="18"/>
                <w:szCs w:val="18"/>
                <w:color w:val="auto"/>
              </w:rPr>
              <w:t>1500 Market Street</w:t>
            </w:r>
          </w:p>
        </w:tc>
      </w:tr>
      <w:tr>
        <w:trPr>
          <w:trHeight w:val="190"/>
        </w:trPr>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91"/>
              </w:rPr>
              <w:t>Philadelphia,</w:t>
            </w:r>
          </w:p>
        </w:tc>
        <w:tc>
          <w:tcPr>
            <w:tcW w:w="3660" w:type="dxa"/>
            <w:vAlign w:val="bottom"/>
            <w:gridSpan w:val="4"/>
          </w:tcPr>
          <w:p>
            <w:pPr>
              <w:spacing w:after="0"/>
              <w:rPr>
                <w:sz w:val="16"/>
                <w:szCs w:val="16"/>
                <w:color w:val="auto"/>
              </w:rPr>
            </w:pPr>
          </w:p>
        </w:tc>
      </w:tr>
      <w:tr>
        <w:trPr>
          <w:trHeight w:val="237"/>
        </w:trPr>
        <w:tc>
          <w:tcPr>
            <w:tcW w:w="3980" w:type="dxa"/>
            <w:vAlign w:val="bottom"/>
            <w:gridSpan w:val="4"/>
          </w:tcPr>
          <w:p>
            <w:pPr>
              <w:jc w:val="right"/>
              <w:ind w:right="3030"/>
              <w:spacing w:after="0"/>
              <w:rPr>
                <w:sz w:val="20"/>
                <w:szCs w:val="20"/>
                <w:color w:val="auto"/>
              </w:rPr>
            </w:pPr>
            <w:r>
              <w:rPr>
                <w:rFonts w:ascii="Arial" w:cs="Arial" w:eastAsia="Arial" w:hAnsi="Arial"/>
                <w:sz w:val="18"/>
                <w:szCs w:val="18"/>
                <w:color w:val="auto"/>
              </w:rPr>
              <w:t>PA</w:t>
            </w:r>
          </w:p>
        </w:tc>
        <w:tc>
          <w:tcPr>
            <w:tcW w:w="6600" w:type="dxa"/>
            <w:vAlign w:val="bottom"/>
            <w:gridSpan w:val="8"/>
          </w:tcPr>
          <w:p>
            <w:pPr>
              <w:jc w:val="right"/>
              <w:ind w:right="620"/>
              <w:spacing w:after="0"/>
              <w:rPr>
                <w:sz w:val="20"/>
                <w:szCs w:val="20"/>
                <w:color w:val="auto"/>
              </w:rPr>
            </w:pPr>
            <w:r>
              <w:rPr>
                <w:rFonts w:ascii="Arial" w:cs="Arial" w:eastAsia="Arial" w:hAnsi="Arial"/>
                <w:sz w:val="18"/>
                <w:szCs w:val="18"/>
                <w:color w:val="auto"/>
              </w:rPr>
              <w:t>19102-2148</w:t>
            </w:r>
          </w:p>
        </w:tc>
      </w:tr>
      <w:tr>
        <w:trPr>
          <w:trHeight w:val="250"/>
        </w:trPr>
        <w:tc>
          <w:tcPr>
            <w:tcW w:w="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40" w:type="dxa"/>
            <w:vAlign w:val="bottom"/>
            <w:gridSpan w:val="4"/>
          </w:tcPr>
          <w:p>
            <w:pPr>
              <w:jc w:val="right"/>
              <w:ind w:right="1370"/>
              <w:spacing w:after="0"/>
              <w:rPr>
                <w:sz w:val="20"/>
                <w:szCs w:val="20"/>
                <w:color w:val="auto"/>
              </w:rPr>
            </w:pPr>
            <w:r>
              <w:rPr>
                <w:rFonts w:ascii="Arial" w:cs="Arial" w:eastAsia="Arial" w:hAnsi="Arial"/>
                <w:sz w:val="18"/>
                <w:szCs w:val="18"/>
                <w:color w:val="auto"/>
                <w:w w:val="94"/>
              </w:rPr>
              <w:t>(Address of Principal Executive</w:t>
            </w:r>
          </w:p>
        </w:tc>
        <w:tc>
          <w:tcPr>
            <w:tcW w:w="880" w:type="dxa"/>
            <w:vAlign w:val="bottom"/>
            <w:tcBorders>
              <w:top w:val="single" w:sz="8" w:color="auto"/>
            </w:tcBorders>
            <w:gridSpan w:val="2"/>
          </w:tcPr>
          <w:p>
            <w:pPr>
              <w:spacing w:after="0"/>
              <w:rPr>
                <w:sz w:val="21"/>
                <w:szCs w:val="21"/>
                <w:color w:val="auto"/>
              </w:rPr>
            </w:pPr>
          </w:p>
        </w:tc>
        <w:tc>
          <w:tcPr>
            <w:tcW w:w="620" w:type="dxa"/>
            <w:vAlign w:val="bottom"/>
          </w:tcPr>
          <w:p>
            <w:pPr>
              <w:spacing w:after="0"/>
              <w:rPr>
                <w:sz w:val="21"/>
                <w:szCs w:val="21"/>
                <w:color w:val="auto"/>
              </w:rPr>
            </w:pPr>
          </w:p>
        </w:tc>
      </w:tr>
      <w:tr>
        <w:trPr>
          <w:trHeight w:val="257"/>
        </w:trPr>
        <w:tc>
          <w:tcPr>
            <w:tcW w:w="3980" w:type="dxa"/>
            <w:vAlign w:val="bottom"/>
            <w:gridSpan w:val="4"/>
          </w:tcPr>
          <w:p>
            <w:pPr>
              <w:jc w:val="right"/>
              <w:ind w:right="3290"/>
              <w:spacing w:after="0"/>
              <w:rPr>
                <w:sz w:val="20"/>
                <w:szCs w:val="20"/>
                <w:color w:val="auto"/>
              </w:rPr>
            </w:pPr>
            <w:r>
              <w:rPr>
                <w:rFonts w:ascii="Arial" w:cs="Arial" w:eastAsia="Arial" w:hAnsi="Arial"/>
                <w:sz w:val="18"/>
                <w:szCs w:val="18"/>
                <w:color w:val="auto"/>
                <w:w w:val="93"/>
              </w:rPr>
              <w:t>Offices)</w:t>
            </w:r>
          </w:p>
        </w:tc>
        <w:tc>
          <w:tcPr>
            <w:tcW w:w="1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380" w:type="dxa"/>
            <w:vAlign w:val="bottom"/>
            <w:gridSpan w:val="5"/>
          </w:tcPr>
          <w:p>
            <w:pPr>
              <w:jc w:val="right"/>
              <w:ind w:right="3140"/>
              <w:spacing w:after="0"/>
              <w:rPr>
                <w:sz w:val="20"/>
                <w:szCs w:val="20"/>
                <w:color w:val="auto"/>
              </w:rPr>
            </w:pPr>
            <w:r>
              <w:rPr>
                <w:rFonts w:ascii="Arial" w:cs="Arial" w:eastAsia="Arial" w:hAnsi="Arial"/>
                <w:sz w:val="18"/>
                <w:szCs w:val="18"/>
                <w:color w:val="auto"/>
              </w:rPr>
              <w:t>(Zip Code)</w:t>
            </w:r>
          </w:p>
        </w:tc>
      </w:tr>
    </w:tbl>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(215) 665-1700</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______________________</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19"/>
                <w:szCs w:val="19"/>
                <w:color w:val="auto"/>
              </w:rPr>
            </w:pPr>
          </w:p>
        </w:tc>
        <w:tc>
          <w:tcPr>
            <w:tcW w:w="9760" w:type="dxa"/>
            <w:vAlign w:val="bottom"/>
          </w:tcPr>
          <w:p>
            <w:pPr>
              <w:ind w:left="880"/>
              <w:spacing w:after="0"/>
              <w:rPr>
                <w:sz w:val="20"/>
                <w:szCs w:val="20"/>
                <w:color w:val="auto"/>
              </w:rPr>
            </w:pPr>
            <w:r>
              <w:rPr>
                <w:rFonts w:ascii="Arial" w:cs="Arial" w:eastAsia="Arial" w:hAnsi="Arial"/>
                <w:sz w:val="18"/>
                <w:szCs w:val="18"/>
                <w:color w:val="auto"/>
              </w:rPr>
              <w:t>Written communications pursuant to Rule 425 under the Securities Act</w:t>
            </w:r>
          </w:p>
        </w:tc>
      </w:tr>
      <w:tr>
        <w:trPr>
          <w:trHeight w:val="230"/>
        </w:trPr>
        <w:tc>
          <w:tcPr>
            <w:tcW w:w="110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92"/>
              </w:rPr>
              <w:t>(17</w:t>
            </w:r>
          </w:p>
        </w:tc>
        <w:tc>
          <w:tcPr>
            <w:tcW w:w="9760" w:type="dxa"/>
            <w:vAlign w:val="bottom"/>
          </w:tcPr>
          <w:p>
            <w:pPr>
              <w:ind w:left="20"/>
              <w:spacing w:after="0"/>
              <w:rPr>
                <w:sz w:val="20"/>
                <w:szCs w:val="20"/>
                <w:color w:val="auto"/>
              </w:rPr>
            </w:pPr>
            <w:r>
              <w:rPr>
                <w:rFonts w:ascii="Arial" w:cs="Arial" w:eastAsia="Arial" w:hAnsi="Arial"/>
                <w:sz w:val="18"/>
                <w:szCs w:val="18"/>
                <w:color w:val="auto"/>
              </w:rPr>
              <w:t>CFR 230.425)</w:t>
            </w:r>
          </w:p>
        </w:tc>
      </w:tr>
      <w:tr>
        <w:trPr>
          <w:trHeight w:val="526"/>
        </w:trPr>
        <w:tc>
          <w:tcPr>
            <w:tcW w:w="110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Soliciting material pursuant to Rule 14a-12(b) under the Exchange Act</w:t>
            </w:r>
          </w:p>
        </w:tc>
      </w:tr>
      <w:tr>
        <w:trPr>
          <w:trHeight w:val="230"/>
        </w:trPr>
        <w:tc>
          <w:tcPr>
            <w:tcW w:w="110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92"/>
              </w:rPr>
              <w:t>(17</w:t>
            </w:r>
          </w:p>
        </w:tc>
        <w:tc>
          <w:tcPr>
            <w:tcW w:w="9760" w:type="dxa"/>
            <w:vAlign w:val="bottom"/>
          </w:tcPr>
          <w:p>
            <w:pPr>
              <w:ind w:left="20"/>
              <w:spacing w:after="0"/>
              <w:rPr>
                <w:sz w:val="20"/>
                <w:szCs w:val="20"/>
                <w:color w:val="auto"/>
              </w:rPr>
            </w:pPr>
            <w:r>
              <w:rPr>
                <w:rFonts w:ascii="Arial" w:cs="Arial" w:eastAsia="Arial" w:hAnsi="Arial"/>
                <w:sz w:val="18"/>
                <w:szCs w:val="18"/>
                <w:color w:val="auto"/>
              </w:rPr>
              <w:t>CFR 240.14a-12(b))</w:t>
            </w:r>
          </w:p>
        </w:tc>
      </w:tr>
      <w:tr>
        <w:trPr>
          <w:trHeight w:val="526"/>
        </w:trPr>
        <w:tc>
          <w:tcPr>
            <w:tcW w:w="110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9760" w:type="dxa"/>
            <w:vAlign w:val="bottom"/>
          </w:tcPr>
          <w:p>
            <w:pPr>
              <w:ind w:left="240"/>
              <w:spacing w:after="0"/>
              <w:rPr>
                <w:sz w:val="20"/>
                <w:szCs w:val="20"/>
                <w:color w:val="auto"/>
              </w:rPr>
            </w:pPr>
            <w:r>
              <w:rPr>
                <w:rFonts w:ascii="Arial" w:cs="Arial" w:eastAsia="Arial" w:hAnsi="Arial"/>
                <w:sz w:val="18"/>
                <w:szCs w:val="18"/>
                <w:color w:val="auto"/>
              </w:rPr>
              <w:t>Pre-commencement communications pursuant to Rule 14d-2(b) under the</w:t>
            </w:r>
          </w:p>
        </w:tc>
      </w:tr>
      <w:tr>
        <w:trPr>
          <w:trHeight w:val="230"/>
        </w:trPr>
        <w:tc>
          <w:tcPr>
            <w:tcW w:w="1100" w:type="dxa"/>
            <w:vAlign w:val="bottom"/>
          </w:tcPr>
          <w:p>
            <w:pPr>
              <w:spacing w:after="0"/>
              <w:rPr>
                <w:sz w:val="20"/>
                <w:szCs w:val="20"/>
                <w:color w:val="auto"/>
              </w:rPr>
            </w:pPr>
          </w:p>
        </w:tc>
        <w:tc>
          <w:tcPr>
            <w:tcW w:w="10320" w:type="dxa"/>
            <w:vAlign w:val="bottom"/>
            <w:gridSpan w:val="2"/>
          </w:tcPr>
          <w:p>
            <w:pPr>
              <w:ind w:left="300"/>
              <w:spacing w:after="0"/>
              <w:rPr>
                <w:sz w:val="20"/>
                <w:szCs w:val="20"/>
                <w:color w:val="auto"/>
              </w:rPr>
            </w:pPr>
            <w:r>
              <w:rPr>
                <w:rFonts w:ascii="Arial" w:cs="Arial" w:eastAsia="Arial" w:hAnsi="Arial"/>
                <w:sz w:val="18"/>
                <w:szCs w:val="18"/>
                <w:color w:val="auto"/>
              </w:rPr>
              <w:t>Exchange Act (17 CFR 240.14d-2(b))</w:t>
            </w:r>
          </w:p>
        </w:tc>
      </w:tr>
      <w:tr>
        <w:trPr>
          <w:trHeight w:val="526"/>
        </w:trPr>
        <w:tc>
          <w:tcPr>
            <w:tcW w:w="110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4"/>
                <w:szCs w:val="24"/>
                <w:color w:val="auto"/>
              </w:rPr>
            </w:pPr>
          </w:p>
        </w:tc>
        <w:tc>
          <w:tcPr>
            <w:tcW w:w="9760" w:type="dxa"/>
            <w:vAlign w:val="bottom"/>
          </w:tcPr>
          <w:p>
            <w:pPr>
              <w:ind w:left="880"/>
              <w:spacing w:after="0"/>
              <w:rPr>
                <w:sz w:val="20"/>
                <w:szCs w:val="20"/>
                <w:color w:val="auto"/>
              </w:rPr>
            </w:pPr>
            <w:r>
              <w:rPr>
                <w:rFonts w:ascii="Arial" w:cs="Arial" w:eastAsia="Arial" w:hAnsi="Arial"/>
                <w:sz w:val="18"/>
                <w:szCs w:val="18"/>
                <w:color w:val="auto"/>
              </w:rPr>
              <w:t>Pre-commencement communications pursuant to Rule 13e-4(c) under the</w:t>
            </w:r>
          </w:p>
        </w:tc>
      </w:tr>
      <w:tr>
        <w:trPr>
          <w:trHeight w:val="230"/>
        </w:trPr>
        <w:tc>
          <w:tcPr>
            <w:tcW w:w="1100" w:type="dxa"/>
            <w:vAlign w:val="bottom"/>
          </w:tcPr>
          <w:p>
            <w:pPr>
              <w:spacing w:after="0"/>
              <w:rPr>
                <w:sz w:val="20"/>
                <w:szCs w:val="20"/>
                <w:color w:val="auto"/>
              </w:rPr>
            </w:pPr>
          </w:p>
        </w:tc>
        <w:tc>
          <w:tcPr>
            <w:tcW w:w="10320" w:type="dxa"/>
            <w:vAlign w:val="bottom"/>
            <w:gridSpan w:val="2"/>
          </w:tcPr>
          <w:p>
            <w:pPr>
              <w:ind w:left="300"/>
              <w:spacing w:after="0"/>
              <w:rPr>
                <w:sz w:val="20"/>
                <w:szCs w:val="20"/>
                <w:color w:val="auto"/>
              </w:rPr>
            </w:pPr>
            <w:r>
              <w:rPr>
                <w:rFonts w:ascii="Arial" w:cs="Arial" w:eastAsia="Arial" w:hAnsi="Arial"/>
                <w:sz w:val="18"/>
                <w:szCs w:val="18"/>
                <w:color w:val="auto"/>
              </w:rPr>
              <w:t>Exchange Act (17 CFR 240.13e-4(c))</w:t>
            </w:r>
          </w:p>
        </w:tc>
      </w:tr>
      <w:tr>
        <w:trPr>
          <w:trHeight w:val="983"/>
        </w:trPr>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1.01 Entry into a Material Definitive Agreement.</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23, 2004, the Compensation Committee of the Company’s Board of Directors approved an acceleration of the vesting of all unvested options granted prior to 2003 to purchase shares of the Class A Special Common Stock having an exercise price of $34 or greater and held by current employees, including all executive officers. Options with respect to approximately 15.6 million shares of the Class A Special Common Stock (of which options with respect to approximately 7.7 million shares are held by the executive officers) are subject to this acceleration. This acceleration is effective as of December 31, 2004, provided that holders of incentive stock options ("ISOs") within the meaning of Section 422 of the Internal Revenue Code of 1986, as amended, will be given the election to decline t he acceleration of an option if such acceleration would have the effect of changing the status of such option for federal income tax purposes from an ISO to a non-qualified stock option. In addition, all executive officers have agreed that they will not sell any shares acquired through the exercise of an accelerated option (other than shares withheld by the Company on account of applicable taxes resulting from the exercise), prior to the date on which the exercise would have been permitted under the option’s original vesting terms.</w:t>
      </w:r>
    </w:p>
    <w:p>
      <w:pPr>
        <w:spacing w:after="0" w:line="2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Because these options have exercise prices in excess of current market values (are “underwater”), and are not fully achieving their original objectives of incentive compensation and employee retention, the acceleration may have a positive effect on employee morale, retention and perception of option value. The acceleration also takes into account the fact that in December 2004, the Company completed the repurchase of stock options held by certain non-employees for cash (including underwater options) under a stock option liquidity program, and that no such offer (nor any other “solution” for underwater options) has been made to current employees. The acceleration eliminates future compensation expense the Company would otherwise recognize in its income statement with respect to these options once FASB Statement No. 123R (Share-Based Payment) becomes effective in 2005. Assuming that no holders of ISOs elect to decline the acceleration, the maximum future expense that is eliminated is approximately $74.2 million (of which approximately $39.4 million is attributable to options held by executive officers). This amount will instead be reflected in pro forma footnote disclosure to the 2004 and first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quarter 2005 financial statements. This footnote treatment is permitted under the transition guidance provided by the FASB.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810260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2880" w:type="dxa"/>
            <w:vAlign w:val="bottom"/>
            <w:gridSpan w:val="3"/>
          </w:tcPr>
          <w:p>
            <w:pPr>
              <w:ind w:left="700"/>
              <w:spacing w:after="0"/>
              <w:rPr>
                <w:sz w:val="20"/>
                <w:szCs w:val="20"/>
                <w:color w:val="auto"/>
              </w:rPr>
            </w:pPr>
            <w:r>
              <w:rPr>
                <w:rFonts w:ascii="Arial" w:cs="Arial" w:eastAsia="Arial" w:hAnsi="Arial"/>
                <w:sz w:val="18"/>
                <w:szCs w:val="18"/>
                <w:color w:val="auto"/>
                <w:w w:val="94"/>
              </w:rPr>
              <w:t>COMCAST CORPORATION</w:t>
            </w:r>
          </w:p>
        </w:tc>
      </w:tr>
      <w:tr>
        <w:trPr>
          <w:trHeight w:val="756"/>
        </w:trPr>
        <w:tc>
          <w:tcPr>
            <w:tcW w:w="1940" w:type="dxa"/>
            <w:vAlign w:val="bottom"/>
          </w:tcPr>
          <w:p>
            <w:pPr>
              <w:spacing w:after="0"/>
              <w:rPr>
                <w:sz w:val="20"/>
                <w:szCs w:val="20"/>
                <w:color w:val="auto"/>
              </w:rPr>
            </w:pPr>
            <w:r>
              <w:rPr>
                <w:rFonts w:ascii="Arial" w:cs="Arial" w:eastAsia="Arial" w:hAnsi="Arial"/>
                <w:sz w:val="18"/>
                <w:szCs w:val="18"/>
                <w:color w:val="auto"/>
              </w:rPr>
              <w:t>Date: January 6, 2005</w:t>
            </w:r>
          </w:p>
        </w:tc>
        <w:tc>
          <w:tcPr>
            <w:tcW w:w="7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By: /s/ Arthur R. Block</w:t>
            </w:r>
          </w:p>
        </w:tc>
      </w:tr>
      <w:tr>
        <w:trPr>
          <w:trHeight w:val="20"/>
        </w:trPr>
        <w:tc>
          <w:tcPr>
            <w:tcW w:w="1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6"/>
        </w:trPr>
        <w:tc>
          <w:tcPr>
            <w:tcW w:w="1940" w:type="dxa"/>
            <w:vAlign w:val="bottom"/>
          </w:tcPr>
          <w:p>
            <w:pPr>
              <w:spacing w:after="0"/>
              <w:rPr>
                <w:sz w:val="20"/>
                <w:szCs w:val="20"/>
                <w:color w:val="auto"/>
              </w:rPr>
            </w:pP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Name: Arthur R. Block</w:t>
            </w:r>
          </w:p>
        </w:tc>
      </w:tr>
      <w:tr>
        <w:trPr>
          <w:trHeight w:val="216"/>
        </w:trPr>
        <w:tc>
          <w:tcPr>
            <w:tcW w:w="1940" w:type="dxa"/>
            <w:vAlign w:val="bottom"/>
          </w:tcPr>
          <w:p>
            <w:pPr>
              <w:spacing w:after="0"/>
              <w:rPr>
                <w:sz w:val="18"/>
                <w:szCs w:val="18"/>
                <w:color w:val="auto"/>
              </w:rPr>
            </w:pP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Title: Senior Vice President,</w:t>
            </w:r>
          </w:p>
        </w:tc>
      </w:tr>
      <w:tr>
        <w:trPr>
          <w:trHeight w:val="230"/>
        </w:trPr>
        <w:tc>
          <w:tcPr>
            <w:tcW w:w="1940" w:type="dxa"/>
            <w:vAlign w:val="bottom"/>
          </w:tcPr>
          <w:p>
            <w:pPr>
              <w:spacing w:after="0"/>
              <w:rPr>
                <w:sz w:val="20"/>
                <w:szCs w:val="20"/>
                <w:color w:val="auto"/>
              </w:rPr>
            </w:pPr>
          </w:p>
        </w:tc>
        <w:tc>
          <w:tcPr>
            <w:tcW w:w="2880" w:type="dxa"/>
            <w:vAlign w:val="bottom"/>
            <w:gridSpan w:val="3"/>
          </w:tcPr>
          <w:p>
            <w:pPr>
              <w:ind w:left="380"/>
              <w:spacing w:after="0"/>
              <w:rPr>
                <w:sz w:val="20"/>
                <w:szCs w:val="20"/>
                <w:color w:val="auto"/>
              </w:rPr>
            </w:pPr>
            <w:r>
              <w:rPr>
                <w:rFonts w:ascii="Arial" w:cs="Arial" w:eastAsia="Arial" w:hAnsi="Arial"/>
                <w:sz w:val="18"/>
                <w:szCs w:val="18"/>
                <w:color w:val="auto"/>
              </w:rPr>
              <w:t>General Counsel &amp; Secretary</w:t>
            </w:r>
          </w:p>
        </w:tc>
      </w:tr>
    </w:tbl>
    <w:p>
      <w:pPr>
        <w:spacing w:after="0" w:line="1" w:lineRule="exact"/>
        <w:rPr>
          <w:sz w:val="20"/>
          <w:szCs w:val="20"/>
          <w:color w:val="auto"/>
        </w:rPr>
      </w:pPr>
    </w:p>
    <w:sectPr>
      <w:pgSz w:w="11900" w:h="16838" w:orient="portrait"/>
      <w:cols w:equalWidth="0" w:num="1">
        <w:col w:w="10940"/>
      </w:cols>
      <w:pgMar w:left="240" w:top="1422"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2019-12-15T07:00:58Z</dcterms:created>
  <dcterms:modified xsi:type="dcterms:W3CDTF">2019-12-15T07:00:58Z</dcterms:modified>
</cp:coreProperties>
</file>