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As filed with the Securities and Exchange Commission on March 26, 2003</w:t>
      </w:r>
    </w:p>
    <w:p>
      <w:pPr>
        <w:spacing w:after="0" w:line="17" w:lineRule="exact"/>
        <w:rPr>
          <w:sz w:val="20"/>
          <w:szCs w:val="20"/>
          <w:color w:val="auto"/>
        </w:rPr>
      </w:pPr>
    </w:p>
    <w:p>
      <w:pPr>
        <w:ind w:left="970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2840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0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125730</wp:posOffset>
            </wp:positionV>
            <wp:extent cx="72840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4085" cy="698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jc w:val="center"/>
        <w:spacing w:after="0" w:line="235" w:lineRule="auto"/>
        <w:rPr>
          <w:sz w:val="20"/>
          <w:szCs w:val="20"/>
          <w:color w:val="auto"/>
        </w:rPr>
      </w:pPr>
      <w:r>
        <w:rPr>
          <w:rFonts w:ascii="Arial" w:cs="Arial" w:eastAsia="Arial" w:hAnsi="Arial"/>
          <w:sz w:val="27"/>
          <w:szCs w:val="27"/>
          <w:b w:val="1"/>
          <w:bCs w:val="1"/>
          <w:color w:val="auto"/>
        </w:rPr>
        <w:t>Form S-3</w:t>
      </w:r>
    </w:p>
    <w:p>
      <w:pPr>
        <w:jc w:val="center"/>
        <w:spacing w:after="0" w:line="232" w:lineRule="auto"/>
        <w:rPr>
          <w:sz w:val="20"/>
          <w:szCs w:val="20"/>
          <w:color w:val="auto"/>
        </w:rPr>
      </w:pPr>
      <w:r>
        <w:rPr>
          <w:rFonts w:ascii="Arial" w:cs="Arial" w:eastAsia="Arial" w:hAnsi="Arial"/>
          <w:sz w:val="18"/>
          <w:szCs w:val="18"/>
          <w:b w:val="1"/>
          <w:bCs w:val="1"/>
          <w:color w:val="auto"/>
        </w:rPr>
        <w:t>REGISTRATION STATEMENT UNDER THE SECURITIES ACT OF 1933</w:t>
      </w:r>
    </w:p>
    <w:p>
      <w:pPr>
        <w:jc w:val="center"/>
        <w:spacing w:after="0"/>
        <w:rPr>
          <w:sz w:val="20"/>
          <w:szCs w:val="20"/>
          <w:color w:val="auto"/>
        </w:rPr>
      </w:pPr>
      <w:r>
        <w:rPr>
          <w:rFonts w:ascii="Arial" w:cs="Arial" w:eastAsia="Arial" w:hAnsi="Arial"/>
          <w:sz w:val="27"/>
          <w:szCs w:val="27"/>
          <w:b w:val="1"/>
          <w:bCs w:val="1"/>
          <w:color w:val="auto"/>
        </w:rPr>
        <w:t>Comcast Corporation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(Exact name of Registrant as specified in its charter)</w:t>
      </w:r>
    </w:p>
    <w:p>
      <w:pPr>
        <w:spacing w:after="0" w:line="170" w:lineRule="exact"/>
        <w:rPr>
          <w:sz w:val="20"/>
          <w:szCs w:val="20"/>
          <w:color w:val="auto"/>
        </w:rPr>
      </w:pPr>
    </w:p>
    <w:tbl>
      <w:tblPr>
        <w:tblLayout w:type="fixed"/>
        <w:tblInd w:w="540" w:type="dxa"/>
        <w:tblCellMar>
          <w:top w:w="0" w:type="dxa"/>
          <w:left w:w="0" w:type="dxa"/>
          <w:bottom w:w="0" w:type="dxa"/>
          <w:right w:w="0" w:type="dxa"/>
        </w:tblCellMar>
      </w:tblPr>
      <w:tr>
        <w:trPr>
          <w:trHeight w:val="183"/>
        </w:trPr>
        <w:tc>
          <w:tcPr>
            <w:tcW w:w="1800" w:type="dxa"/>
            <w:vAlign w:val="bottom"/>
          </w:tcPr>
          <w:p>
            <w:pPr>
              <w:jc w:val="center"/>
              <w:spacing w:after="0"/>
              <w:rPr>
                <w:sz w:val="20"/>
                <w:szCs w:val="20"/>
                <w:color w:val="auto"/>
              </w:rPr>
            </w:pPr>
            <w:r>
              <w:rPr>
                <w:rFonts w:ascii="Arial" w:cs="Arial" w:eastAsia="Arial" w:hAnsi="Arial"/>
                <w:sz w:val="15"/>
                <w:szCs w:val="15"/>
                <w:b w:val="1"/>
                <w:bCs w:val="1"/>
                <w:color w:val="auto"/>
                <w:w w:val="85"/>
              </w:rPr>
              <w:t>Pennsylvania</w:t>
            </w:r>
          </w:p>
        </w:tc>
        <w:tc>
          <w:tcPr>
            <w:tcW w:w="7080" w:type="dxa"/>
            <w:vAlign w:val="bottom"/>
          </w:tcPr>
          <w:p>
            <w:pPr>
              <w:ind w:left="2540"/>
              <w:spacing w:after="0"/>
              <w:rPr>
                <w:sz w:val="20"/>
                <w:szCs w:val="20"/>
                <w:color w:val="auto"/>
              </w:rPr>
            </w:pPr>
            <w:r>
              <w:rPr>
                <w:rFonts w:ascii="Arial" w:cs="Arial" w:eastAsia="Arial" w:hAnsi="Arial"/>
                <w:sz w:val="15"/>
                <w:szCs w:val="15"/>
                <w:b w:val="1"/>
                <w:bCs w:val="1"/>
                <w:color w:val="auto"/>
              </w:rPr>
              <w:t>See Table of Additional Registrants</w:t>
            </w:r>
          </w:p>
        </w:tc>
        <w:tc>
          <w:tcPr>
            <w:tcW w:w="1380" w:type="dxa"/>
            <w:vAlign w:val="bottom"/>
          </w:tcPr>
          <w:p>
            <w:pPr>
              <w:jc w:val="center"/>
              <w:ind w:left="227"/>
              <w:spacing w:after="0"/>
              <w:rPr>
                <w:sz w:val="20"/>
                <w:szCs w:val="20"/>
                <w:color w:val="auto"/>
              </w:rPr>
            </w:pPr>
            <w:r>
              <w:rPr>
                <w:rFonts w:ascii="Arial" w:cs="Arial" w:eastAsia="Arial" w:hAnsi="Arial"/>
                <w:sz w:val="15"/>
                <w:szCs w:val="15"/>
                <w:b w:val="1"/>
                <w:bCs w:val="1"/>
                <w:color w:val="auto"/>
                <w:w w:val="89"/>
              </w:rPr>
              <w:t>27-0000798</w:t>
            </w:r>
          </w:p>
        </w:tc>
        <w:tc>
          <w:tcPr>
            <w:tcW w:w="0" w:type="dxa"/>
            <w:vAlign w:val="bottom"/>
          </w:tcPr>
          <w:p>
            <w:pPr>
              <w:spacing w:after="0"/>
              <w:rPr>
                <w:sz w:val="1"/>
                <w:szCs w:val="1"/>
                <w:color w:val="auto"/>
              </w:rPr>
            </w:pPr>
          </w:p>
        </w:tc>
      </w:tr>
      <w:tr>
        <w:trPr>
          <w:trHeight w:val="179"/>
        </w:trPr>
        <w:tc>
          <w:tcPr>
            <w:tcW w:w="1800" w:type="dxa"/>
            <w:vAlign w:val="bottom"/>
          </w:tcPr>
          <w:p>
            <w:pPr>
              <w:jc w:val="center"/>
              <w:spacing w:after="0"/>
              <w:rPr>
                <w:sz w:val="20"/>
                <w:szCs w:val="20"/>
                <w:color w:val="auto"/>
              </w:rPr>
            </w:pPr>
            <w:r>
              <w:rPr>
                <w:rFonts w:ascii="Arial" w:cs="Arial" w:eastAsia="Arial" w:hAnsi="Arial"/>
                <w:sz w:val="15"/>
                <w:szCs w:val="15"/>
                <w:i w:val="1"/>
                <w:iCs w:val="1"/>
                <w:color w:val="auto"/>
                <w:w w:val="91"/>
              </w:rPr>
              <w:t>(State of other jurisdiction of</w:t>
            </w:r>
          </w:p>
        </w:tc>
        <w:tc>
          <w:tcPr>
            <w:tcW w:w="7080" w:type="dxa"/>
            <w:vAlign w:val="bottom"/>
          </w:tcPr>
          <w:p>
            <w:pPr>
              <w:spacing w:after="0"/>
              <w:rPr>
                <w:sz w:val="15"/>
                <w:szCs w:val="15"/>
                <w:color w:val="auto"/>
              </w:rPr>
            </w:pPr>
          </w:p>
        </w:tc>
        <w:tc>
          <w:tcPr>
            <w:tcW w:w="1380" w:type="dxa"/>
            <w:vAlign w:val="bottom"/>
          </w:tcPr>
          <w:p>
            <w:pPr>
              <w:jc w:val="center"/>
              <w:ind w:left="227"/>
              <w:spacing w:after="0"/>
              <w:rPr>
                <w:sz w:val="20"/>
                <w:szCs w:val="20"/>
                <w:color w:val="auto"/>
              </w:rPr>
            </w:pPr>
            <w:r>
              <w:rPr>
                <w:rFonts w:ascii="Arial" w:cs="Arial" w:eastAsia="Arial" w:hAnsi="Arial"/>
                <w:sz w:val="15"/>
                <w:szCs w:val="15"/>
                <w:i w:val="1"/>
                <w:iCs w:val="1"/>
                <w:color w:val="auto"/>
                <w:w w:val="87"/>
              </w:rPr>
              <w:t>(I.R.S. Employer</w:t>
            </w:r>
          </w:p>
        </w:tc>
        <w:tc>
          <w:tcPr>
            <w:tcW w:w="0" w:type="dxa"/>
            <w:vAlign w:val="bottom"/>
          </w:tcPr>
          <w:p>
            <w:pPr>
              <w:spacing w:after="0"/>
              <w:rPr>
                <w:sz w:val="1"/>
                <w:szCs w:val="1"/>
                <w:color w:val="auto"/>
              </w:rPr>
            </w:pPr>
          </w:p>
        </w:tc>
      </w:tr>
      <w:tr>
        <w:trPr>
          <w:trHeight w:val="186"/>
        </w:trPr>
        <w:tc>
          <w:tcPr>
            <w:tcW w:w="1800" w:type="dxa"/>
            <w:vAlign w:val="bottom"/>
          </w:tcPr>
          <w:p>
            <w:pPr>
              <w:jc w:val="center"/>
              <w:spacing w:after="0"/>
              <w:rPr>
                <w:sz w:val="20"/>
                <w:szCs w:val="20"/>
                <w:color w:val="auto"/>
              </w:rPr>
            </w:pPr>
            <w:r>
              <w:rPr>
                <w:rFonts w:ascii="Arial" w:cs="Arial" w:eastAsia="Arial" w:hAnsi="Arial"/>
                <w:sz w:val="15"/>
                <w:szCs w:val="15"/>
                <w:i w:val="1"/>
                <w:iCs w:val="1"/>
                <w:color w:val="auto"/>
                <w:w w:val="92"/>
              </w:rPr>
              <w:t>incorporation or organization)</w:t>
            </w:r>
          </w:p>
        </w:tc>
        <w:tc>
          <w:tcPr>
            <w:tcW w:w="7080" w:type="dxa"/>
            <w:vAlign w:val="bottom"/>
            <w:vMerge w:val="restart"/>
          </w:tcPr>
          <w:p>
            <w:pPr>
              <w:jc w:val="center"/>
              <w:ind w:right="207"/>
              <w:spacing w:after="0"/>
              <w:rPr>
                <w:sz w:val="20"/>
                <w:szCs w:val="20"/>
                <w:color w:val="auto"/>
              </w:rPr>
            </w:pPr>
            <w:r>
              <w:rPr>
                <w:rFonts w:ascii="Arial" w:cs="Arial" w:eastAsia="Arial" w:hAnsi="Arial"/>
                <w:sz w:val="15"/>
                <w:szCs w:val="15"/>
                <w:b w:val="1"/>
                <w:bCs w:val="1"/>
                <w:color w:val="auto"/>
                <w:w w:val="90"/>
              </w:rPr>
              <w:t>1500 Market Street</w:t>
            </w:r>
          </w:p>
        </w:tc>
        <w:tc>
          <w:tcPr>
            <w:tcW w:w="1380" w:type="dxa"/>
            <w:vAlign w:val="bottom"/>
          </w:tcPr>
          <w:p>
            <w:pPr>
              <w:jc w:val="center"/>
              <w:ind w:left="227"/>
              <w:spacing w:after="0"/>
              <w:rPr>
                <w:sz w:val="20"/>
                <w:szCs w:val="20"/>
                <w:color w:val="auto"/>
              </w:rPr>
            </w:pPr>
            <w:r>
              <w:rPr>
                <w:rFonts w:ascii="Arial" w:cs="Arial" w:eastAsia="Arial" w:hAnsi="Arial"/>
                <w:sz w:val="15"/>
                <w:szCs w:val="15"/>
                <w:i w:val="1"/>
                <w:iCs w:val="1"/>
                <w:color w:val="auto"/>
                <w:w w:val="92"/>
              </w:rPr>
              <w:t>Identification No.)</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708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rPr>
                <w:sz w:val="15"/>
                <w:szCs w:val="15"/>
                <w:color w:val="auto"/>
              </w:rPr>
            </w:pPr>
          </w:p>
        </w:tc>
        <w:tc>
          <w:tcPr>
            <w:tcW w:w="7080" w:type="dxa"/>
            <w:vAlign w:val="bottom"/>
          </w:tcPr>
          <w:p>
            <w:pPr>
              <w:jc w:val="center"/>
              <w:ind w:right="227"/>
              <w:spacing w:after="0"/>
              <w:rPr>
                <w:sz w:val="20"/>
                <w:szCs w:val="20"/>
                <w:color w:val="auto"/>
              </w:rPr>
            </w:pPr>
            <w:r>
              <w:rPr>
                <w:rFonts w:ascii="Arial" w:cs="Arial" w:eastAsia="Arial" w:hAnsi="Arial"/>
                <w:sz w:val="15"/>
                <w:szCs w:val="15"/>
                <w:b w:val="1"/>
                <w:bCs w:val="1"/>
                <w:color w:val="auto"/>
                <w:w w:val="87"/>
              </w:rPr>
              <w:t>Philadelphia, Pennsylvania 19102-2148</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080" w:type="dxa"/>
            <w:vAlign w:val="bottom"/>
          </w:tcPr>
          <w:p>
            <w:pPr>
              <w:jc w:val="center"/>
              <w:ind w:right="227"/>
              <w:spacing w:after="0"/>
              <w:rPr>
                <w:sz w:val="20"/>
                <w:szCs w:val="20"/>
                <w:color w:val="auto"/>
              </w:rPr>
            </w:pPr>
            <w:r>
              <w:rPr>
                <w:rFonts w:ascii="Arial" w:cs="Arial" w:eastAsia="Arial" w:hAnsi="Arial"/>
                <w:sz w:val="15"/>
                <w:szCs w:val="15"/>
                <w:b w:val="1"/>
                <w:bCs w:val="1"/>
                <w:color w:val="auto"/>
                <w:w w:val="87"/>
              </w:rPr>
              <w:t>(215) 665-1700</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800" w:type="dxa"/>
            <w:vAlign w:val="bottom"/>
          </w:tcPr>
          <w:p>
            <w:pPr>
              <w:spacing w:after="0"/>
              <w:rPr>
                <w:sz w:val="16"/>
                <w:szCs w:val="16"/>
                <w:color w:val="auto"/>
              </w:rPr>
            </w:pPr>
          </w:p>
        </w:tc>
        <w:tc>
          <w:tcPr>
            <w:tcW w:w="7080" w:type="dxa"/>
            <w:vAlign w:val="bottom"/>
          </w:tcPr>
          <w:p>
            <w:pPr>
              <w:jc w:val="center"/>
              <w:ind w:right="207"/>
              <w:spacing w:after="0"/>
              <w:rPr>
                <w:sz w:val="20"/>
                <w:szCs w:val="20"/>
                <w:color w:val="auto"/>
              </w:rPr>
            </w:pPr>
            <w:r>
              <w:rPr>
                <w:rFonts w:ascii="Arial" w:cs="Arial" w:eastAsia="Arial" w:hAnsi="Arial"/>
                <w:sz w:val="15"/>
                <w:szCs w:val="15"/>
                <w:i w:val="1"/>
                <w:iCs w:val="1"/>
                <w:color w:val="auto"/>
                <w:w w:val="88"/>
              </w:rPr>
              <w:t>(Address, including zip code, and telephone number including area code, of Registrant’s principal executive offices)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1800" w:type="dxa"/>
            <w:vAlign w:val="bottom"/>
          </w:tcPr>
          <w:p>
            <w:pPr>
              <w:spacing w:after="0"/>
              <w:rPr>
                <w:sz w:val="24"/>
                <w:szCs w:val="24"/>
                <w:color w:val="auto"/>
              </w:rPr>
            </w:pPr>
          </w:p>
        </w:tc>
        <w:tc>
          <w:tcPr>
            <w:tcW w:w="7080" w:type="dxa"/>
            <w:vAlign w:val="bottom"/>
          </w:tcPr>
          <w:p>
            <w:pPr>
              <w:jc w:val="center"/>
              <w:ind w:right="207"/>
              <w:spacing w:after="0"/>
              <w:rPr>
                <w:sz w:val="20"/>
                <w:szCs w:val="20"/>
                <w:color w:val="auto"/>
              </w:rPr>
            </w:pPr>
            <w:r>
              <w:rPr>
                <w:rFonts w:ascii="Arial" w:cs="Arial" w:eastAsia="Arial" w:hAnsi="Arial"/>
                <w:sz w:val="15"/>
                <w:szCs w:val="15"/>
                <w:b w:val="1"/>
                <w:bCs w:val="1"/>
                <w:color w:val="auto"/>
                <w:w w:val="90"/>
              </w:rPr>
              <w:t>Arthur R. Block, Esq.</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800" w:type="dxa"/>
            <w:vAlign w:val="bottom"/>
          </w:tcPr>
          <w:p>
            <w:pPr>
              <w:spacing w:after="0"/>
              <w:rPr>
                <w:sz w:val="24"/>
                <w:szCs w:val="24"/>
                <w:color w:val="auto"/>
              </w:rPr>
            </w:pPr>
          </w:p>
        </w:tc>
        <w:tc>
          <w:tcPr>
            <w:tcW w:w="7080" w:type="dxa"/>
            <w:vAlign w:val="bottom"/>
          </w:tcPr>
          <w:p>
            <w:pPr>
              <w:jc w:val="center"/>
              <w:ind w:right="227"/>
              <w:spacing w:after="0"/>
              <w:rPr>
                <w:sz w:val="20"/>
                <w:szCs w:val="20"/>
                <w:color w:val="auto"/>
              </w:rPr>
            </w:pPr>
            <w:r>
              <w:rPr>
                <w:rFonts w:ascii="Arial" w:cs="Arial" w:eastAsia="Arial" w:hAnsi="Arial"/>
                <w:sz w:val="15"/>
                <w:szCs w:val="15"/>
                <w:b w:val="1"/>
                <w:bCs w:val="1"/>
                <w:color w:val="auto"/>
                <w:w w:val="86"/>
              </w:rPr>
              <w:t>Senior Vice President</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rPr>
                <w:sz w:val="15"/>
                <w:szCs w:val="15"/>
                <w:color w:val="auto"/>
              </w:rPr>
            </w:pPr>
          </w:p>
        </w:tc>
        <w:tc>
          <w:tcPr>
            <w:tcW w:w="7080" w:type="dxa"/>
            <w:vAlign w:val="bottom"/>
          </w:tcPr>
          <w:p>
            <w:pPr>
              <w:jc w:val="center"/>
              <w:ind w:right="207"/>
              <w:spacing w:after="0"/>
              <w:rPr>
                <w:sz w:val="20"/>
                <w:szCs w:val="20"/>
                <w:color w:val="auto"/>
              </w:rPr>
            </w:pPr>
            <w:r>
              <w:rPr>
                <w:rFonts w:ascii="Arial" w:cs="Arial" w:eastAsia="Arial" w:hAnsi="Arial"/>
                <w:sz w:val="15"/>
                <w:szCs w:val="15"/>
                <w:b w:val="1"/>
                <w:bCs w:val="1"/>
                <w:color w:val="auto"/>
                <w:w w:val="88"/>
              </w:rPr>
              <w:t>Comcast Corporation</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rPr>
                <w:sz w:val="15"/>
                <w:szCs w:val="15"/>
                <w:color w:val="auto"/>
              </w:rPr>
            </w:pPr>
          </w:p>
        </w:tc>
        <w:tc>
          <w:tcPr>
            <w:tcW w:w="7080" w:type="dxa"/>
            <w:vAlign w:val="bottom"/>
          </w:tcPr>
          <w:p>
            <w:pPr>
              <w:jc w:val="center"/>
              <w:ind w:right="227"/>
              <w:spacing w:after="0"/>
              <w:rPr>
                <w:sz w:val="20"/>
                <w:szCs w:val="20"/>
                <w:color w:val="auto"/>
              </w:rPr>
            </w:pPr>
            <w:r>
              <w:rPr>
                <w:rFonts w:ascii="Arial" w:cs="Arial" w:eastAsia="Arial" w:hAnsi="Arial"/>
                <w:sz w:val="15"/>
                <w:szCs w:val="15"/>
                <w:b w:val="1"/>
                <w:bCs w:val="1"/>
                <w:color w:val="auto"/>
                <w:w w:val="87"/>
              </w:rPr>
              <w:t>Philadelphia, Pennsylvania 19102-2148</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080" w:type="dxa"/>
            <w:vAlign w:val="bottom"/>
          </w:tcPr>
          <w:p>
            <w:pPr>
              <w:jc w:val="center"/>
              <w:ind w:right="227"/>
              <w:spacing w:after="0"/>
              <w:rPr>
                <w:sz w:val="20"/>
                <w:szCs w:val="20"/>
                <w:color w:val="auto"/>
              </w:rPr>
            </w:pPr>
            <w:r>
              <w:rPr>
                <w:rFonts w:ascii="Arial" w:cs="Arial" w:eastAsia="Arial" w:hAnsi="Arial"/>
                <w:sz w:val="15"/>
                <w:szCs w:val="15"/>
                <w:b w:val="1"/>
                <w:bCs w:val="1"/>
                <w:color w:val="auto"/>
                <w:w w:val="87"/>
              </w:rPr>
              <w:t>(215) 665-1700</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800" w:type="dxa"/>
            <w:vAlign w:val="bottom"/>
          </w:tcPr>
          <w:p>
            <w:pPr>
              <w:spacing w:after="0"/>
              <w:rPr>
                <w:sz w:val="16"/>
                <w:szCs w:val="16"/>
                <w:color w:val="auto"/>
              </w:rPr>
            </w:pPr>
          </w:p>
        </w:tc>
        <w:tc>
          <w:tcPr>
            <w:tcW w:w="7080" w:type="dxa"/>
            <w:vAlign w:val="bottom"/>
          </w:tcPr>
          <w:p>
            <w:pPr>
              <w:jc w:val="center"/>
              <w:ind w:right="227"/>
              <w:spacing w:after="0"/>
              <w:rPr>
                <w:sz w:val="20"/>
                <w:szCs w:val="20"/>
                <w:color w:val="auto"/>
              </w:rPr>
            </w:pPr>
            <w:r>
              <w:rPr>
                <w:rFonts w:ascii="Arial" w:cs="Arial" w:eastAsia="Arial" w:hAnsi="Arial"/>
                <w:sz w:val="15"/>
                <w:szCs w:val="15"/>
                <w:i w:val="1"/>
                <w:iCs w:val="1"/>
                <w:color w:val="auto"/>
                <w:w w:val="87"/>
              </w:rPr>
              <w:t>(Name, address, including zip code, and telephone number, including area code, of agent for service)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Copies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Bruce K. Dallas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Davis Polk &amp; Wardwell</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1600 El Camino Real</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Menlo Park, California 94025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(650) 752-2000</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becomes effective.</w:t>
      </w:r>
    </w:p>
    <w:p>
      <w:pPr>
        <w:spacing w:after="0" w:line="185" w:lineRule="exact"/>
        <w:rPr>
          <w:sz w:val="20"/>
          <w:szCs w:val="20"/>
          <w:color w:val="auto"/>
        </w:rPr>
      </w:pPr>
    </w:p>
    <w:p>
      <w:pPr>
        <w:ind w:left="240"/>
        <w:spacing w:after="0" w:line="138" w:lineRule="exact"/>
        <w:tabs>
          <w:tab w:leader="none" w:pos="1106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MS PGothic" w:cs="MS PGothic" w:eastAsia="MS PGothic" w:hAnsi="MS PGothic"/>
          <w:sz w:val="12"/>
          <w:szCs w:val="12"/>
          <w:color w:val="auto"/>
        </w:rPr>
        <w:t>☑</w:t>
      </w:r>
    </w:p>
    <w:p>
      <w:pPr>
        <w:spacing w:after="0" w:line="271" w:lineRule="exact"/>
        <w:rPr>
          <w:sz w:val="20"/>
          <w:szCs w:val="20"/>
          <w:color w:val="auto"/>
        </w:rPr>
      </w:pPr>
    </w:p>
    <w:p>
      <w:pPr>
        <w:ind w:right="400" w:firstLine="224"/>
        <w:spacing w:after="0" w:line="268"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-33020</wp:posOffset>
            </wp:positionV>
            <wp:extent cx="6248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4840" cy="6985"/>
                    </a:xfrm>
                    <a:prstGeom prst="rect">
                      <a:avLst/>
                    </a:prstGeom>
                    <a:noFill/>
                  </pic:spPr>
                </pic:pic>
              </a:graphicData>
            </a:graphic>
          </wp:anchor>
        </w:drawing>
      </w:r>
    </w:p>
    <w:p>
      <w:pPr>
        <w:spacing w:after="0" w:line="155" w:lineRule="exact"/>
        <w:rPr>
          <w:sz w:val="20"/>
          <w:szCs w:val="20"/>
          <w:color w:val="auto"/>
        </w:rPr>
      </w:pPr>
    </w:p>
    <w:p>
      <w:pPr>
        <w:ind w:firstLine="224"/>
        <w:spacing w:after="0" w:line="268" w:lineRule="auto"/>
        <w:rPr>
          <w:sz w:val="20"/>
          <w:szCs w:val="20"/>
          <w:color w:val="auto"/>
        </w:rPr>
      </w:pPr>
      <w:r>
        <w:rPr>
          <w:rFonts w:ascii="Arial" w:cs="Arial" w:eastAsia="Arial" w:hAnsi="Arial"/>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-33020</wp:posOffset>
            </wp:positionV>
            <wp:extent cx="6248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4840" cy="6985"/>
                    </a:xfrm>
                    <a:prstGeom prst="rect">
                      <a:avLst/>
                    </a:prstGeom>
                    <a:noFill/>
                  </pic:spPr>
                </pic:pic>
              </a:graphicData>
            </a:graphic>
          </wp:anchor>
        </w:drawing>
      </w:r>
    </w:p>
    <w:p>
      <w:pPr>
        <w:spacing w:after="0" w:line="155" w:lineRule="exact"/>
        <w:rPr>
          <w:sz w:val="20"/>
          <w:szCs w:val="20"/>
          <w:color w:val="auto"/>
        </w:rPr>
      </w:pPr>
    </w:p>
    <w:p>
      <w:pPr>
        <w:ind w:left="240"/>
        <w:spacing w:after="0"/>
        <w:tabs>
          <w:tab w:leader="none" w:pos="6540" w:val="left"/>
        </w:tabs>
        <w:rPr>
          <w:sz w:val="20"/>
          <w:szCs w:val="20"/>
          <w:color w:val="auto"/>
        </w:rPr>
      </w:pPr>
      <w:r>
        <w:rPr>
          <w:rFonts w:ascii="Arial" w:cs="Arial" w:eastAsia="Arial" w:hAnsi="Arial"/>
          <w:sz w:val="12"/>
          <w:szCs w:val="12"/>
          <w:color w:val="auto"/>
        </w:rPr>
        <w:t>If delivery of the prospectus is expected to be made pursuant to Rule 434, please check the following box:</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300990</wp:posOffset>
            </wp:positionV>
            <wp:extent cx="72701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1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422275</wp:posOffset>
            </wp:positionV>
            <wp:extent cx="72701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1"/>
                <w:szCs w:val="11"/>
                <w:b w:val="1"/>
                <w:bCs w:val="1"/>
                <w:color w:val="auto"/>
                <w:w w:val="91"/>
              </w:rPr>
              <w:t>Proposed Maximum</w:t>
            </w:r>
          </w:p>
        </w:tc>
        <w:tc>
          <w:tcPr>
            <w:tcW w:w="2000" w:type="dxa"/>
            <w:vAlign w:val="bottom"/>
          </w:tcPr>
          <w:p>
            <w:pPr>
              <w:jc w:val="center"/>
              <w:ind w:right="124"/>
              <w:spacing w:after="0"/>
              <w:rPr>
                <w:sz w:val="20"/>
                <w:szCs w:val="20"/>
                <w:color w:val="auto"/>
              </w:rPr>
            </w:pPr>
            <w:r>
              <w:rPr>
                <w:rFonts w:ascii="Arial" w:cs="Arial" w:eastAsia="Arial" w:hAnsi="Arial"/>
                <w:sz w:val="11"/>
                <w:szCs w:val="11"/>
                <w:b w:val="1"/>
                <w:bCs w:val="1"/>
                <w:color w:val="auto"/>
                <w:w w:val="93"/>
              </w:rPr>
              <w:t>Proposed Maximum</w:t>
            </w:r>
          </w:p>
        </w:tc>
        <w:tc>
          <w:tcPr>
            <w:tcW w:w="1200" w:type="dxa"/>
            <w:vAlign w:val="bottom"/>
          </w:tcPr>
          <w:p>
            <w:pPr>
              <w:jc w:val="center"/>
              <w:ind w:left="544"/>
              <w:spacing w:after="0"/>
              <w:rPr>
                <w:sz w:val="20"/>
                <w:szCs w:val="20"/>
                <w:color w:val="auto"/>
              </w:rPr>
            </w:pPr>
            <w:r>
              <w:rPr>
                <w:rFonts w:ascii="Arial" w:cs="Arial" w:eastAsia="Arial" w:hAnsi="Arial"/>
                <w:sz w:val="11"/>
                <w:szCs w:val="11"/>
                <w:b w:val="1"/>
                <w:bCs w:val="1"/>
                <w:color w:val="auto"/>
                <w:w w:val="94"/>
              </w:rPr>
              <w:t>Amount of</w:t>
            </w:r>
          </w:p>
        </w:tc>
      </w:tr>
      <w:tr>
        <w:trPr>
          <w:trHeight w:val="123"/>
        </w:trPr>
        <w:tc>
          <w:tcPr>
            <w:tcW w:w="2260" w:type="dxa"/>
            <w:vAlign w:val="bottom"/>
          </w:tcPr>
          <w:p>
            <w:pPr>
              <w:jc w:val="center"/>
              <w:ind w:right="944"/>
              <w:spacing w:after="0" w:line="124" w:lineRule="exact"/>
              <w:rPr>
                <w:sz w:val="20"/>
                <w:szCs w:val="20"/>
                <w:color w:val="auto"/>
              </w:rPr>
            </w:pPr>
            <w:r>
              <w:rPr>
                <w:rFonts w:ascii="Arial" w:cs="Arial" w:eastAsia="Arial" w:hAnsi="Arial"/>
                <w:sz w:val="11"/>
                <w:szCs w:val="11"/>
                <w:b w:val="1"/>
                <w:bCs w:val="1"/>
                <w:color w:val="auto"/>
                <w:w w:val="91"/>
              </w:rPr>
              <w:t>Title of Each Class of</w:t>
            </w:r>
          </w:p>
        </w:tc>
        <w:tc>
          <w:tcPr>
            <w:tcW w:w="2240" w:type="dxa"/>
            <w:vAlign w:val="bottom"/>
          </w:tcPr>
          <w:p>
            <w:pPr>
              <w:jc w:val="center"/>
              <w:ind w:left="424"/>
              <w:spacing w:after="0" w:line="124" w:lineRule="exact"/>
              <w:rPr>
                <w:sz w:val="20"/>
                <w:szCs w:val="20"/>
                <w:color w:val="auto"/>
              </w:rPr>
            </w:pPr>
            <w:r>
              <w:rPr>
                <w:rFonts w:ascii="Arial" w:cs="Arial" w:eastAsia="Arial" w:hAnsi="Arial"/>
                <w:sz w:val="11"/>
                <w:szCs w:val="11"/>
                <w:b w:val="1"/>
                <w:bCs w:val="1"/>
                <w:color w:val="auto"/>
                <w:w w:val="94"/>
              </w:rPr>
              <w:t>Amount to</w:t>
            </w:r>
          </w:p>
        </w:tc>
        <w:tc>
          <w:tcPr>
            <w:tcW w:w="18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3"/>
              </w:rPr>
              <w:t>Offering Price</w:t>
            </w:r>
          </w:p>
        </w:tc>
        <w:tc>
          <w:tcPr>
            <w:tcW w:w="2000" w:type="dxa"/>
            <w:vAlign w:val="bottom"/>
          </w:tcPr>
          <w:p>
            <w:pPr>
              <w:jc w:val="center"/>
              <w:ind w:right="124"/>
              <w:spacing w:after="0" w:line="124" w:lineRule="exact"/>
              <w:rPr>
                <w:sz w:val="20"/>
                <w:szCs w:val="20"/>
                <w:color w:val="auto"/>
              </w:rPr>
            </w:pPr>
            <w:r>
              <w:rPr>
                <w:rFonts w:ascii="Arial" w:cs="Arial" w:eastAsia="Arial" w:hAnsi="Arial"/>
                <w:sz w:val="11"/>
                <w:szCs w:val="11"/>
                <w:b w:val="1"/>
                <w:bCs w:val="1"/>
                <w:color w:val="auto"/>
                <w:w w:val="93"/>
              </w:rPr>
              <w:t>Aggregate Offering</w:t>
            </w:r>
          </w:p>
        </w:tc>
        <w:tc>
          <w:tcPr>
            <w:tcW w:w="1200" w:type="dxa"/>
            <w:vAlign w:val="bottom"/>
          </w:tcPr>
          <w:p>
            <w:pPr>
              <w:jc w:val="center"/>
              <w:ind w:left="544"/>
              <w:spacing w:after="0" w:line="124" w:lineRule="exact"/>
              <w:rPr>
                <w:sz w:val="20"/>
                <w:szCs w:val="20"/>
                <w:color w:val="auto"/>
              </w:rPr>
            </w:pPr>
            <w:r>
              <w:rPr>
                <w:rFonts w:ascii="Arial" w:cs="Arial" w:eastAsia="Arial" w:hAnsi="Arial"/>
                <w:sz w:val="11"/>
                <w:szCs w:val="11"/>
                <w:b w:val="1"/>
                <w:bCs w:val="1"/>
                <w:color w:val="auto"/>
                <w:w w:val="93"/>
              </w:rPr>
              <w:t>Registration</w:t>
            </w:r>
          </w:p>
        </w:tc>
      </w:tr>
      <w:tr>
        <w:trPr>
          <w:trHeight w:val="144"/>
        </w:trPr>
        <w:tc>
          <w:tcPr>
            <w:tcW w:w="2260" w:type="dxa"/>
            <w:vAlign w:val="bottom"/>
          </w:tcPr>
          <w:p>
            <w:pPr>
              <w:jc w:val="center"/>
              <w:ind w:right="924"/>
              <w:spacing w:after="0"/>
              <w:rPr>
                <w:sz w:val="20"/>
                <w:szCs w:val="20"/>
                <w:color w:val="auto"/>
              </w:rPr>
            </w:pPr>
            <w:r>
              <w:rPr>
                <w:rFonts w:ascii="Arial" w:cs="Arial" w:eastAsia="Arial" w:hAnsi="Arial"/>
                <w:sz w:val="11"/>
                <w:szCs w:val="11"/>
                <w:b w:val="1"/>
                <w:bCs w:val="1"/>
                <w:color w:val="auto"/>
                <w:w w:val="90"/>
              </w:rPr>
              <w:t>Securities to be Registered</w:t>
            </w:r>
          </w:p>
        </w:tc>
        <w:tc>
          <w:tcPr>
            <w:tcW w:w="2240" w:type="dxa"/>
            <w:vAlign w:val="bottom"/>
          </w:tcPr>
          <w:p>
            <w:pPr>
              <w:jc w:val="center"/>
              <w:ind w:left="444"/>
              <w:spacing w:after="0"/>
              <w:rPr>
                <w:sz w:val="20"/>
                <w:szCs w:val="20"/>
                <w:color w:val="auto"/>
              </w:rPr>
            </w:pPr>
            <w:r>
              <w:rPr>
                <w:rFonts w:ascii="Arial" w:cs="Arial" w:eastAsia="Arial" w:hAnsi="Arial"/>
                <w:sz w:val="11"/>
                <w:szCs w:val="11"/>
                <w:b w:val="1"/>
                <w:bCs w:val="1"/>
                <w:color w:val="auto"/>
                <w:w w:val="90"/>
              </w:rPr>
              <w:t>be Registered(1)</w:t>
            </w:r>
          </w:p>
        </w:tc>
        <w:tc>
          <w:tcPr>
            <w:tcW w:w="1880" w:type="dxa"/>
            <w:vAlign w:val="bottom"/>
          </w:tcPr>
          <w:p>
            <w:pPr>
              <w:jc w:val="center"/>
              <w:ind w:left="4"/>
              <w:spacing w:after="0"/>
              <w:rPr>
                <w:sz w:val="20"/>
                <w:szCs w:val="20"/>
                <w:color w:val="auto"/>
              </w:rPr>
            </w:pPr>
            <w:r>
              <w:rPr>
                <w:rFonts w:ascii="Arial" w:cs="Arial" w:eastAsia="Arial" w:hAnsi="Arial"/>
                <w:sz w:val="11"/>
                <w:szCs w:val="11"/>
                <w:b w:val="1"/>
                <w:bCs w:val="1"/>
                <w:color w:val="auto"/>
                <w:w w:val="97"/>
              </w:rPr>
              <w:t>Per Unit(2)</w:t>
            </w:r>
          </w:p>
        </w:tc>
        <w:tc>
          <w:tcPr>
            <w:tcW w:w="2000" w:type="dxa"/>
            <w:vAlign w:val="bottom"/>
          </w:tcPr>
          <w:p>
            <w:pPr>
              <w:jc w:val="center"/>
              <w:ind w:right="124"/>
              <w:spacing w:after="0"/>
              <w:rPr>
                <w:sz w:val="20"/>
                <w:szCs w:val="20"/>
                <w:color w:val="auto"/>
              </w:rPr>
            </w:pPr>
            <w:r>
              <w:rPr>
                <w:rFonts w:ascii="Arial" w:cs="Arial" w:eastAsia="Arial" w:hAnsi="Arial"/>
                <w:sz w:val="11"/>
                <w:szCs w:val="11"/>
                <w:b w:val="1"/>
                <w:bCs w:val="1"/>
                <w:color w:val="auto"/>
                <w:w w:val="96"/>
              </w:rPr>
              <w:t>Price</w:t>
            </w:r>
          </w:p>
        </w:tc>
        <w:tc>
          <w:tcPr>
            <w:tcW w:w="1200" w:type="dxa"/>
            <w:vAlign w:val="bottom"/>
          </w:tcPr>
          <w:p>
            <w:pPr>
              <w:jc w:val="center"/>
              <w:ind w:left="564"/>
              <w:spacing w:after="0"/>
              <w:rPr>
                <w:sz w:val="20"/>
                <w:szCs w:val="20"/>
                <w:color w:val="auto"/>
              </w:rPr>
            </w:pPr>
            <w:r>
              <w:rPr>
                <w:rFonts w:ascii="Arial" w:cs="Arial" w:eastAsia="Arial" w:hAnsi="Arial"/>
                <w:sz w:val="11"/>
                <w:szCs w:val="11"/>
                <w:b w:val="1"/>
                <w:bCs w:val="1"/>
                <w:color w:val="auto"/>
                <w:w w:val="92"/>
              </w:rPr>
              <w:t>Fee(3)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50800</wp:posOffset>
            </wp:positionV>
            <wp:extent cx="72701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Senior Debt Securities and Subordinated Debt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Securities (collectively, “Debt Securities”)(4)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2701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 without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66040</wp:posOffset>
            </wp:positionV>
            <wp:extent cx="727011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Depositary Shares representing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66040</wp:posOffset>
            </wp:positionV>
            <wp:extent cx="727011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Class A Common Stock,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66040</wp:posOffset>
            </wp:positionV>
            <wp:extent cx="72701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Class A Special 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66040</wp:posOffset>
            </wp:positionV>
            <wp:extent cx="727011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Warrants(5)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66040</wp:posOffset>
            </wp:positionV>
            <wp:extent cx="727011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Purchase Contracts(5)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66040</wp:posOffset>
            </wp:positionV>
            <wp:extent cx="727011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Units(5)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66040</wp:posOffset>
            </wp:positionV>
            <wp:extent cx="727011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Guarantees of the Debt Securities, Warrants, Purchase Contracts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and Units(3)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27011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71" w:lineRule="exact"/>
        <w:rPr>
          <w:sz w:val="20"/>
          <w:szCs w:val="20"/>
          <w:color w:val="auto"/>
        </w:rPr>
      </w:pPr>
    </w:p>
    <w:p>
      <w:pPr>
        <w:spacing w:after="0"/>
        <w:tabs>
          <w:tab w:leader="none" w:pos="4780" w:val="left"/>
          <w:tab w:leader="none" w:pos="6540" w:val="left"/>
          <w:tab w:leader="none" w:pos="8460" w:val="left"/>
          <w:tab w:leader="none" w:pos="10460" w:val="left"/>
        </w:tabs>
        <w:rPr>
          <w:sz w:val="20"/>
          <w:szCs w:val="20"/>
          <w:color w:val="auto"/>
        </w:rPr>
      </w:pPr>
      <w:r>
        <w:rPr>
          <w:rFonts w:ascii="Arial" w:cs="Arial" w:eastAsia="Arial" w:hAnsi="Arial"/>
          <w:sz w:val="15"/>
          <w:szCs w:val="15"/>
          <w:color w:val="auto"/>
        </w:rPr>
        <w:t>Total</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100%</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66040</wp:posOffset>
            </wp:positionV>
            <wp:extent cx="727011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1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187325</wp:posOffset>
            </wp:positionV>
            <wp:extent cx="727011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360" w:right="200" w:hanging="350"/>
        <w:spacing w:after="0" w:line="255" w:lineRule="auto"/>
        <w:tabs>
          <w:tab w:leader="none" w:pos="3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This registration statement relates to guarantees by Comcast MO of Delaware, Inc. of the remaining $7,000,000,000 initial offering price of Debt Securities, Warrants, Purchase Contracts, and Units the offer and sale of which was registered under the registration statement, file no. 333-101861, of the registrants other than Comcast MO of Delaware, Inc., which was declared effective on December 23, 2002. Pursuant to Rule 429 under the Securities Act of 1933, as amended, the prospectus which forms a part of this registration statement also relates to the securities registered under such prior registration statement.</w:t>
      </w:r>
    </w:p>
    <w:p>
      <w:pPr>
        <w:spacing w:after="0" w:line="186" w:lineRule="exact"/>
        <w:rPr>
          <w:rFonts w:ascii="Arial" w:cs="Arial" w:eastAsia="Arial" w:hAnsi="Arial"/>
          <w:sz w:val="15"/>
          <w:szCs w:val="15"/>
          <w:color w:val="auto"/>
        </w:rPr>
      </w:pPr>
    </w:p>
    <w:p>
      <w:pPr>
        <w:ind w:left="360" w:hanging="350"/>
        <w:spacing w:after="0"/>
        <w:tabs>
          <w:tab w:leader="none" w:pos="36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w:t>
      </w:r>
    </w:p>
    <w:p>
      <w:pPr>
        <w:spacing w:after="0" w:line="208" w:lineRule="exact"/>
        <w:rPr>
          <w:rFonts w:ascii="Arial" w:cs="Arial" w:eastAsia="Arial" w:hAnsi="Arial"/>
          <w:sz w:val="15"/>
          <w:szCs w:val="15"/>
          <w:color w:val="auto"/>
        </w:rPr>
      </w:pPr>
    </w:p>
    <w:p>
      <w:pPr>
        <w:ind w:left="360" w:hanging="350"/>
        <w:spacing w:after="0"/>
        <w:tabs>
          <w:tab w:leader="none" w:pos="3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Pursuant to Rule 457(n), no separate registration fee is payable in connection with the Guarantees.</w:t>
      </w:r>
    </w:p>
    <w:p>
      <w:pPr>
        <w:sectPr>
          <w:pgSz w:w="11900" w:h="16838" w:orient="portrait"/>
          <w:cols w:equalWidth="0" w:num="1">
            <w:col w:w="11460"/>
          </w:cols>
          <w:pgMar w:left="220" w:top="125" w:right="219" w:bottom="0" w:gutter="0" w:footer="0" w:header="0"/>
        </w:sectPr>
      </w:pPr>
    </w:p>
    <w:bookmarkStart w:id="2" w:name="page3"/>
    <w:bookmarkEnd w:id="2"/>
    <w:p>
      <w:pPr>
        <w:ind w:left="360" w:right="280" w:hanging="350"/>
        <w:spacing w:after="0" w:line="268" w:lineRule="auto"/>
        <w:tabs>
          <w:tab w:leader="none" w:pos="36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Comcast Cable Communications, Inc., Comcast Cable Communications Holdings, Inc., Comcast Cable Holdings, LLC, Comcast MO Group, Inc. and Comcast MO of Delaware, Inc. (collectively, the “Cable Guarantors”) will fully and unconditionally guarantee the Debt Securities.</w:t>
      </w:r>
    </w:p>
    <w:p>
      <w:pPr>
        <w:spacing w:after="0" w:line="175" w:lineRule="exact"/>
        <w:rPr>
          <w:rFonts w:ascii="Arial" w:cs="Arial" w:eastAsia="Arial" w:hAnsi="Arial"/>
          <w:sz w:val="15"/>
          <w:szCs w:val="15"/>
          <w:color w:val="auto"/>
        </w:rPr>
      </w:pPr>
    </w:p>
    <w:p>
      <w:pPr>
        <w:ind w:left="360" w:hanging="350"/>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indicated in the relevant prospectus supplement, the Warrants, Purchase Contracts and/or Units may be fully and unconditionally guaranteed by specified Cable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130175</wp:posOffset>
            </wp:positionV>
            <wp:extent cx="190119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387" w:lineRule="exact"/>
        <w:rPr>
          <w:sz w:val="20"/>
          <w:szCs w:val="20"/>
          <w:color w:val="auto"/>
        </w:rPr>
      </w:pPr>
    </w:p>
    <w:p>
      <w:pPr>
        <w:ind w:firstLine="224"/>
        <w:spacing w:after="0" w:line="28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94615</wp:posOffset>
            </wp:positionV>
            <wp:extent cx="728408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0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158750</wp:posOffset>
            </wp:positionV>
            <wp:extent cx="728408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0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277495</wp:posOffset>
            </wp:positionV>
            <wp:extent cx="727519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260"/>
          </w:cols>
          <w:pgMar w:left="220" w:top="334" w:right="419" w:bottom="1440" w:gutter="0" w:footer="0" w:header="0"/>
        </w:sectPr>
      </w:pPr>
    </w:p>
    <w:bookmarkStart w:id="3" w:name="page4"/>
    <w:bookmarkEnd w:id="3"/>
    <w:p>
      <w:pPr>
        <w:ind w:left="420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77"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SUMMARY</w:t>
        </w:r>
      </w:hyperlink>
    </w:p>
    <w:p>
      <w:pPr>
        <w:spacing w:after="0" w:line="6"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p>
      <w:pPr>
        <w:spacing w:after="0" w:line="234"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SPECIAL NOTE REGARDING FORWARD-LOOKING STATEMENTS</w:t>
        </w:r>
      </w:hyperlink>
    </w:p>
    <w:p>
      <w:pPr>
        <w:spacing w:after="0" w:line="234"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USE OF PROCEEDS</w:t>
        </w:r>
      </w:hyperlink>
    </w:p>
    <w:p>
      <w:pPr>
        <w:spacing w:after="0" w:line="234"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DIVIDEND POLICY</w:t>
        </w:r>
      </w:hyperlink>
    </w:p>
    <w:p>
      <w:pPr>
        <w:spacing w:after="0" w:line="234"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RATIOS OF EARNINGS TO FIXED CHARGES</w:t>
        </w:r>
      </w:hyperlink>
    </w:p>
    <w:p>
      <w:pPr>
        <w:spacing w:after="0" w:line="234" w:lineRule="auto"/>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RATIO OF EARNINGS TO COMBINED FIXED CHARGES AND PREFERRED DIVIDENDS</w:t>
        </w:r>
      </w:hyperlink>
    </w:p>
    <w:p>
      <w:pPr>
        <w:ind w:right="399"/>
        <w:spacing w:after="0" w:line="234" w:lineRule="auto"/>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UNAUDITED PRO FORMA COMBINED CONDENSED STATEMENT OF OPERATIONS OF COMCAST CORPORATION</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UNAUDITED PRO FORMA COMBINED CONDENSED STATEMENT OF OPERATIONS</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STATEMENT OF OPERATIONS</w:t>
        </w:r>
      </w:hyperlink>
    </w:p>
    <w:p>
      <w:pPr>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DESCRIPTION OF THE SENIOR DEBT SECURITIES, SUBORDINATED DEBT SECURITIES AND CABLE GUARANTEES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DESCRIPTION OF WARRANTS</w:t>
        </w:r>
      </w:hyperlink>
    </w:p>
    <w:p>
      <w:pPr>
        <w:spacing w:after="0" w:line="234"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PURCHASE CONTRACTS</w:t>
        </w:r>
      </w:hyperlink>
    </w:p>
    <w:p>
      <w:pPr>
        <w:spacing w:after="0" w:line="234"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UNITS</w:t>
        </w:r>
      </w:hyperlink>
    </w:p>
    <w:p>
      <w:pPr>
        <w:spacing w:after="0" w:line="234"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GLOBAL SECURITIES</w:t>
        </w:r>
      </w:hyperlink>
    </w:p>
    <w:p>
      <w:pPr>
        <w:spacing w:after="0" w:line="234" w:lineRule="auto"/>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PREFERRED STOCK</w:t>
        </w:r>
      </w:hyperlink>
    </w:p>
    <w:p>
      <w:pPr>
        <w:spacing w:after="0" w:line="234" w:lineRule="auto"/>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DESCRIPTION OF DEPOSITARY SHARES</w:t>
        </w:r>
      </w:hyperlink>
    </w:p>
    <w:p>
      <w:pPr>
        <w:spacing w:after="0" w:line="234" w:lineRule="auto"/>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COMMON STOCK</w:t>
        </w:r>
      </w:hyperlink>
    </w:p>
    <w:p>
      <w:pPr>
        <w:spacing w:after="0" w:line="234" w:lineRule="auto"/>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DESCRIPTION OF SHAREHOLDER RIGHTS PLAN</w:t>
        </w:r>
      </w:hyperlink>
    </w:p>
    <w:p>
      <w:pPr>
        <w:spacing w:after="0" w:line="234"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PLAN OF DISTRIBUTION</w:t>
        </w:r>
      </w:hyperlink>
    </w:p>
    <w:p>
      <w:pPr>
        <w:spacing w:after="0" w:line="234"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LEGAL MATTERS</w:t>
        </w:r>
      </w:hyperlink>
    </w:p>
    <w:p>
      <w:pPr>
        <w:spacing w:after="0" w:line="234"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EXPERTS</w:t>
        </w:r>
      </w:hyperlink>
    </w:p>
    <w:p>
      <w:pPr>
        <w:spacing w:after="0" w:line="234"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AVAILABLE INFORMATION</w:t>
        </w:r>
      </w:hyperlink>
    </w:p>
    <w:p>
      <w:pPr>
        <w:ind w:right="4599"/>
        <w:spacing w:after="0" w:line="234" w:lineRule="auto"/>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INCORPORATION OF CERTAIN DOCUMENTS BY REFERENCE</w:t>
        </w:r>
      </w:hyperlink>
      <w:r>
        <w:rPr>
          <w:rFonts w:ascii="Arial" w:cs="Arial" w:eastAsia="Arial" w:hAnsi="Arial"/>
          <w:sz w:val="18"/>
          <w:szCs w:val="18"/>
          <w:u w:val="single" w:color="auto"/>
          <w:color w:val="0000EE"/>
        </w:rPr>
        <w:t xml:space="preserve"> </w:t>
      </w:r>
      <w:hyperlink w:anchor="page53">
        <w:r>
          <w:rPr>
            <w:rFonts w:ascii="Arial" w:cs="Arial" w:eastAsia="Arial" w:hAnsi="Arial"/>
            <w:sz w:val="18"/>
            <w:szCs w:val="18"/>
            <w:u w:val="single" w:color="auto"/>
            <w:color w:val="0000EE"/>
          </w:rPr>
          <w:t>PART II</w:t>
        </w:r>
      </w:hyperlink>
    </w:p>
    <w:p>
      <w:pPr>
        <w:ind w:left="320"/>
        <w:spacing w:after="0" w:line="234" w:lineRule="auto"/>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14. Other Expenses of Issuance and Distribution</w:t>
        </w:r>
      </w:hyperlink>
    </w:p>
    <w:p>
      <w:pPr>
        <w:ind w:left="320"/>
        <w:spacing w:after="0" w:line="234" w:lineRule="auto"/>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15. Indemnification of Directors and Officers</w:t>
        </w:r>
      </w:hyperlink>
    </w:p>
    <w:p>
      <w:pPr>
        <w:ind w:left="320"/>
        <w:spacing w:after="0" w:line="234" w:lineRule="auto"/>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16. Exhibits</w:t>
        </w:r>
      </w:hyperlink>
    </w:p>
    <w:p>
      <w:pPr>
        <w:ind w:left="320"/>
        <w:spacing w:after="0" w:line="234" w:lineRule="auto"/>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17. Undertakings</w:t>
        </w:r>
      </w:hyperlink>
    </w:p>
    <w:p>
      <w:pPr>
        <w:ind w:right="3579"/>
        <w:spacing w:after="0" w:line="234" w:lineRule="auto"/>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SIGNATURES AND POWER OF ATTORNEY FOR COMCAST CORPORATION</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EXHIBIT LIST</w:t>
        </w:r>
      </w:hyperlink>
    </w:p>
    <w:p>
      <w:pPr>
        <w:spacing w:after="0" w:line="234" w:lineRule="auto"/>
        <w:rPr>
          <w:sz w:val="20"/>
          <w:szCs w:val="20"/>
          <w:color w:val="auto"/>
        </w:rPr>
      </w:pPr>
      <w:r>
        <w:rPr>
          <w:rFonts w:ascii="Arial" w:cs="Arial" w:eastAsia="Arial" w:hAnsi="Arial"/>
          <w:sz w:val="18"/>
          <w:szCs w:val="18"/>
          <w:u w:val="single" w:color="auto"/>
          <w:color w:val="0000EE"/>
        </w:rPr>
        <w:t>COMCAST CORPORATION</w:t>
      </w:r>
    </w:p>
    <w:p>
      <w:pPr>
        <w:spacing w:after="0" w:line="234" w:lineRule="auto"/>
        <w:rPr>
          <w:sz w:val="20"/>
          <w:szCs w:val="20"/>
          <w:color w:val="auto"/>
        </w:rPr>
      </w:pPr>
      <w:r>
        <w:rPr>
          <w:rFonts w:ascii="Arial" w:cs="Arial" w:eastAsia="Arial" w:hAnsi="Arial"/>
          <w:sz w:val="18"/>
          <w:szCs w:val="18"/>
          <w:u w:val="single" w:color="auto"/>
          <w:color w:val="0000EE"/>
        </w:rPr>
        <w:t>FORM OF AMENDMENT TO SENIOR INDENTURE...</w:t>
      </w:r>
    </w:p>
    <w:p>
      <w:pPr>
        <w:spacing w:after="0" w:line="234" w:lineRule="auto"/>
        <w:rPr>
          <w:sz w:val="20"/>
          <w:szCs w:val="20"/>
          <w:color w:val="auto"/>
        </w:rPr>
      </w:pPr>
      <w:r>
        <w:rPr>
          <w:rFonts w:ascii="Arial" w:cs="Arial" w:eastAsia="Arial" w:hAnsi="Arial"/>
          <w:sz w:val="18"/>
          <w:szCs w:val="18"/>
          <w:u w:val="single" w:color="auto"/>
          <w:color w:val="0000EE"/>
        </w:rPr>
        <w:t>OPINION OF ARTHUR R. BLOCK.</w:t>
      </w:r>
    </w:p>
    <w:p>
      <w:pPr>
        <w:spacing w:after="0" w:line="234" w:lineRule="auto"/>
        <w:rPr>
          <w:sz w:val="20"/>
          <w:szCs w:val="20"/>
          <w:color w:val="auto"/>
        </w:rPr>
      </w:pPr>
      <w:r>
        <w:rPr>
          <w:rFonts w:ascii="Arial" w:cs="Arial" w:eastAsia="Arial" w:hAnsi="Arial"/>
          <w:sz w:val="18"/>
          <w:szCs w:val="18"/>
          <w:u w:val="single" w:color="auto"/>
          <w:color w:val="0000EE"/>
        </w:rPr>
        <w:t>OPINION OF DAVIS POLK &amp; WARDWELL.</w:t>
      </w:r>
    </w:p>
    <w:p>
      <w:pPr>
        <w:spacing w:after="0" w:line="234" w:lineRule="auto"/>
        <w:rPr>
          <w:sz w:val="20"/>
          <w:szCs w:val="20"/>
          <w:color w:val="auto"/>
        </w:rPr>
      </w:pPr>
      <w:r>
        <w:rPr>
          <w:rFonts w:ascii="Arial" w:cs="Arial" w:eastAsia="Arial" w:hAnsi="Arial"/>
          <w:sz w:val="18"/>
          <w:szCs w:val="18"/>
          <w:u w:val="single" w:color="auto"/>
          <w:color w:val="0000EE"/>
        </w:rPr>
        <w:t>STMT REGARDING COMPUTAION OF RATIO OF EARNINGS...</w:t>
      </w:r>
    </w:p>
    <w:p>
      <w:pPr>
        <w:spacing w:after="0" w:line="234" w:lineRule="auto"/>
        <w:rPr>
          <w:sz w:val="20"/>
          <w:szCs w:val="20"/>
          <w:color w:val="auto"/>
        </w:rPr>
      </w:pPr>
      <w:r>
        <w:rPr>
          <w:rFonts w:ascii="Arial" w:cs="Arial" w:eastAsia="Arial" w:hAnsi="Arial"/>
          <w:sz w:val="18"/>
          <w:szCs w:val="18"/>
          <w:u w:val="single" w:color="auto"/>
          <w:color w:val="0000EE"/>
        </w:rPr>
        <w:t>STMT REGARDING COMPUTAION OF RATIO OF EARNINGS...</w:t>
      </w:r>
    </w:p>
    <w:p>
      <w:pPr>
        <w:spacing w:after="0" w:line="234" w:lineRule="auto"/>
        <w:rPr>
          <w:sz w:val="20"/>
          <w:szCs w:val="20"/>
          <w:color w:val="auto"/>
        </w:rPr>
      </w:pPr>
      <w:r>
        <w:rPr>
          <w:rFonts w:ascii="Arial" w:cs="Arial" w:eastAsia="Arial" w:hAnsi="Arial"/>
          <w:sz w:val="18"/>
          <w:szCs w:val="18"/>
          <w:u w:val="single" w:color="auto"/>
          <w:color w:val="0000EE"/>
        </w:rPr>
        <w:t>CONSENT OF DELOITTE &amp; TOUCHE LLP.</w:t>
      </w:r>
    </w:p>
    <w:p>
      <w:pPr>
        <w:spacing w:after="0"/>
        <w:rPr>
          <w:sz w:val="20"/>
          <w:szCs w:val="20"/>
          <w:color w:val="auto"/>
        </w:rPr>
      </w:pPr>
      <w:r>
        <w:rPr>
          <w:rFonts w:ascii="Arial" w:cs="Arial" w:eastAsia="Arial" w:hAnsi="Arial"/>
          <w:sz w:val="18"/>
          <w:szCs w:val="18"/>
          <w:u w:val="single" w:color="auto"/>
          <w:color w:val="0000EE"/>
        </w:rPr>
        <w:t>CONSENT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109855</wp:posOffset>
            </wp:positionV>
            <wp:extent cx="727519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9659"/>
          </w:cols>
          <w:pgMar w:left="800" w:top="118" w:right="1440"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170180</wp:posOffset>
            </wp:positionV>
            <wp:extent cx="728408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0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234315</wp:posOffset>
            </wp:positionV>
            <wp:extent cx="728408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085" cy="698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REGISTRANTS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Comcast Cable Communications,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jc w:val="center"/>
              <w:ind w:left="3847"/>
              <w:spacing w:after="0"/>
              <w:rPr>
                <w:sz w:val="20"/>
                <w:szCs w:val="20"/>
                <w:color w:val="auto"/>
              </w:rPr>
            </w:pPr>
            <w:r>
              <w:rPr>
                <w:rFonts w:ascii="Arial" w:cs="Arial" w:eastAsia="Arial" w:hAnsi="Arial"/>
                <w:sz w:val="15"/>
                <w:szCs w:val="15"/>
                <w:i w:val="1"/>
                <w:iCs w:val="1"/>
                <w:color w:val="auto"/>
                <w:w w:val="88"/>
              </w:rPr>
              <w:t>(Exact name of registrant as specified in its charter)</w:t>
            </w:r>
          </w:p>
        </w:tc>
        <w:tc>
          <w:tcPr>
            <w:tcW w:w="3900" w:type="dxa"/>
            <w:vAlign w:val="bottom"/>
          </w:tcPr>
          <w:p>
            <w:pPr>
              <w:spacing w:after="0"/>
              <w:rPr>
                <w:sz w:val="16"/>
                <w:szCs w:val="16"/>
                <w:color w:val="auto"/>
              </w:rPr>
            </w:pPr>
          </w:p>
        </w:tc>
      </w:tr>
      <w:tr>
        <w:trPr>
          <w:trHeight w:val="180"/>
        </w:trPr>
        <w:tc>
          <w:tcPr>
            <w:tcW w:w="756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179"/>
        </w:trPr>
        <w:tc>
          <w:tcPr>
            <w:tcW w:w="7560" w:type="dxa"/>
            <w:vAlign w:val="bottom"/>
            <w:shd w:val="clear" w:color="auto" w:fill="EEEEEE"/>
          </w:tcPr>
          <w:p>
            <w:pPr>
              <w:jc w:val="center"/>
              <w:ind w:right="1507"/>
              <w:spacing w:after="0"/>
              <w:rPr>
                <w:sz w:val="20"/>
                <w:szCs w:val="20"/>
                <w:color w:val="auto"/>
              </w:rPr>
            </w:pPr>
            <w:r>
              <w:rPr>
                <w:rFonts w:ascii="Arial" w:cs="Arial" w:eastAsia="Arial" w:hAnsi="Arial"/>
                <w:sz w:val="15"/>
                <w:szCs w:val="15"/>
                <w:b w:val="1"/>
                <w:bCs w:val="1"/>
                <w:color w:val="auto"/>
                <w:w w:val="87"/>
              </w:rPr>
              <w:t>Delaware</w:t>
            </w:r>
          </w:p>
        </w:tc>
        <w:tc>
          <w:tcPr>
            <w:tcW w:w="3900" w:type="dxa"/>
            <w:vAlign w:val="bottom"/>
            <w:shd w:val="clear" w:color="auto" w:fill="EEEEEE"/>
          </w:tcPr>
          <w:p>
            <w:pPr>
              <w:jc w:val="right"/>
              <w:ind w:right="2147"/>
              <w:spacing w:after="0"/>
              <w:rPr>
                <w:sz w:val="20"/>
                <w:szCs w:val="20"/>
                <w:color w:val="auto"/>
              </w:rPr>
            </w:pPr>
            <w:r>
              <w:rPr>
                <w:rFonts w:ascii="Arial" w:cs="Arial" w:eastAsia="Arial" w:hAnsi="Arial"/>
                <w:sz w:val="15"/>
                <w:szCs w:val="15"/>
                <w:b w:val="1"/>
                <w:bCs w:val="1"/>
                <w:color w:val="auto"/>
              </w:rPr>
              <w:t>23-2175755</w:t>
            </w:r>
          </w:p>
        </w:tc>
      </w:tr>
      <w:tr>
        <w:trPr>
          <w:trHeight w:val="186"/>
        </w:trPr>
        <w:tc>
          <w:tcPr>
            <w:tcW w:w="7560" w:type="dxa"/>
            <w:vAlign w:val="bottom"/>
          </w:tcPr>
          <w:p>
            <w:pPr>
              <w:jc w:val="center"/>
              <w:ind w:right="1507"/>
              <w:spacing w:after="0"/>
              <w:rPr>
                <w:sz w:val="20"/>
                <w:szCs w:val="20"/>
                <w:color w:val="auto"/>
              </w:rPr>
            </w:pPr>
            <w:r>
              <w:rPr>
                <w:rFonts w:ascii="Arial" w:cs="Arial" w:eastAsia="Arial" w:hAnsi="Arial"/>
                <w:sz w:val="15"/>
                <w:szCs w:val="15"/>
                <w:i w:val="1"/>
                <w:iCs w:val="1"/>
                <w:color w:val="auto"/>
                <w:w w:val="91"/>
              </w:rPr>
              <w:t>(State of other jurisdiction of incorporation or organization)</w:t>
            </w:r>
          </w:p>
        </w:tc>
        <w:tc>
          <w:tcPr>
            <w:tcW w:w="3900" w:type="dxa"/>
            <w:vAlign w:val="bottom"/>
          </w:tcPr>
          <w:p>
            <w:pPr>
              <w:jc w:val="center"/>
              <w:ind w:right="1187"/>
              <w:spacing w:after="0"/>
              <w:rPr>
                <w:sz w:val="20"/>
                <w:szCs w:val="20"/>
                <w:color w:val="auto"/>
              </w:rPr>
            </w:pPr>
            <w:r>
              <w:rPr>
                <w:rFonts w:ascii="Arial" w:cs="Arial" w:eastAsia="Arial" w:hAnsi="Arial"/>
                <w:sz w:val="15"/>
                <w:szCs w:val="15"/>
                <w:i w:val="1"/>
                <w:iCs w:val="1"/>
                <w:color w:val="auto"/>
                <w:w w:val="90"/>
              </w:rPr>
              <w:t>(I.R.S. Employer Identification No.)</w:t>
            </w:r>
          </w:p>
        </w:tc>
      </w:tr>
      <w:tr>
        <w:trPr>
          <w:trHeight w:val="351"/>
        </w:trPr>
        <w:tc>
          <w:tcPr>
            <w:tcW w:w="7560" w:type="dxa"/>
            <w:vAlign w:val="bottom"/>
          </w:tcPr>
          <w:p>
            <w:pPr>
              <w:jc w:val="center"/>
              <w:ind w:left="3847"/>
              <w:spacing w:after="0"/>
              <w:rPr>
                <w:sz w:val="20"/>
                <w:szCs w:val="20"/>
                <w:color w:val="auto"/>
              </w:rPr>
            </w:pPr>
            <w:r>
              <w:rPr>
                <w:rFonts w:ascii="Arial" w:cs="Arial" w:eastAsia="Arial" w:hAnsi="Arial"/>
                <w:sz w:val="15"/>
                <w:szCs w:val="15"/>
                <w:b w:val="1"/>
                <w:bCs w:val="1"/>
                <w:color w:val="auto"/>
                <w:w w:val="90"/>
              </w:rPr>
              <w:t>1500 Market Street</w:t>
            </w:r>
          </w:p>
        </w:tc>
        <w:tc>
          <w:tcPr>
            <w:tcW w:w="3900" w:type="dxa"/>
            <w:vAlign w:val="bottom"/>
          </w:tcPr>
          <w:p>
            <w:pPr>
              <w:spacing w:after="0"/>
              <w:rPr>
                <w:sz w:val="24"/>
                <w:szCs w:val="24"/>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Philadelphia, Pennsylvania 19102-2148</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(215) 665-1700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(Address, including zip code, and telephone number including area code, of Registrant’s principal executive offices)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Arthur R. Block, Esq.</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Senior Vice President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Comcast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Philadelphia, Pennsylvania 19102-2148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(215) 665-1700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(Name, address, including zip code, and telephone number, including area code, of agent for service)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Comcast Cable Communications Holdings,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jc w:val="center"/>
              <w:ind w:left="3847"/>
              <w:spacing w:after="0"/>
              <w:rPr>
                <w:sz w:val="20"/>
                <w:szCs w:val="20"/>
                <w:color w:val="auto"/>
              </w:rPr>
            </w:pPr>
            <w:r>
              <w:rPr>
                <w:rFonts w:ascii="Arial" w:cs="Arial" w:eastAsia="Arial" w:hAnsi="Arial"/>
                <w:sz w:val="15"/>
                <w:szCs w:val="15"/>
                <w:i w:val="1"/>
                <w:iCs w:val="1"/>
                <w:color w:val="auto"/>
                <w:w w:val="88"/>
              </w:rPr>
              <w:t>(Exact name of registrant as specified in its charter)</w:t>
            </w:r>
          </w:p>
        </w:tc>
        <w:tc>
          <w:tcPr>
            <w:tcW w:w="3900" w:type="dxa"/>
            <w:vAlign w:val="bottom"/>
          </w:tcPr>
          <w:p>
            <w:pPr>
              <w:spacing w:after="0"/>
              <w:rPr>
                <w:sz w:val="16"/>
                <w:szCs w:val="16"/>
                <w:color w:val="auto"/>
              </w:rPr>
            </w:pPr>
          </w:p>
        </w:tc>
      </w:tr>
      <w:tr>
        <w:trPr>
          <w:trHeight w:val="180"/>
        </w:trPr>
        <w:tc>
          <w:tcPr>
            <w:tcW w:w="756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179"/>
        </w:trPr>
        <w:tc>
          <w:tcPr>
            <w:tcW w:w="7560" w:type="dxa"/>
            <w:vAlign w:val="bottom"/>
            <w:shd w:val="clear" w:color="auto" w:fill="EEEEEE"/>
          </w:tcPr>
          <w:p>
            <w:pPr>
              <w:jc w:val="center"/>
              <w:ind w:right="1507"/>
              <w:spacing w:after="0"/>
              <w:rPr>
                <w:sz w:val="20"/>
                <w:szCs w:val="20"/>
                <w:color w:val="auto"/>
              </w:rPr>
            </w:pPr>
            <w:r>
              <w:rPr>
                <w:rFonts w:ascii="Arial" w:cs="Arial" w:eastAsia="Arial" w:hAnsi="Arial"/>
                <w:sz w:val="15"/>
                <w:szCs w:val="15"/>
                <w:b w:val="1"/>
                <w:bCs w:val="1"/>
                <w:color w:val="auto"/>
                <w:w w:val="87"/>
              </w:rPr>
              <w:t>Delaware</w:t>
            </w:r>
          </w:p>
        </w:tc>
        <w:tc>
          <w:tcPr>
            <w:tcW w:w="3900" w:type="dxa"/>
            <w:vAlign w:val="bottom"/>
            <w:shd w:val="clear" w:color="auto" w:fill="EEEEEE"/>
          </w:tcPr>
          <w:p>
            <w:pPr>
              <w:jc w:val="right"/>
              <w:ind w:right="2147"/>
              <w:spacing w:after="0"/>
              <w:rPr>
                <w:sz w:val="20"/>
                <w:szCs w:val="20"/>
                <w:color w:val="auto"/>
              </w:rPr>
            </w:pPr>
            <w:r>
              <w:rPr>
                <w:rFonts w:ascii="Arial" w:cs="Arial" w:eastAsia="Arial" w:hAnsi="Arial"/>
                <w:sz w:val="15"/>
                <w:szCs w:val="15"/>
                <w:b w:val="1"/>
                <w:bCs w:val="1"/>
                <w:color w:val="auto"/>
              </w:rPr>
              <w:t>04-3592397</w:t>
            </w:r>
          </w:p>
        </w:tc>
      </w:tr>
      <w:tr>
        <w:trPr>
          <w:trHeight w:val="186"/>
        </w:trPr>
        <w:tc>
          <w:tcPr>
            <w:tcW w:w="7560" w:type="dxa"/>
            <w:vAlign w:val="bottom"/>
          </w:tcPr>
          <w:p>
            <w:pPr>
              <w:jc w:val="center"/>
              <w:ind w:right="1507"/>
              <w:spacing w:after="0"/>
              <w:rPr>
                <w:sz w:val="20"/>
                <w:szCs w:val="20"/>
                <w:color w:val="auto"/>
              </w:rPr>
            </w:pPr>
            <w:r>
              <w:rPr>
                <w:rFonts w:ascii="Arial" w:cs="Arial" w:eastAsia="Arial" w:hAnsi="Arial"/>
                <w:sz w:val="15"/>
                <w:szCs w:val="15"/>
                <w:i w:val="1"/>
                <w:iCs w:val="1"/>
                <w:color w:val="auto"/>
                <w:w w:val="91"/>
              </w:rPr>
              <w:t>(State of other jurisdiction of incorporation or organization)</w:t>
            </w:r>
          </w:p>
        </w:tc>
        <w:tc>
          <w:tcPr>
            <w:tcW w:w="3900" w:type="dxa"/>
            <w:vAlign w:val="bottom"/>
          </w:tcPr>
          <w:p>
            <w:pPr>
              <w:jc w:val="center"/>
              <w:ind w:right="1187"/>
              <w:spacing w:after="0"/>
              <w:rPr>
                <w:sz w:val="20"/>
                <w:szCs w:val="20"/>
                <w:color w:val="auto"/>
              </w:rPr>
            </w:pPr>
            <w:r>
              <w:rPr>
                <w:rFonts w:ascii="Arial" w:cs="Arial" w:eastAsia="Arial" w:hAnsi="Arial"/>
                <w:sz w:val="15"/>
                <w:szCs w:val="15"/>
                <w:i w:val="1"/>
                <w:iCs w:val="1"/>
                <w:color w:val="auto"/>
                <w:w w:val="90"/>
              </w:rPr>
              <w:t>(I.R.S. Employer Identification No.)</w:t>
            </w:r>
          </w:p>
        </w:tc>
      </w:tr>
      <w:tr>
        <w:trPr>
          <w:trHeight w:val="351"/>
        </w:trPr>
        <w:tc>
          <w:tcPr>
            <w:tcW w:w="7560" w:type="dxa"/>
            <w:vAlign w:val="bottom"/>
          </w:tcPr>
          <w:p>
            <w:pPr>
              <w:jc w:val="center"/>
              <w:ind w:left="3847"/>
              <w:spacing w:after="0"/>
              <w:rPr>
                <w:sz w:val="20"/>
                <w:szCs w:val="20"/>
                <w:color w:val="auto"/>
              </w:rPr>
            </w:pPr>
            <w:r>
              <w:rPr>
                <w:rFonts w:ascii="Arial" w:cs="Arial" w:eastAsia="Arial" w:hAnsi="Arial"/>
                <w:sz w:val="15"/>
                <w:szCs w:val="15"/>
                <w:b w:val="1"/>
                <w:bCs w:val="1"/>
                <w:color w:val="auto"/>
                <w:w w:val="90"/>
              </w:rPr>
              <w:t>1500 Market Street</w:t>
            </w:r>
          </w:p>
        </w:tc>
        <w:tc>
          <w:tcPr>
            <w:tcW w:w="3900" w:type="dxa"/>
            <w:vAlign w:val="bottom"/>
          </w:tcPr>
          <w:p>
            <w:pPr>
              <w:spacing w:after="0"/>
              <w:rPr>
                <w:sz w:val="24"/>
                <w:szCs w:val="24"/>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Philadelphia, Pennsylvania 19102-2148</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(215) 665-1700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(Address, including zip code, and telephone number including area code, of Registrant’s principal executive offices)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Arthur R. Block, Esq.</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Senior Vice President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Comcast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Philadelphia, Pennsylvania 19102-2148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(215) 665-1700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(Name, address, including zip code, and telephone number, including area code, of agent for service)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Comcast Cable Holdings, LLC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jc w:val="center"/>
              <w:ind w:left="3847"/>
              <w:spacing w:after="0"/>
              <w:rPr>
                <w:sz w:val="20"/>
                <w:szCs w:val="20"/>
                <w:color w:val="auto"/>
              </w:rPr>
            </w:pPr>
            <w:r>
              <w:rPr>
                <w:rFonts w:ascii="Arial" w:cs="Arial" w:eastAsia="Arial" w:hAnsi="Arial"/>
                <w:sz w:val="15"/>
                <w:szCs w:val="15"/>
                <w:i w:val="1"/>
                <w:iCs w:val="1"/>
                <w:color w:val="auto"/>
                <w:w w:val="88"/>
              </w:rPr>
              <w:t>(Exact name of Registrant as specified in its charter)</w:t>
            </w:r>
          </w:p>
        </w:tc>
        <w:tc>
          <w:tcPr>
            <w:tcW w:w="3900" w:type="dxa"/>
            <w:vAlign w:val="bottom"/>
          </w:tcPr>
          <w:p>
            <w:pPr>
              <w:spacing w:after="0"/>
              <w:rPr>
                <w:sz w:val="16"/>
                <w:szCs w:val="16"/>
                <w:color w:val="auto"/>
              </w:rPr>
            </w:pPr>
          </w:p>
        </w:tc>
      </w:tr>
      <w:tr>
        <w:trPr>
          <w:trHeight w:val="180"/>
        </w:trPr>
        <w:tc>
          <w:tcPr>
            <w:tcW w:w="756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179"/>
        </w:trPr>
        <w:tc>
          <w:tcPr>
            <w:tcW w:w="7560" w:type="dxa"/>
            <w:vAlign w:val="bottom"/>
            <w:shd w:val="clear" w:color="auto" w:fill="EEEEEE"/>
          </w:tcPr>
          <w:p>
            <w:pPr>
              <w:jc w:val="center"/>
              <w:ind w:right="1507"/>
              <w:spacing w:after="0"/>
              <w:rPr>
                <w:sz w:val="20"/>
                <w:szCs w:val="20"/>
                <w:color w:val="auto"/>
              </w:rPr>
            </w:pPr>
            <w:r>
              <w:rPr>
                <w:rFonts w:ascii="Arial" w:cs="Arial" w:eastAsia="Arial" w:hAnsi="Arial"/>
                <w:sz w:val="15"/>
                <w:szCs w:val="15"/>
                <w:b w:val="1"/>
                <w:bCs w:val="1"/>
                <w:color w:val="auto"/>
                <w:w w:val="87"/>
              </w:rPr>
              <w:t>Delaware</w:t>
            </w:r>
          </w:p>
        </w:tc>
        <w:tc>
          <w:tcPr>
            <w:tcW w:w="3900" w:type="dxa"/>
            <w:vAlign w:val="bottom"/>
            <w:shd w:val="clear" w:color="auto" w:fill="EEEEEE"/>
          </w:tcPr>
          <w:p>
            <w:pPr>
              <w:jc w:val="right"/>
              <w:ind w:right="2147"/>
              <w:spacing w:after="0"/>
              <w:rPr>
                <w:sz w:val="20"/>
                <w:szCs w:val="20"/>
                <w:color w:val="auto"/>
              </w:rPr>
            </w:pPr>
            <w:r>
              <w:rPr>
                <w:rFonts w:ascii="Arial" w:cs="Arial" w:eastAsia="Arial" w:hAnsi="Arial"/>
                <w:sz w:val="15"/>
                <w:szCs w:val="15"/>
                <w:b w:val="1"/>
                <w:bCs w:val="1"/>
                <w:color w:val="auto"/>
              </w:rPr>
              <w:t>84-1260157</w:t>
            </w:r>
          </w:p>
        </w:tc>
      </w:tr>
      <w:tr>
        <w:trPr>
          <w:trHeight w:val="186"/>
        </w:trPr>
        <w:tc>
          <w:tcPr>
            <w:tcW w:w="7560" w:type="dxa"/>
            <w:vAlign w:val="bottom"/>
          </w:tcPr>
          <w:p>
            <w:pPr>
              <w:jc w:val="center"/>
              <w:ind w:right="1507"/>
              <w:spacing w:after="0"/>
              <w:rPr>
                <w:sz w:val="20"/>
                <w:szCs w:val="20"/>
                <w:color w:val="auto"/>
              </w:rPr>
            </w:pPr>
            <w:r>
              <w:rPr>
                <w:rFonts w:ascii="Arial" w:cs="Arial" w:eastAsia="Arial" w:hAnsi="Arial"/>
                <w:sz w:val="15"/>
                <w:szCs w:val="15"/>
                <w:i w:val="1"/>
                <w:iCs w:val="1"/>
                <w:color w:val="auto"/>
                <w:w w:val="91"/>
              </w:rPr>
              <w:t>(State of other jurisdiction of incorporation or organization)</w:t>
            </w:r>
          </w:p>
        </w:tc>
        <w:tc>
          <w:tcPr>
            <w:tcW w:w="3900" w:type="dxa"/>
            <w:vAlign w:val="bottom"/>
          </w:tcPr>
          <w:p>
            <w:pPr>
              <w:jc w:val="center"/>
              <w:ind w:right="1187"/>
              <w:spacing w:after="0"/>
              <w:rPr>
                <w:sz w:val="20"/>
                <w:szCs w:val="20"/>
                <w:color w:val="auto"/>
              </w:rPr>
            </w:pPr>
            <w:r>
              <w:rPr>
                <w:rFonts w:ascii="Arial" w:cs="Arial" w:eastAsia="Arial" w:hAnsi="Arial"/>
                <w:sz w:val="15"/>
                <w:szCs w:val="15"/>
                <w:i w:val="1"/>
                <w:iCs w:val="1"/>
                <w:color w:val="auto"/>
                <w:w w:val="90"/>
              </w:rPr>
              <w:t>(I.R.S. Employer Identification No.)</w:t>
            </w:r>
          </w:p>
        </w:tc>
      </w:tr>
      <w:tr>
        <w:trPr>
          <w:trHeight w:val="351"/>
        </w:trPr>
        <w:tc>
          <w:tcPr>
            <w:tcW w:w="7560" w:type="dxa"/>
            <w:vAlign w:val="bottom"/>
          </w:tcPr>
          <w:p>
            <w:pPr>
              <w:jc w:val="center"/>
              <w:ind w:left="3847"/>
              <w:spacing w:after="0"/>
              <w:rPr>
                <w:sz w:val="20"/>
                <w:szCs w:val="20"/>
                <w:color w:val="auto"/>
              </w:rPr>
            </w:pPr>
            <w:r>
              <w:rPr>
                <w:rFonts w:ascii="Arial" w:cs="Arial" w:eastAsia="Arial" w:hAnsi="Arial"/>
                <w:sz w:val="15"/>
                <w:szCs w:val="15"/>
                <w:b w:val="1"/>
                <w:bCs w:val="1"/>
                <w:color w:val="auto"/>
                <w:w w:val="90"/>
              </w:rPr>
              <w:t>1500 Market Street</w:t>
            </w:r>
          </w:p>
        </w:tc>
        <w:tc>
          <w:tcPr>
            <w:tcW w:w="3900" w:type="dxa"/>
            <w:vAlign w:val="bottom"/>
          </w:tcPr>
          <w:p>
            <w:pPr>
              <w:spacing w:after="0"/>
              <w:rPr>
                <w:sz w:val="24"/>
                <w:szCs w:val="24"/>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Philadelphia, Pennsylvania 19102-2148</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(215) 665-1700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(Address, including zip code, and telephone number including area code, of registrant’s principal executive offices)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Arthur R. Block, Esq.</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Senior Vice President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Comcast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Philadelphia, Pennsylvania 19102-2148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(215) 665-1700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(Name, address, including zip code, and telephone number, including area code, of agent for service)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Comcast MO Group,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jc w:val="center"/>
              <w:ind w:left="3827"/>
              <w:spacing w:after="0"/>
              <w:rPr>
                <w:sz w:val="20"/>
                <w:szCs w:val="20"/>
                <w:color w:val="auto"/>
              </w:rPr>
            </w:pPr>
            <w:r>
              <w:rPr>
                <w:rFonts w:ascii="Arial" w:cs="Arial" w:eastAsia="Arial" w:hAnsi="Arial"/>
                <w:sz w:val="15"/>
                <w:szCs w:val="15"/>
                <w:i w:val="1"/>
                <w:iCs w:val="1"/>
                <w:color w:val="auto"/>
                <w:w w:val="88"/>
              </w:rPr>
              <w:t>(Exact name of registrant as specified in its charter)</w:t>
            </w:r>
          </w:p>
        </w:tc>
        <w:tc>
          <w:tcPr>
            <w:tcW w:w="3880" w:type="dxa"/>
            <w:vAlign w:val="bottom"/>
          </w:tcPr>
          <w:p>
            <w:pPr>
              <w:spacing w:after="0"/>
              <w:rPr>
                <w:sz w:val="16"/>
                <w:szCs w:val="16"/>
                <w:color w:val="auto"/>
              </w:rPr>
            </w:pPr>
          </w:p>
        </w:tc>
      </w:tr>
      <w:tr>
        <w:trPr>
          <w:trHeight w:val="180"/>
        </w:trPr>
        <w:tc>
          <w:tcPr>
            <w:tcW w:w="7580" w:type="dxa"/>
            <w:vAlign w:val="bottom"/>
          </w:tcPr>
          <w:p>
            <w:pPr>
              <w:spacing w:after="0"/>
              <w:rPr>
                <w:sz w:val="15"/>
                <w:szCs w:val="15"/>
                <w:color w:val="auto"/>
              </w:rPr>
            </w:pPr>
          </w:p>
        </w:tc>
        <w:tc>
          <w:tcPr>
            <w:tcW w:w="3880" w:type="dxa"/>
            <w:vAlign w:val="bottom"/>
          </w:tcPr>
          <w:p>
            <w:pPr>
              <w:spacing w:after="0"/>
              <w:rPr>
                <w:sz w:val="15"/>
                <w:szCs w:val="15"/>
                <w:color w:val="auto"/>
              </w:rPr>
            </w:pPr>
          </w:p>
        </w:tc>
      </w:tr>
      <w:tr>
        <w:trPr>
          <w:trHeight w:val="179"/>
        </w:trPr>
        <w:tc>
          <w:tcPr>
            <w:tcW w:w="7580" w:type="dxa"/>
            <w:vAlign w:val="bottom"/>
            <w:shd w:val="clear" w:color="auto" w:fill="EEEEEE"/>
          </w:tcPr>
          <w:p>
            <w:pPr>
              <w:jc w:val="center"/>
              <w:ind w:right="1407"/>
              <w:spacing w:after="0"/>
              <w:rPr>
                <w:sz w:val="20"/>
                <w:szCs w:val="20"/>
                <w:color w:val="auto"/>
              </w:rPr>
            </w:pPr>
            <w:r>
              <w:rPr>
                <w:rFonts w:ascii="Arial" w:cs="Arial" w:eastAsia="Arial" w:hAnsi="Arial"/>
                <w:sz w:val="15"/>
                <w:szCs w:val="15"/>
                <w:b w:val="1"/>
                <w:bCs w:val="1"/>
                <w:color w:val="auto"/>
                <w:w w:val="87"/>
              </w:rPr>
              <w:t>Delaware</w:t>
            </w:r>
          </w:p>
        </w:tc>
        <w:tc>
          <w:tcPr>
            <w:tcW w:w="3880" w:type="dxa"/>
            <w:vAlign w:val="bottom"/>
            <w:shd w:val="clear" w:color="auto" w:fill="EEEEEE"/>
          </w:tcPr>
          <w:p>
            <w:pPr>
              <w:jc w:val="right"/>
              <w:ind w:right="2087"/>
              <w:spacing w:after="0"/>
              <w:rPr>
                <w:sz w:val="20"/>
                <w:szCs w:val="20"/>
                <w:color w:val="auto"/>
              </w:rPr>
            </w:pPr>
            <w:r>
              <w:rPr>
                <w:rFonts w:ascii="Arial" w:cs="Arial" w:eastAsia="Arial" w:hAnsi="Arial"/>
                <w:sz w:val="15"/>
                <w:szCs w:val="15"/>
                <w:b w:val="1"/>
                <w:bCs w:val="1"/>
                <w:color w:val="auto"/>
              </w:rPr>
              <w:t>84-0926774</w:t>
            </w:r>
          </w:p>
        </w:tc>
      </w:tr>
      <w:tr>
        <w:trPr>
          <w:trHeight w:val="186"/>
        </w:trPr>
        <w:tc>
          <w:tcPr>
            <w:tcW w:w="7580" w:type="dxa"/>
            <w:vAlign w:val="bottom"/>
          </w:tcPr>
          <w:p>
            <w:pPr>
              <w:jc w:val="center"/>
              <w:ind w:right="1407"/>
              <w:spacing w:after="0"/>
              <w:rPr>
                <w:sz w:val="20"/>
                <w:szCs w:val="20"/>
                <w:color w:val="auto"/>
              </w:rPr>
            </w:pPr>
            <w:r>
              <w:rPr>
                <w:rFonts w:ascii="Arial" w:cs="Arial" w:eastAsia="Arial" w:hAnsi="Arial"/>
                <w:sz w:val="15"/>
                <w:szCs w:val="15"/>
                <w:i w:val="1"/>
                <w:iCs w:val="1"/>
                <w:color w:val="auto"/>
                <w:w w:val="91"/>
              </w:rPr>
              <w:t>(State of other jurisdiction of incorporation or organization)</w:t>
            </w:r>
          </w:p>
        </w:tc>
        <w:tc>
          <w:tcPr>
            <w:tcW w:w="3880" w:type="dxa"/>
            <w:vAlign w:val="bottom"/>
          </w:tcPr>
          <w:p>
            <w:pPr>
              <w:jc w:val="center"/>
              <w:ind w:right="1087"/>
              <w:spacing w:after="0"/>
              <w:rPr>
                <w:sz w:val="20"/>
                <w:szCs w:val="20"/>
                <w:color w:val="auto"/>
              </w:rPr>
            </w:pPr>
            <w:r>
              <w:rPr>
                <w:rFonts w:ascii="Arial" w:cs="Arial" w:eastAsia="Arial" w:hAnsi="Arial"/>
                <w:sz w:val="15"/>
                <w:szCs w:val="15"/>
                <w:i w:val="1"/>
                <w:iCs w:val="1"/>
                <w:color w:val="auto"/>
                <w:w w:val="90"/>
              </w:rPr>
              <w:t>(I.R.S. Employer Identification No.)</w:t>
            </w:r>
          </w:p>
        </w:tc>
      </w:tr>
      <w:tr>
        <w:trPr>
          <w:trHeight w:val="351"/>
        </w:trPr>
        <w:tc>
          <w:tcPr>
            <w:tcW w:w="7580" w:type="dxa"/>
            <w:vAlign w:val="bottom"/>
          </w:tcPr>
          <w:p>
            <w:pPr>
              <w:jc w:val="center"/>
              <w:ind w:left="3827"/>
              <w:spacing w:after="0"/>
              <w:rPr>
                <w:sz w:val="20"/>
                <w:szCs w:val="20"/>
                <w:color w:val="auto"/>
              </w:rPr>
            </w:pPr>
            <w:r>
              <w:rPr>
                <w:rFonts w:ascii="Arial" w:cs="Arial" w:eastAsia="Arial" w:hAnsi="Arial"/>
                <w:sz w:val="15"/>
                <w:szCs w:val="15"/>
                <w:b w:val="1"/>
                <w:bCs w:val="1"/>
                <w:color w:val="auto"/>
                <w:w w:val="90"/>
              </w:rPr>
              <w:t>1500 Market Street</w:t>
            </w:r>
          </w:p>
        </w:tc>
        <w:tc>
          <w:tcPr>
            <w:tcW w:w="3880" w:type="dxa"/>
            <w:vAlign w:val="bottom"/>
          </w:tcPr>
          <w:p>
            <w:pPr>
              <w:spacing w:after="0"/>
              <w:rPr>
                <w:sz w:val="24"/>
                <w:szCs w:val="24"/>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Philadelphia, Pennsylvania 19102-2148</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(215) 665-1700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(Address, including zip code, and telephone number including area code, of Registrant’s principal executive offices)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Arthur R. Block, Esq.</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Senior Vice President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Comcast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Philadelphia, Pennsylvania 19102-2148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(215) 665-1700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(Name, address, including zip code, and telephone number, including area code, of agent for service)</w:t>
      </w:r>
    </w:p>
    <w:p>
      <w:pPr>
        <w:sectPr>
          <w:pgSz w:w="11900" w:h="16838" w:orient="portrait"/>
          <w:cols w:equalWidth="0" w:num="1">
            <w:col w:w="11460"/>
          </w:cols>
          <w:pgMar w:left="220" w:top="372" w:right="219" w:bottom="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Comcast MO of Delaware,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jc w:val="center"/>
              <w:ind w:left="3827"/>
              <w:spacing w:after="0"/>
              <w:rPr>
                <w:sz w:val="20"/>
                <w:szCs w:val="20"/>
                <w:color w:val="auto"/>
              </w:rPr>
            </w:pPr>
            <w:r>
              <w:rPr>
                <w:rFonts w:ascii="Arial" w:cs="Arial" w:eastAsia="Arial" w:hAnsi="Arial"/>
                <w:sz w:val="15"/>
                <w:szCs w:val="15"/>
                <w:i w:val="1"/>
                <w:iCs w:val="1"/>
                <w:color w:val="auto"/>
                <w:w w:val="88"/>
              </w:rPr>
              <w:t>(Exact name of registrant as specified in its charter)</w:t>
            </w:r>
          </w:p>
        </w:tc>
        <w:tc>
          <w:tcPr>
            <w:tcW w:w="3880" w:type="dxa"/>
            <w:vAlign w:val="bottom"/>
          </w:tcPr>
          <w:p>
            <w:pPr>
              <w:spacing w:after="0"/>
              <w:rPr>
                <w:sz w:val="16"/>
                <w:szCs w:val="16"/>
                <w:color w:val="auto"/>
              </w:rPr>
            </w:pPr>
          </w:p>
        </w:tc>
      </w:tr>
      <w:tr>
        <w:trPr>
          <w:trHeight w:val="180"/>
        </w:trPr>
        <w:tc>
          <w:tcPr>
            <w:tcW w:w="7580" w:type="dxa"/>
            <w:vAlign w:val="bottom"/>
          </w:tcPr>
          <w:p>
            <w:pPr>
              <w:spacing w:after="0"/>
              <w:rPr>
                <w:sz w:val="15"/>
                <w:szCs w:val="15"/>
                <w:color w:val="auto"/>
              </w:rPr>
            </w:pPr>
          </w:p>
        </w:tc>
        <w:tc>
          <w:tcPr>
            <w:tcW w:w="3880" w:type="dxa"/>
            <w:vAlign w:val="bottom"/>
          </w:tcPr>
          <w:p>
            <w:pPr>
              <w:spacing w:after="0"/>
              <w:rPr>
                <w:sz w:val="15"/>
                <w:szCs w:val="15"/>
                <w:color w:val="auto"/>
              </w:rPr>
            </w:pPr>
          </w:p>
        </w:tc>
      </w:tr>
      <w:tr>
        <w:trPr>
          <w:trHeight w:val="179"/>
        </w:trPr>
        <w:tc>
          <w:tcPr>
            <w:tcW w:w="7580" w:type="dxa"/>
            <w:vAlign w:val="bottom"/>
            <w:shd w:val="clear" w:color="auto" w:fill="EEEEEE"/>
          </w:tcPr>
          <w:p>
            <w:pPr>
              <w:jc w:val="center"/>
              <w:ind w:right="1407"/>
              <w:spacing w:after="0"/>
              <w:rPr>
                <w:sz w:val="20"/>
                <w:szCs w:val="20"/>
                <w:color w:val="auto"/>
              </w:rPr>
            </w:pPr>
            <w:r>
              <w:rPr>
                <w:rFonts w:ascii="Arial" w:cs="Arial" w:eastAsia="Arial" w:hAnsi="Arial"/>
                <w:sz w:val="15"/>
                <w:szCs w:val="15"/>
                <w:b w:val="1"/>
                <w:bCs w:val="1"/>
                <w:color w:val="auto"/>
                <w:w w:val="87"/>
              </w:rPr>
              <w:t>Delaware</w:t>
            </w:r>
          </w:p>
        </w:tc>
        <w:tc>
          <w:tcPr>
            <w:tcW w:w="3880" w:type="dxa"/>
            <w:vAlign w:val="bottom"/>
            <w:shd w:val="clear" w:color="auto" w:fill="EEEEEE"/>
          </w:tcPr>
          <w:p>
            <w:pPr>
              <w:jc w:val="right"/>
              <w:ind w:right="2087"/>
              <w:spacing w:after="0"/>
              <w:rPr>
                <w:sz w:val="20"/>
                <w:szCs w:val="20"/>
                <w:color w:val="auto"/>
              </w:rPr>
            </w:pPr>
            <w:r>
              <w:rPr>
                <w:rFonts w:ascii="Arial" w:cs="Arial" w:eastAsia="Arial" w:hAnsi="Arial"/>
                <w:sz w:val="15"/>
                <w:szCs w:val="15"/>
                <w:b w:val="1"/>
                <w:bCs w:val="1"/>
                <w:color w:val="auto"/>
              </w:rPr>
              <w:t>84-1372033</w:t>
            </w:r>
          </w:p>
        </w:tc>
      </w:tr>
      <w:tr>
        <w:trPr>
          <w:trHeight w:val="186"/>
        </w:trPr>
        <w:tc>
          <w:tcPr>
            <w:tcW w:w="7580" w:type="dxa"/>
            <w:vAlign w:val="bottom"/>
          </w:tcPr>
          <w:p>
            <w:pPr>
              <w:jc w:val="center"/>
              <w:ind w:right="1407"/>
              <w:spacing w:after="0"/>
              <w:rPr>
                <w:sz w:val="20"/>
                <w:szCs w:val="20"/>
                <w:color w:val="auto"/>
              </w:rPr>
            </w:pPr>
            <w:r>
              <w:rPr>
                <w:rFonts w:ascii="Arial" w:cs="Arial" w:eastAsia="Arial" w:hAnsi="Arial"/>
                <w:sz w:val="15"/>
                <w:szCs w:val="15"/>
                <w:i w:val="1"/>
                <w:iCs w:val="1"/>
                <w:color w:val="auto"/>
                <w:w w:val="91"/>
              </w:rPr>
              <w:t>(State of other jurisdiction of incorporation or organization)</w:t>
            </w:r>
          </w:p>
        </w:tc>
        <w:tc>
          <w:tcPr>
            <w:tcW w:w="3880" w:type="dxa"/>
            <w:vAlign w:val="bottom"/>
          </w:tcPr>
          <w:p>
            <w:pPr>
              <w:jc w:val="center"/>
              <w:ind w:right="1087"/>
              <w:spacing w:after="0"/>
              <w:rPr>
                <w:sz w:val="20"/>
                <w:szCs w:val="20"/>
                <w:color w:val="auto"/>
              </w:rPr>
            </w:pPr>
            <w:r>
              <w:rPr>
                <w:rFonts w:ascii="Arial" w:cs="Arial" w:eastAsia="Arial" w:hAnsi="Arial"/>
                <w:sz w:val="15"/>
                <w:szCs w:val="15"/>
                <w:i w:val="1"/>
                <w:iCs w:val="1"/>
                <w:color w:val="auto"/>
                <w:w w:val="90"/>
              </w:rPr>
              <w:t>(I.R.S. Employer Identification No.)</w:t>
            </w:r>
          </w:p>
        </w:tc>
      </w:tr>
      <w:tr>
        <w:trPr>
          <w:trHeight w:val="351"/>
        </w:trPr>
        <w:tc>
          <w:tcPr>
            <w:tcW w:w="7580" w:type="dxa"/>
            <w:vAlign w:val="bottom"/>
          </w:tcPr>
          <w:p>
            <w:pPr>
              <w:jc w:val="center"/>
              <w:ind w:left="3827"/>
              <w:spacing w:after="0"/>
              <w:rPr>
                <w:sz w:val="20"/>
                <w:szCs w:val="20"/>
                <w:color w:val="auto"/>
              </w:rPr>
            </w:pPr>
            <w:r>
              <w:rPr>
                <w:rFonts w:ascii="Arial" w:cs="Arial" w:eastAsia="Arial" w:hAnsi="Arial"/>
                <w:sz w:val="15"/>
                <w:szCs w:val="15"/>
                <w:b w:val="1"/>
                <w:bCs w:val="1"/>
                <w:color w:val="auto"/>
                <w:w w:val="90"/>
              </w:rPr>
              <w:t>1500 Market Street</w:t>
            </w:r>
          </w:p>
        </w:tc>
        <w:tc>
          <w:tcPr>
            <w:tcW w:w="3880" w:type="dxa"/>
            <w:vAlign w:val="bottom"/>
          </w:tcPr>
          <w:p>
            <w:pPr>
              <w:spacing w:after="0"/>
              <w:rPr>
                <w:sz w:val="24"/>
                <w:szCs w:val="24"/>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Philadelphia, Pennsylvania 19102-2148</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(215) 665-1700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(Address, including zip code, and telephone number including area code, of Registrant’s principal executive offices)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Arthur R. Block, Esq.</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Senior Vice President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Comcast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Philadelphia, Pennsylvania 19102-2148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(215) 665-1700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118745</wp:posOffset>
            </wp:positionV>
            <wp:extent cx="728408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0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182880</wp:posOffset>
            </wp:positionV>
            <wp:extent cx="728408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0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300990</wp:posOffset>
            </wp:positionV>
            <wp:extent cx="727519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157480</wp:posOffset>
            </wp:positionV>
            <wp:extent cx="7295515" cy="381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5515" cy="381635"/>
                    </a:xfrm>
                    <a:prstGeom prst="rect">
                      <a:avLst/>
                    </a:prstGeom>
                    <a:noFill/>
                  </pic:spPr>
                </pic:pic>
              </a:graphicData>
            </a:graphic>
          </wp:anchor>
        </w:drawing>
      </w:r>
    </w:p>
    <w:p>
      <w:pPr>
        <w:spacing w:after="0" w:line="341" w:lineRule="exact"/>
        <w:rPr>
          <w:sz w:val="20"/>
          <w:szCs w:val="20"/>
          <w:color w:val="auto"/>
        </w:rPr>
      </w:pPr>
    </w:p>
    <w:p>
      <w:pPr>
        <w:ind w:left="120" w:right="280"/>
        <w:spacing w:after="0" w:line="395" w:lineRule="auto"/>
        <w:rPr>
          <w:sz w:val="20"/>
          <w:szCs w:val="20"/>
          <w:color w:val="auto"/>
        </w:rPr>
      </w:pPr>
      <w:r>
        <w:rPr>
          <w:rFonts w:ascii="Arial" w:cs="Arial" w:eastAsia="Arial" w:hAnsi="Arial"/>
          <w:sz w:val="12"/>
          <w:szCs w:val="12"/>
          <w:i w:val="1"/>
          <w:i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PROSPECTUS (Subject to Completion)</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Issued March 26, 2003</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551815</wp:posOffset>
            </wp:positionV>
            <wp:extent cx="728408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085" cy="698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131445</wp:posOffset>
            </wp:positionV>
            <wp:extent cx="1196340" cy="306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96340"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are types of securities that we may offer and sell under this prospectus:</w:t>
      </w:r>
    </w:p>
    <w:p>
      <w:pPr>
        <w:spacing w:after="0" w:line="186" w:lineRule="exact"/>
        <w:rPr>
          <w:sz w:val="20"/>
          <w:szCs w:val="20"/>
          <w:color w:val="auto"/>
        </w:rPr>
      </w:pPr>
    </w:p>
    <w:p>
      <w:pPr>
        <w:ind w:left="280" w:hanging="270"/>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Unsecured senior debt securities</w:t>
      </w:r>
    </w:p>
    <w:p>
      <w:pPr>
        <w:spacing w:after="0" w:line="186" w:lineRule="exact"/>
        <w:rPr>
          <w:rFonts w:ascii="Arial" w:cs="Arial" w:eastAsia="Arial" w:hAnsi="Arial"/>
          <w:sz w:val="15"/>
          <w:szCs w:val="15"/>
          <w:color w:val="auto"/>
        </w:rPr>
      </w:pPr>
    </w:p>
    <w:p>
      <w:pPr>
        <w:ind w:left="280" w:hanging="270"/>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Unsecured subordinated debt securities</w:t>
      </w:r>
    </w:p>
    <w:p>
      <w:pPr>
        <w:spacing w:after="0" w:line="13" w:lineRule="exact"/>
        <w:rPr>
          <w:rFonts w:ascii="Arial" w:cs="Arial" w:eastAsia="Arial" w:hAnsi="Arial"/>
          <w:sz w:val="15"/>
          <w:szCs w:val="15"/>
          <w:color w:val="auto"/>
        </w:rPr>
      </w:pPr>
    </w:p>
    <w:p>
      <w:pPr>
        <w:ind w:left="280" w:hanging="270"/>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Warrants</w:t>
      </w:r>
    </w:p>
    <w:p>
      <w:pPr>
        <w:spacing w:after="0" w:line="6" w:lineRule="exact"/>
        <w:rPr>
          <w:rFonts w:ascii="Arial" w:cs="Arial" w:eastAsia="Arial" w:hAnsi="Arial"/>
          <w:sz w:val="15"/>
          <w:szCs w:val="15"/>
          <w:color w:val="auto"/>
        </w:rPr>
      </w:pPr>
    </w:p>
    <w:p>
      <w:pPr>
        <w:ind w:left="280" w:hanging="270"/>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Purchase contracts</w:t>
      </w:r>
    </w:p>
    <w:p>
      <w:pPr>
        <w:spacing w:after="0" w:line="6" w:lineRule="exact"/>
        <w:rPr>
          <w:rFonts w:ascii="Arial" w:cs="Arial" w:eastAsia="Arial" w:hAnsi="Arial"/>
          <w:sz w:val="15"/>
          <w:szCs w:val="15"/>
          <w:color w:val="auto"/>
        </w:rPr>
      </w:pPr>
    </w:p>
    <w:p>
      <w:pPr>
        <w:ind w:left="280" w:hanging="270"/>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Units</w:t>
      </w:r>
    </w:p>
    <w:p>
      <w:pPr>
        <w:spacing w:after="0" w:line="6" w:lineRule="exact"/>
        <w:rPr>
          <w:rFonts w:ascii="Arial" w:cs="Arial" w:eastAsia="Arial" w:hAnsi="Arial"/>
          <w:sz w:val="15"/>
          <w:szCs w:val="15"/>
          <w:color w:val="auto"/>
        </w:rPr>
      </w:pPr>
    </w:p>
    <w:p>
      <w:pPr>
        <w:ind w:left="280" w:hanging="270"/>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Preferred Stock</w:t>
      </w:r>
    </w:p>
    <w:p>
      <w:pPr>
        <w:spacing w:after="0" w:line="6" w:lineRule="exact"/>
        <w:rPr>
          <w:rFonts w:ascii="Arial" w:cs="Arial" w:eastAsia="Arial" w:hAnsi="Arial"/>
          <w:sz w:val="15"/>
          <w:szCs w:val="15"/>
          <w:color w:val="auto"/>
        </w:rPr>
      </w:pPr>
    </w:p>
    <w:p>
      <w:pPr>
        <w:ind w:left="280" w:hanging="270"/>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Depositary shares</w:t>
      </w:r>
    </w:p>
    <w:p>
      <w:pPr>
        <w:spacing w:after="0" w:line="6" w:lineRule="exact"/>
        <w:rPr>
          <w:rFonts w:ascii="Arial" w:cs="Arial" w:eastAsia="Arial" w:hAnsi="Arial"/>
          <w:sz w:val="15"/>
          <w:szCs w:val="15"/>
          <w:color w:val="auto"/>
        </w:rPr>
      </w:pPr>
    </w:p>
    <w:p>
      <w:pPr>
        <w:ind w:left="280" w:hanging="270"/>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Class A Common Stock</w:t>
      </w:r>
    </w:p>
    <w:p>
      <w:pPr>
        <w:spacing w:after="0" w:line="6" w:lineRule="exact"/>
        <w:rPr>
          <w:rFonts w:ascii="Arial" w:cs="Arial" w:eastAsia="Arial" w:hAnsi="Arial"/>
          <w:sz w:val="15"/>
          <w:szCs w:val="15"/>
          <w:color w:val="auto"/>
        </w:rPr>
      </w:pPr>
    </w:p>
    <w:p>
      <w:pPr>
        <w:ind w:left="280" w:hanging="270"/>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Class A Special Common Stock</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If indicated in the relevant prospectus supplement, the securities may be fully and unconditionally guaranteed by a number of our wholly-owned cable subsidiaries named in this prospectus.</w:t>
      </w:r>
    </w:p>
    <w:p>
      <w:pPr>
        <w:spacing w:after="0" w:line="221" w:lineRule="exact"/>
        <w:rPr>
          <w:sz w:val="20"/>
          <w:szCs w:val="20"/>
          <w:color w:val="auto"/>
        </w:rPr>
      </w:pPr>
    </w:p>
    <w:p>
      <w:pPr>
        <w:ind w:right="300" w:firstLine="364"/>
        <w:spacing w:after="0" w:line="395" w:lineRule="auto"/>
        <w:rPr>
          <w:sz w:val="20"/>
          <w:szCs w:val="20"/>
          <w:color w:val="auto"/>
        </w:rPr>
      </w:pPr>
      <w:r>
        <w:rPr>
          <w:rFonts w:ascii="Arial" w:cs="Arial" w:eastAsia="Arial" w:hAnsi="Arial"/>
          <w:sz w:val="12"/>
          <w:szCs w:val="12"/>
          <w:color w:val="auto"/>
        </w:rPr>
        <w:t>Our Class A Common Stock and Class A Special Common Stock are quoted on The Nasdaq National Market System under the ticker symbols “CMCSA” and “CMCSK”. On March 24, 2003, the reported last sale prices on The Nasdaq National Market System for our Class A Common Stock and our Class A Special Common Stock were $28.61 and $27.50.</w:t>
      </w:r>
    </w:p>
    <w:p>
      <w:pPr>
        <w:spacing w:after="0" w:line="84" w:lineRule="exact"/>
        <w:rPr>
          <w:sz w:val="20"/>
          <w:szCs w:val="20"/>
          <w:color w:val="auto"/>
        </w:rPr>
      </w:pPr>
    </w:p>
    <w:p>
      <w:pPr>
        <w:ind w:right="240" w:firstLine="362"/>
        <w:spacing w:after="0" w:line="268" w:lineRule="auto"/>
        <w:rPr>
          <w:sz w:val="20"/>
          <w:szCs w:val="20"/>
          <w:color w:val="auto"/>
        </w:rPr>
      </w:pPr>
      <w:r>
        <w:rPr>
          <w:rFonts w:ascii="Arial" w:cs="Arial" w:eastAsia="Arial" w:hAnsi="Arial"/>
          <w:sz w:val="15"/>
          <w:szCs w:val="15"/>
          <w:color w:val="auto"/>
        </w:rPr>
        <w:t>We will describe in a prospectus supplement, which must accompany this prospectus, the securities we are offering and selling, as well as the specific terms of the securities. Those terms may include:</w:t>
      </w:r>
    </w:p>
    <w:p>
      <w:pPr>
        <w:spacing w:after="0" w:line="153" w:lineRule="exact"/>
        <w:rPr>
          <w:sz w:val="20"/>
          <w:szCs w:val="20"/>
          <w:color w:val="auto"/>
        </w:rPr>
      </w:pPr>
    </w:p>
    <w:p>
      <w:pPr>
        <w:ind w:left="740" w:hanging="271"/>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Maturity</w:t>
      </w:r>
    </w:p>
    <w:p>
      <w:pPr>
        <w:spacing w:after="0" w:line="29" w:lineRule="exact"/>
        <w:rPr>
          <w:rFonts w:ascii="Arial" w:cs="Arial" w:eastAsia="Arial" w:hAnsi="Arial"/>
          <w:sz w:val="15"/>
          <w:szCs w:val="15"/>
          <w:color w:val="auto"/>
        </w:rPr>
      </w:pPr>
    </w:p>
    <w:p>
      <w:pPr>
        <w:ind w:left="740" w:hanging="271"/>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Interest rate</w:t>
      </w:r>
    </w:p>
    <w:p>
      <w:pPr>
        <w:spacing w:after="0" w:line="29" w:lineRule="exact"/>
        <w:rPr>
          <w:rFonts w:ascii="Arial" w:cs="Arial" w:eastAsia="Arial" w:hAnsi="Arial"/>
          <w:sz w:val="15"/>
          <w:szCs w:val="15"/>
          <w:color w:val="auto"/>
        </w:rPr>
      </w:pPr>
    </w:p>
    <w:p>
      <w:pPr>
        <w:ind w:left="740" w:hanging="271"/>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Sinking fund terms</w:t>
      </w:r>
    </w:p>
    <w:p>
      <w:pPr>
        <w:spacing w:after="0" w:line="29" w:lineRule="exact"/>
        <w:rPr>
          <w:rFonts w:ascii="Arial" w:cs="Arial" w:eastAsia="Arial" w:hAnsi="Arial"/>
          <w:sz w:val="15"/>
          <w:szCs w:val="15"/>
          <w:color w:val="auto"/>
        </w:rPr>
      </w:pPr>
    </w:p>
    <w:p>
      <w:pPr>
        <w:ind w:left="740" w:hanging="271"/>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Currency of payments</w:t>
      </w:r>
    </w:p>
    <w:p>
      <w:pPr>
        <w:spacing w:after="0" w:line="29" w:lineRule="exact"/>
        <w:rPr>
          <w:rFonts w:ascii="Arial" w:cs="Arial" w:eastAsia="Arial" w:hAnsi="Arial"/>
          <w:sz w:val="15"/>
          <w:szCs w:val="15"/>
          <w:color w:val="auto"/>
        </w:rPr>
      </w:pPr>
    </w:p>
    <w:p>
      <w:pPr>
        <w:ind w:left="740" w:hanging="271"/>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Dividends</w:t>
      </w:r>
    </w:p>
    <w:p>
      <w:pPr>
        <w:spacing w:after="0" w:line="29" w:lineRule="exact"/>
        <w:rPr>
          <w:rFonts w:ascii="Arial" w:cs="Arial" w:eastAsia="Arial" w:hAnsi="Arial"/>
          <w:sz w:val="15"/>
          <w:szCs w:val="15"/>
          <w:color w:val="auto"/>
        </w:rPr>
      </w:pPr>
    </w:p>
    <w:p>
      <w:pPr>
        <w:ind w:left="740" w:hanging="271"/>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Redemption terms</w:t>
      </w:r>
    </w:p>
    <w:p>
      <w:pPr>
        <w:spacing w:after="0" w:line="29" w:lineRule="exact"/>
        <w:rPr>
          <w:rFonts w:ascii="Arial" w:cs="Arial" w:eastAsia="Arial" w:hAnsi="Arial"/>
          <w:sz w:val="15"/>
          <w:szCs w:val="15"/>
          <w:color w:val="auto"/>
        </w:rPr>
      </w:pPr>
    </w:p>
    <w:p>
      <w:pPr>
        <w:ind w:left="740" w:hanging="271"/>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Listing on a securities exchange</w:t>
      </w:r>
    </w:p>
    <w:p>
      <w:pPr>
        <w:spacing w:after="0" w:line="29" w:lineRule="exact"/>
        <w:rPr>
          <w:rFonts w:ascii="Arial" w:cs="Arial" w:eastAsia="Arial" w:hAnsi="Arial"/>
          <w:sz w:val="15"/>
          <w:szCs w:val="15"/>
          <w:color w:val="auto"/>
        </w:rPr>
      </w:pPr>
    </w:p>
    <w:p>
      <w:pPr>
        <w:ind w:left="740" w:hanging="271"/>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Amount payable at maturity</w:t>
      </w:r>
    </w:p>
    <w:p>
      <w:pPr>
        <w:spacing w:after="0" w:line="29" w:lineRule="exact"/>
        <w:rPr>
          <w:rFonts w:ascii="Arial" w:cs="Arial" w:eastAsia="Arial" w:hAnsi="Arial"/>
          <w:sz w:val="15"/>
          <w:szCs w:val="15"/>
          <w:color w:val="auto"/>
        </w:rPr>
      </w:pPr>
    </w:p>
    <w:p>
      <w:pPr>
        <w:ind w:left="740" w:hanging="271"/>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Conversion or exchange rights</w:t>
      </w:r>
    </w:p>
    <w:p>
      <w:pPr>
        <w:spacing w:after="0" w:line="29" w:lineRule="exact"/>
        <w:rPr>
          <w:rFonts w:ascii="Arial" w:cs="Arial" w:eastAsia="Arial" w:hAnsi="Arial"/>
          <w:sz w:val="15"/>
          <w:szCs w:val="15"/>
          <w:color w:val="auto"/>
        </w:rPr>
      </w:pPr>
    </w:p>
    <w:p>
      <w:pPr>
        <w:ind w:left="740" w:hanging="271"/>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Liquidation amount</w:t>
      </w:r>
    </w:p>
    <w:p>
      <w:pPr>
        <w:spacing w:after="0" w:line="29" w:lineRule="exact"/>
        <w:rPr>
          <w:rFonts w:ascii="Arial" w:cs="Arial" w:eastAsia="Arial" w:hAnsi="Arial"/>
          <w:sz w:val="15"/>
          <w:szCs w:val="15"/>
          <w:color w:val="auto"/>
        </w:rPr>
      </w:pPr>
    </w:p>
    <w:p>
      <w:pPr>
        <w:ind w:left="740" w:hanging="271"/>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Subsidiary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137160</wp:posOffset>
            </wp:positionV>
            <wp:extent cx="728408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085" cy="6985"/>
                    </a:xfrm>
                    <a:prstGeom prst="rect">
                      <a:avLst/>
                    </a:prstGeom>
                    <a:noFill/>
                  </pic:spPr>
                </pic:pic>
              </a:graphicData>
            </a:graphic>
          </wp:anchor>
        </w:drawing>
      </w:r>
    </w:p>
    <w:p>
      <w:pPr>
        <w:spacing w:after="0" w:line="375"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Investing in the securities involves risks that are described under the caption “Risk Factors” beginning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125730</wp:posOffset>
            </wp:positionV>
            <wp:extent cx="728408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085" cy="6985"/>
                    </a:xfrm>
                    <a:prstGeom prst="rect">
                      <a:avLst/>
                    </a:prstGeom>
                    <a:noFill/>
                  </pic:spPr>
                </pic:pic>
              </a:graphicData>
            </a:graphic>
          </wp:anchor>
        </w:drawing>
      </w:r>
    </w:p>
    <w:p>
      <w:pPr>
        <w:spacing w:after="0" w:line="357" w:lineRule="exact"/>
        <w:rPr>
          <w:sz w:val="20"/>
          <w:szCs w:val="20"/>
          <w:color w:val="auto"/>
        </w:rPr>
      </w:pPr>
    </w:p>
    <w:p>
      <w:pPr>
        <w:ind w:right="400" w:firstLine="364"/>
        <w:spacing w:after="0" w:line="273" w:lineRule="auto"/>
        <w:rPr>
          <w:sz w:val="20"/>
          <w:szCs w:val="20"/>
          <w:color w:val="auto"/>
        </w:rPr>
      </w:pPr>
      <w:r>
        <w:rPr>
          <w:rFonts w:ascii="Arial" w:cs="Arial" w:eastAsia="Arial" w:hAnsi="Arial"/>
          <w:sz w:val="15"/>
          <w:szCs w:val="15"/>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99695</wp:posOffset>
            </wp:positionV>
            <wp:extent cx="728408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085" cy="6985"/>
                    </a:xfrm>
                    <a:prstGeom prst="rect">
                      <a:avLst/>
                    </a:prstGeom>
                    <a:noFill/>
                  </pic:spPr>
                </pic:pic>
              </a:graphicData>
            </a:graphic>
          </wp:anchor>
        </w:drawing>
      </w:r>
    </w:p>
    <w:p>
      <w:pPr>
        <w:spacing w:after="0" w:line="320" w:lineRule="exact"/>
        <w:rPr>
          <w:sz w:val="20"/>
          <w:szCs w:val="20"/>
          <w:color w:val="auto"/>
        </w:rPr>
      </w:pPr>
    </w:p>
    <w:p>
      <w:pPr>
        <w:ind w:firstLine="362"/>
        <w:spacing w:after="0" w:line="304" w:lineRule="auto"/>
        <w:rPr>
          <w:sz w:val="20"/>
          <w:szCs w:val="20"/>
          <w:color w:val="auto"/>
        </w:rPr>
      </w:pPr>
      <w:r>
        <w:rPr>
          <w:rFonts w:ascii="Arial" w:cs="Arial" w:eastAsia="Arial" w:hAnsi="Arial"/>
          <w:sz w:val="14"/>
          <w:szCs w:val="14"/>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ind w:left="4320"/>
              <w:spacing w:after="0"/>
              <w:rPr>
                <w:sz w:val="20"/>
                <w:szCs w:val="20"/>
                <w:color w:val="auto"/>
              </w:rPr>
            </w:pPr>
            <w:r>
              <w:rPr>
                <w:rFonts w:ascii="Arial" w:cs="Arial" w:eastAsia="Arial" w:hAnsi="Arial"/>
                <w:sz w:val="15"/>
                <w:szCs w:val="15"/>
                <w:color w:val="auto"/>
              </w:rPr>
              <w:t>The date of this prospectus is</w:t>
            </w:r>
          </w:p>
        </w:tc>
        <w:tc>
          <w:tcPr>
            <w:tcW w:w="5060" w:type="dxa"/>
            <w:vAlign w:val="bottom"/>
          </w:tcPr>
          <w:p>
            <w:pPr>
              <w:jc w:val="right"/>
              <w:ind w:right="4227"/>
              <w:spacing w:after="0"/>
              <w:rPr>
                <w:sz w:val="20"/>
                <w:szCs w:val="20"/>
                <w:color w:val="auto"/>
              </w:rPr>
            </w:pPr>
            <w:r>
              <w:rPr>
                <w:rFonts w:ascii="Arial" w:cs="Arial" w:eastAsia="Arial" w:hAnsi="Arial"/>
                <w:sz w:val="15"/>
                <w:szCs w:val="15"/>
                <w:color w:val="auto"/>
              </w:rPr>
              <w:t>, 2003</w:t>
            </w:r>
          </w:p>
        </w:tc>
      </w:tr>
      <w:tr>
        <w:trPr>
          <w:trHeight w:val="187"/>
        </w:trPr>
        <w:tc>
          <w:tcPr>
            <w:tcW w:w="6400" w:type="dxa"/>
            <w:vAlign w:val="bottom"/>
            <w:tcBorders>
              <w:bottom w:val="single" w:sz="8" w:color="808080"/>
            </w:tcBorders>
          </w:tcPr>
          <w:p>
            <w:pPr>
              <w:spacing w:after="0"/>
              <w:rPr>
                <w:sz w:val="16"/>
                <w:szCs w:val="16"/>
                <w:color w:val="auto"/>
              </w:rPr>
            </w:pPr>
          </w:p>
        </w:tc>
        <w:tc>
          <w:tcPr>
            <w:tcW w:w="50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3742055</wp:posOffset>
            </wp:positionV>
            <wp:extent cx="727519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5195" cy="19685"/>
                    </a:xfrm>
                    <a:prstGeom prst="rect">
                      <a:avLst/>
                    </a:prstGeom>
                    <a:noFill/>
                  </pic:spPr>
                </pic:pic>
              </a:graphicData>
            </a:graphic>
          </wp:anchor>
        </w:drawing>
        <w:drawing>
          <wp:anchor simplePos="0" relativeHeight="251657728" behindDoc="1" locked="0" layoutInCell="0" allowOverlap="1">
            <wp:simplePos x="0" y="0"/>
            <wp:positionH relativeFrom="column">
              <wp:posOffset>1572895</wp:posOffset>
            </wp:positionH>
            <wp:positionV relativeFrom="paragraph">
              <wp:posOffset>184785</wp:posOffset>
            </wp:positionV>
            <wp:extent cx="4144010" cy="3204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44010" cy="3204210"/>
                    </a:xfrm>
                    <a:prstGeom prst="rect">
                      <a:avLst/>
                    </a:prstGeom>
                    <a:noFill/>
                  </pic:spPr>
                </pic:pic>
              </a:graphicData>
            </a:graphic>
          </wp:anchor>
        </w:drawing>
      </w:r>
    </w:p>
    <w:p>
      <w:pPr>
        <w:sectPr>
          <w:pgSz w:w="11900" w:h="16838" w:orient="portrait"/>
          <w:cols w:equalWidth="0" w:num="1">
            <w:col w:w="10239"/>
          </w:cols>
          <w:pgMar w:left="220" w:top="372" w:right="1440"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right="40"/>
        <w:spacing w:after="0" w:line="258" w:lineRule="auto"/>
        <w:rPr>
          <w:sz w:val="20"/>
          <w:szCs w:val="20"/>
          <w:color w:val="auto"/>
        </w:rPr>
      </w:pPr>
      <w:r>
        <w:rPr>
          <w:rFonts w:ascii="Arial" w:cs="Arial" w:eastAsia="Arial" w:hAnsi="Arial"/>
          <w:sz w:val="15"/>
          <w:szCs w:val="15"/>
          <w:color w:val="auto"/>
        </w:rPr>
        <w:t>[Illustration: The diagram is a simplified diagram of the corporate structure of Comcast Corporation and shows the wholly owned cable subsidiaries that will guarantee any debt securities which may be offered by the prospectus. These cable guarantors may also guarantee other securities offered if so stated in the prospectus supplement related to the offering of these other securities. The cable guarantors include:</w:t>
      </w:r>
    </w:p>
    <w:p>
      <w:pPr>
        <w:spacing w:after="0" w:line="161" w:lineRule="exact"/>
        <w:rPr>
          <w:sz w:val="20"/>
          <w:szCs w:val="20"/>
          <w:color w:val="auto"/>
        </w:rPr>
      </w:pPr>
    </w:p>
    <w:p>
      <w:pPr>
        <w:ind w:left="920" w:hanging="546"/>
        <w:spacing w:after="0"/>
        <w:tabs>
          <w:tab w:leader="none" w:pos="92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Comcast Cable Communications, Inc., the principal Comcast cable subsidiary prior to Comcast’s acquisition of Broadband, referred to as “Comcast Cable.”</w:t>
      </w:r>
    </w:p>
    <w:p>
      <w:pPr>
        <w:spacing w:after="0" w:line="208" w:lineRule="exact"/>
        <w:rPr>
          <w:rFonts w:ascii="Arial" w:cs="Arial" w:eastAsia="Arial" w:hAnsi="Arial"/>
          <w:sz w:val="15"/>
          <w:szCs w:val="15"/>
          <w:color w:val="auto"/>
        </w:rPr>
      </w:pPr>
    </w:p>
    <w:p>
      <w:pPr>
        <w:ind w:left="920" w:right="20" w:hanging="546"/>
        <w:spacing w:after="0" w:line="268" w:lineRule="auto"/>
        <w:tabs>
          <w:tab w:leader="none" w:pos="92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Comcast Cable Communications Holdings, Inc., the company holding the broadband business acquired from AT&amp;T, referred to as “Comcast Cable Communications Holdings” or “Broadband.”</w:t>
      </w:r>
    </w:p>
    <w:p>
      <w:pPr>
        <w:spacing w:after="0" w:line="175" w:lineRule="exact"/>
        <w:rPr>
          <w:rFonts w:ascii="Arial" w:cs="Arial" w:eastAsia="Arial" w:hAnsi="Arial"/>
          <w:sz w:val="15"/>
          <w:szCs w:val="15"/>
          <w:color w:val="auto"/>
        </w:rPr>
      </w:pPr>
    </w:p>
    <w:p>
      <w:pPr>
        <w:ind w:left="920" w:hanging="546"/>
        <w:spacing w:after="0"/>
        <w:tabs>
          <w:tab w:leader="none" w:pos="92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Comcast MO Group, Inc. (formerly known as MediaOne Group, Inc.), referred to as “Comcast MO Group.”</w:t>
      </w:r>
    </w:p>
    <w:p>
      <w:pPr>
        <w:spacing w:after="0" w:line="208" w:lineRule="exact"/>
        <w:rPr>
          <w:rFonts w:ascii="Arial" w:cs="Arial" w:eastAsia="Arial" w:hAnsi="Arial"/>
          <w:sz w:val="15"/>
          <w:szCs w:val="15"/>
          <w:color w:val="auto"/>
        </w:rPr>
      </w:pPr>
    </w:p>
    <w:p>
      <w:pPr>
        <w:ind w:left="920" w:hanging="546"/>
        <w:spacing w:after="0"/>
        <w:tabs>
          <w:tab w:leader="none" w:pos="92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Comcast Cable Holdings, LLC, (formerly known as AT&amp;T Broadband, LLC and Tele- Communications, Inc.), referred to as “Comcast Cable Holdings.”</w:t>
      </w:r>
    </w:p>
    <w:p>
      <w:pPr>
        <w:spacing w:after="0" w:line="208" w:lineRule="exact"/>
        <w:rPr>
          <w:rFonts w:ascii="Arial" w:cs="Arial" w:eastAsia="Arial" w:hAnsi="Arial"/>
          <w:sz w:val="15"/>
          <w:szCs w:val="15"/>
          <w:color w:val="auto"/>
        </w:rPr>
      </w:pPr>
    </w:p>
    <w:p>
      <w:pPr>
        <w:ind w:left="920" w:hanging="546"/>
        <w:spacing w:after="0"/>
        <w:tabs>
          <w:tab w:leader="none" w:pos="92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Comcast MO of Delaware, Inc. (formerly known as MediaOne of Delaware, Inc. and Continental Cablevision, Inc.), referred to as “Comcast MO of Delaware.”</w:t>
      </w:r>
    </w:p>
    <w:p>
      <w:pPr>
        <w:spacing w:after="0" w:line="186" w:lineRule="exact"/>
        <w:rPr>
          <w:sz w:val="20"/>
          <w:szCs w:val="20"/>
          <w:color w:val="auto"/>
        </w:rPr>
      </w:pPr>
    </w:p>
    <w:p>
      <w:pPr>
        <w:spacing w:after="0" w:line="395" w:lineRule="auto"/>
        <w:rPr>
          <w:sz w:val="20"/>
          <w:szCs w:val="20"/>
          <w:color w:val="auto"/>
        </w:rPr>
      </w:pPr>
      <w:r>
        <w:rPr>
          <w:rFonts w:ascii="Arial" w:cs="Arial" w:eastAsia="Arial" w:hAnsi="Arial"/>
          <w:sz w:val="12"/>
          <w:szCs w:val="12"/>
          <w:color w:val="auto"/>
        </w:rPr>
        <w:t>The diagram also shows that Comcast Holdings Corporation, a subsidiary of Comcast and the parent of Comcast Cable Communications, Inc., as well various non-cable subsidiaries, will not be a cable guarantor, that Comcast has other non-cable subsidiaries, and that the cable guarantors have various operating subsidiaries which will not guarantee the Continental Notes.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End of illustration.]</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Table of Contents</w:t>
      </w:r>
    </w:p>
    <w:p>
      <w:pPr>
        <w:spacing w:after="0" w:line="366" w:lineRule="exact"/>
        <w:rPr>
          <w:sz w:val="20"/>
          <w:szCs w:val="20"/>
          <w:color w:val="auto"/>
        </w:rPr>
      </w:pPr>
    </w:p>
    <w:tbl>
      <w:tblPr>
        <w:tblLayout w:type="fixed"/>
        <w:tblInd w:w="230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480" w:type="dxa"/>
            <w:vAlign w:val="bottom"/>
          </w:tcPr>
          <w:p>
            <w:pPr>
              <w:jc w:val="right"/>
              <w:ind w:right="28"/>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380" w:type="dxa"/>
            <w:vAlign w:val="bottom"/>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6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5"/>
                <w:szCs w:val="15"/>
                <w:color w:val="auto"/>
              </w:rPr>
              <w:t>Summary</w:t>
            </w:r>
          </w:p>
        </w:tc>
        <w:tc>
          <w:tcPr>
            <w:tcW w:w="480" w:type="dxa"/>
            <w:vAlign w:val="bottom"/>
            <w:shd w:val="clear" w:color="auto" w:fill="EEEEEE"/>
          </w:tcPr>
          <w:p>
            <w:pPr>
              <w:jc w:val="right"/>
              <w:ind w:right="6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Risk Factors</w:t>
            </w:r>
          </w:p>
        </w:tc>
        <w:tc>
          <w:tcPr>
            <w:tcW w:w="480" w:type="dxa"/>
            <w:vAlign w:val="bottom"/>
          </w:tcPr>
          <w:p>
            <w:pPr>
              <w:jc w:val="right"/>
              <w:ind w:right="68"/>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5"/>
                <w:szCs w:val="15"/>
                <w:color w:val="auto"/>
              </w:rPr>
              <w:t>Special Note Regarding Forward-Looking Statements</w:t>
            </w:r>
          </w:p>
        </w:tc>
        <w:tc>
          <w:tcPr>
            <w:tcW w:w="480" w:type="dxa"/>
            <w:vAlign w:val="bottom"/>
            <w:shd w:val="clear" w:color="auto" w:fill="EEEEEE"/>
          </w:tcPr>
          <w:p>
            <w:pPr>
              <w:jc w:val="right"/>
              <w:ind w:right="68"/>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Use of Proceeds</w:t>
            </w:r>
          </w:p>
        </w:tc>
        <w:tc>
          <w:tcPr>
            <w:tcW w:w="480" w:type="dxa"/>
            <w:vAlign w:val="bottom"/>
          </w:tcPr>
          <w:p>
            <w:pPr>
              <w:jc w:val="right"/>
              <w:ind w:right="68"/>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5"/>
                <w:szCs w:val="15"/>
                <w:color w:val="auto"/>
              </w:rPr>
              <w:t>Dividend Policy</w:t>
            </w:r>
          </w:p>
        </w:tc>
        <w:tc>
          <w:tcPr>
            <w:tcW w:w="480" w:type="dxa"/>
            <w:vAlign w:val="bottom"/>
            <w:shd w:val="clear" w:color="auto" w:fill="EEEEEE"/>
          </w:tcPr>
          <w:p>
            <w:pPr>
              <w:jc w:val="right"/>
              <w:ind w:right="68"/>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Ratios of Earnings to Fixed Charges</w:t>
            </w:r>
          </w:p>
        </w:tc>
        <w:tc>
          <w:tcPr>
            <w:tcW w:w="480" w:type="dxa"/>
            <w:vAlign w:val="bottom"/>
          </w:tcPr>
          <w:p>
            <w:pPr>
              <w:jc w:val="right"/>
              <w:ind w:right="68"/>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5"/>
                <w:szCs w:val="15"/>
                <w:color w:val="auto"/>
              </w:rPr>
              <w:t>Ratio of Earnings to Combined Fixed Charges and Preferred Dividends</w:t>
            </w:r>
          </w:p>
        </w:tc>
        <w:tc>
          <w:tcPr>
            <w:tcW w:w="480" w:type="dxa"/>
            <w:vAlign w:val="bottom"/>
            <w:shd w:val="clear" w:color="auto" w:fill="EEEEEE"/>
          </w:tcPr>
          <w:p>
            <w:pPr>
              <w:jc w:val="right"/>
              <w:ind w:right="68"/>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Unaudited Pro Forma Combined Condensed Statement of Operations of Comcast Corporation</w:t>
            </w:r>
          </w:p>
        </w:tc>
        <w:tc>
          <w:tcPr>
            <w:tcW w:w="480" w:type="dxa"/>
            <w:vAlign w:val="bottom"/>
          </w:tcPr>
          <w:p>
            <w:pPr>
              <w:jc w:val="right"/>
              <w:ind w:right="68"/>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5"/>
                <w:szCs w:val="15"/>
                <w:color w:val="auto"/>
              </w:rPr>
              <w:t>Description of the Senior Debt Securities, Subordinated Debt Securities and Cable Guarantees</w:t>
            </w:r>
          </w:p>
        </w:tc>
        <w:tc>
          <w:tcPr>
            <w:tcW w:w="480" w:type="dxa"/>
            <w:vAlign w:val="bottom"/>
            <w:shd w:val="clear" w:color="auto" w:fill="EEEEEE"/>
          </w:tcPr>
          <w:p>
            <w:pPr>
              <w:jc w:val="right"/>
              <w:ind w:right="68"/>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Description of Warrants</w:t>
            </w:r>
          </w:p>
        </w:tc>
        <w:tc>
          <w:tcPr>
            <w:tcW w:w="480" w:type="dxa"/>
            <w:vAlign w:val="bottom"/>
          </w:tcPr>
          <w:p>
            <w:pPr>
              <w:jc w:val="right"/>
              <w:ind w:right="68"/>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5"/>
                <w:szCs w:val="15"/>
                <w:color w:val="auto"/>
              </w:rPr>
              <w:t>Description of Purchase Contracts</w:t>
            </w:r>
          </w:p>
        </w:tc>
        <w:tc>
          <w:tcPr>
            <w:tcW w:w="480" w:type="dxa"/>
            <w:vAlign w:val="bottom"/>
            <w:shd w:val="clear" w:color="auto" w:fill="EEEEEE"/>
          </w:tcPr>
          <w:p>
            <w:pPr>
              <w:jc w:val="right"/>
              <w:ind w:right="68"/>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Description of Units</w:t>
            </w:r>
          </w:p>
        </w:tc>
        <w:tc>
          <w:tcPr>
            <w:tcW w:w="480" w:type="dxa"/>
            <w:vAlign w:val="bottom"/>
          </w:tcPr>
          <w:p>
            <w:pPr>
              <w:jc w:val="right"/>
              <w:ind w:right="68"/>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5"/>
                <w:szCs w:val="15"/>
                <w:color w:val="auto"/>
              </w:rPr>
              <w:t>Global Securities</w:t>
            </w:r>
          </w:p>
        </w:tc>
        <w:tc>
          <w:tcPr>
            <w:tcW w:w="480" w:type="dxa"/>
            <w:vAlign w:val="bottom"/>
            <w:shd w:val="clear" w:color="auto" w:fill="EEEEEE"/>
          </w:tcPr>
          <w:p>
            <w:pPr>
              <w:jc w:val="right"/>
              <w:ind w:right="68"/>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Description of Preferred Stock</w:t>
            </w:r>
          </w:p>
        </w:tc>
        <w:tc>
          <w:tcPr>
            <w:tcW w:w="480" w:type="dxa"/>
            <w:vAlign w:val="bottom"/>
          </w:tcPr>
          <w:p>
            <w:pPr>
              <w:jc w:val="right"/>
              <w:ind w:right="68"/>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5"/>
                <w:szCs w:val="15"/>
                <w:color w:val="auto"/>
              </w:rPr>
              <w:t>Description of Depositary Shares</w:t>
            </w:r>
          </w:p>
        </w:tc>
        <w:tc>
          <w:tcPr>
            <w:tcW w:w="480" w:type="dxa"/>
            <w:vAlign w:val="bottom"/>
            <w:shd w:val="clear" w:color="auto" w:fill="EEEEEE"/>
          </w:tcPr>
          <w:p>
            <w:pPr>
              <w:jc w:val="right"/>
              <w:ind w:right="68"/>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Description of Common Stock</w:t>
            </w:r>
          </w:p>
        </w:tc>
        <w:tc>
          <w:tcPr>
            <w:tcW w:w="480" w:type="dxa"/>
            <w:vAlign w:val="bottom"/>
          </w:tcPr>
          <w:p>
            <w:pPr>
              <w:jc w:val="right"/>
              <w:ind w:right="68"/>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5"/>
                <w:szCs w:val="15"/>
                <w:color w:val="auto"/>
              </w:rPr>
              <w:t>Description of Shareholder Rights Plan</w:t>
            </w:r>
          </w:p>
        </w:tc>
        <w:tc>
          <w:tcPr>
            <w:tcW w:w="480" w:type="dxa"/>
            <w:vAlign w:val="bottom"/>
            <w:shd w:val="clear" w:color="auto" w:fill="EEEEEE"/>
          </w:tcPr>
          <w:p>
            <w:pPr>
              <w:jc w:val="right"/>
              <w:ind w:right="68"/>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Plan of Distribution</w:t>
            </w:r>
          </w:p>
        </w:tc>
        <w:tc>
          <w:tcPr>
            <w:tcW w:w="480" w:type="dxa"/>
            <w:vAlign w:val="bottom"/>
          </w:tcPr>
          <w:p>
            <w:pPr>
              <w:jc w:val="right"/>
              <w:ind w:right="68"/>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5"/>
                <w:szCs w:val="15"/>
                <w:color w:val="auto"/>
              </w:rPr>
              <w:t>Legal Matters</w:t>
            </w:r>
          </w:p>
        </w:tc>
        <w:tc>
          <w:tcPr>
            <w:tcW w:w="480" w:type="dxa"/>
            <w:vAlign w:val="bottom"/>
            <w:shd w:val="clear" w:color="auto" w:fill="EEEEEE"/>
          </w:tcPr>
          <w:p>
            <w:pPr>
              <w:jc w:val="right"/>
              <w:ind w:right="68"/>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Experts</w:t>
            </w:r>
          </w:p>
        </w:tc>
        <w:tc>
          <w:tcPr>
            <w:tcW w:w="480" w:type="dxa"/>
            <w:vAlign w:val="bottom"/>
          </w:tcPr>
          <w:p>
            <w:pPr>
              <w:jc w:val="right"/>
              <w:ind w:right="68"/>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5"/>
                <w:szCs w:val="15"/>
                <w:color w:val="auto"/>
              </w:rPr>
              <w:t>Available Information</w:t>
            </w:r>
          </w:p>
        </w:tc>
        <w:tc>
          <w:tcPr>
            <w:tcW w:w="480" w:type="dxa"/>
            <w:vAlign w:val="bottom"/>
            <w:shd w:val="clear" w:color="auto" w:fill="EEEEEE"/>
          </w:tcPr>
          <w:p>
            <w:pPr>
              <w:jc w:val="right"/>
              <w:ind w:right="68"/>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Incorporation of Certain Documents by Reference</w:t>
            </w:r>
          </w:p>
        </w:tc>
        <w:tc>
          <w:tcPr>
            <w:tcW w:w="480" w:type="dxa"/>
            <w:vAlign w:val="bottom"/>
          </w:tcPr>
          <w:p>
            <w:pPr>
              <w:jc w:val="right"/>
              <w:ind w:right="68"/>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269"/>
        <w:spacing w:after="0" w:line="258" w:lineRule="auto"/>
        <w:rPr>
          <w:sz w:val="20"/>
          <w:szCs w:val="20"/>
          <w:color w:val="auto"/>
        </w:rPr>
      </w:pPr>
      <w:r>
        <w:rPr>
          <w:rFonts w:ascii="Arial" w:cs="Arial" w:eastAsia="Arial" w:hAnsi="Arial"/>
          <w:sz w:val="15"/>
          <w:szCs w:val="15"/>
          <w:color w:val="auto"/>
        </w:rPr>
        <w:t>We refer to Comcast Corporation in this prospectus as “Comcast” or “we,” “us,” “our” or comparable terms and to Comcast Holdings Corporation as “Comcast Holdings.” We refer to Comcast Cable Communications, Inc., Comcast Cable Communications Holdings, Inc., Comcast Cable Holdings, LLC, Comcast MO Group, Inc. and Comcast MO of Delaware, Inc. collectively as the “Cable Guarantors.”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60"/>
          </w:cols>
          <w:pgMar w:left="220" w:top="372" w:right="31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COMPANIES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Comcast Corporation</w:t>
      </w:r>
    </w:p>
    <w:p>
      <w:pPr>
        <w:spacing w:after="0" w:line="213" w:lineRule="exact"/>
        <w:rPr>
          <w:sz w:val="20"/>
          <w:szCs w:val="20"/>
          <w:color w:val="auto"/>
        </w:rPr>
      </w:pPr>
    </w:p>
    <w:p>
      <w:pPr>
        <w:ind w:right="560" w:firstLine="269"/>
        <w:spacing w:after="0" w:line="395" w:lineRule="auto"/>
        <w:rPr>
          <w:sz w:val="20"/>
          <w:szCs w:val="20"/>
          <w:color w:val="auto"/>
        </w:rPr>
      </w:pPr>
      <w:r>
        <w:rPr>
          <w:rFonts w:ascii="Arial" w:cs="Arial" w:eastAsia="Arial" w:hAnsi="Arial"/>
          <w:sz w:val="12"/>
          <w:szCs w:val="12"/>
          <w:color w:val="auto"/>
        </w:rPr>
        <w:t>We were incorporated in 2001 under the name AT&amp;T Comcast Corporation to effect the acquisition of the broadband business of AT&amp;T Corp, which we refer to as “Broadband.” The acquisition, which we refer to as the “Broadband acquisition,” was consummated on November 18, 2002. On November 18, 2002, we changed our name to Comcast Corporation.</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are involved in three principal lines of business:</w:t>
      </w:r>
    </w:p>
    <w:p>
      <w:pPr>
        <w:spacing w:after="0" w:line="186" w:lineRule="exact"/>
        <w:rPr>
          <w:sz w:val="20"/>
          <w:szCs w:val="20"/>
          <w:color w:val="auto"/>
        </w:rPr>
      </w:pPr>
    </w:p>
    <w:p>
      <w:pPr>
        <w:ind w:left="820" w:hanging="463"/>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Cable—through the development, management and operation of broadband communications networks, including video, high-speed Internet and phone service,</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Commerce—through QVC, our electronic retailing subsidiary, and</w:t>
      </w:r>
    </w:p>
    <w:p>
      <w:pPr>
        <w:spacing w:after="0" w:line="231" w:lineRule="exact"/>
        <w:rPr>
          <w:rFonts w:ascii="Arial" w:cs="Arial" w:eastAsia="Arial" w:hAnsi="Arial"/>
          <w:sz w:val="15"/>
          <w:szCs w:val="15"/>
          <w:color w:val="auto"/>
        </w:rPr>
      </w:pPr>
    </w:p>
    <w:p>
      <w:pPr>
        <w:ind w:left="820" w:right="360" w:hanging="463"/>
        <w:spacing w:after="0" w:line="268" w:lineRule="auto"/>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Content—through our consolidated programming investments, including, Comcast Spectacor, Comcast SportsNet, Comcast SportsNet Mid-Atlantic, Cable Sports Southeast, E! Entertainment Television, Style, The Golf Channel, Outdoor Life Network, G4, and through our other programming investments.</w:t>
      </w:r>
    </w:p>
    <w:p>
      <w:pPr>
        <w:spacing w:after="0" w:line="175" w:lineRule="exact"/>
        <w:rPr>
          <w:sz w:val="20"/>
          <w:szCs w:val="20"/>
          <w:color w:val="auto"/>
        </w:rPr>
      </w:pPr>
    </w:p>
    <w:p>
      <w:pPr>
        <w:ind w:right="220" w:firstLine="269"/>
        <w:spacing w:after="0" w:line="317" w:lineRule="auto"/>
        <w:rPr>
          <w:sz w:val="20"/>
          <w:szCs w:val="20"/>
          <w:color w:val="auto"/>
        </w:rPr>
      </w:pPr>
      <w:r>
        <w:rPr>
          <w:rFonts w:ascii="Arial" w:cs="Arial" w:eastAsia="Arial" w:hAnsi="Arial"/>
          <w:sz w:val="12"/>
          <w:szCs w:val="12"/>
          <w:color w:val="auto"/>
        </w:rPr>
        <w:t>As a result of the Broadband acquisition, we are the largest cable operator in the United States. We have deployed digital cable and high-speed Internet service to the substantial majority of our cable systems. As of December 31, 2002, our consolidated cable operations served 21.3 million subscribers in 41 states, passed 39.1 million homes, and provided digital cable to more than</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6.6 million subscribers, high-speed Internet to more than 3.6 million subscribers and phone service to more than 1.4 million subscribers. The Broadband acquisition contributed approximately 60% of these subscribers, 64% of these homes passed, 66% of the digital cable subscribers, 58% of the high-speed Internet subscribers and 97% of the phone subscribers. We expect to make substantial capital expenditures over the next two years to complete the upgrade and rebuild of the newly acquired cable systems.</w:t>
      </w:r>
    </w:p>
    <w:p>
      <w:pPr>
        <w:spacing w:after="0" w:line="168" w:lineRule="exact"/>
        <w:rPr>
          <w:sz w:val="20"/>
          <w:szCs w:val="20"/>
          <w:color w:val="auto"/>
        </w:rPr>
      </w:pPr>
    </w:p>
    <w:p>
      <w:pPr>
        <w:ind w:right="240" w:firstLine="269"/>
        <w:spacing w:after="0" w:line="304" w:lineRule="auto"/>
        <w:rPr>
          <w:sz w:val="20"/>
          <w:szCs w:val="20"/>
          <w:color w:val="auto"/>
        </w:rPr>
      </w:pPr>
      <w:r>
        <w:rPr>
          <w:rFonts w:ascii="Arial" w:cs="Arial" w:eastAsia="Arial" w:hAnsi="Arial"/>
          <w:sz w:val="14"/>
          <w:szCs w:val="14"/>
          <w:color w:val="auto"/>
        </w:rPr>
        <w:t>Through QVC, we market a wide variety of products directly to consumers primarily on merchandise-focused television programs. As of December 31, 2002, QVC was available, on a full and part-time basis, to 85.9 million homes in the United States, 11.4 million homes in the United Kingdom, 25.8 million homes in Germany and 8.4 million homes in Japan.</w:t>
      </w:r>
    </w:p>
    <w:p>
      <w:pPr>
        <w:spacing w:after="0" w:line="153" w:lineRule="exact"/>
        <w:rPr>
          <w:sz w:val="20"/>
          <w:szCs w:val="20"/>
          <w:color w:val="auto"/>
        </w:rPr>
      </w:pPr>
    </w:p>
    <w:p>
      <w:pPr>
        <w:ind w:right="540" w:firstLine="269"/>
        <w:spacing w:after="0" w:line="304" w:lineRule="auto"/>
        <w:rPr>
          <w:sz w:val="20"/>
          <w:szCs w:val="20"/>
          <w:color w:val="auto"/>
        </w:rPr>
      </w:pPr>
      <w:r>
        <w:rPr>
          <w:rFonts w:ascii="Arial" w:cs="Arial" w:eastAsia="Arial" w:hAnsi="Arial"/>
          <w:sz w:val="14"/>
          <w:szCs w:val="14"/>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w:t>
      </w:r>
    </w:p>
    <w:p>
      <w:pPr>
        <w:spacing w:after="0" w:line="153" w:lineRule="exact"/>
        <w:rPr>
          <w:sz w:val="20"/>
          <w:szCs w:val="20"/>
          <w:color w:val="auto"/>
        </w:rPr>
      </w:pPr>
    </w:p>
    <w:p>
      <w:pPr>
        <w:ind w:right="280" w:firstLine="269"/>
        <w:spacing w:after="0" w:line="268" w:lineRule="auto"/>
        <w:rPr>
          <w:sz w:val="20"/>
          <w:szCs w:val="20"/>
          <w:color w:val="auto"/>
        </w:rPr>
      </w:pPr>
      <w:r>
        <w:rPr>
          <w:rFonts w:ascii="Arial" w:cs="Arial" w:eastAsia="Arial" w:hAnsi="Arial"/>
          <w:sz w:val="15"/>
          <w:szCs w:val="15"/>
          <w:color w:val="auto"/>
        </w:rPr>
        <w:t xml:space="preserve">We are a Pennsylvania corporation incorporated in 2001. Our principal executive office is located at 1500 Market Street, Philadelphia, Pennsylvania 19102-2148. Our telephone number is (215) 665-1700. The address of our web site is </w:t>
      </w:r>
      <w:r>
        <w:rPr>
          <w:rFonts w:ascii="Arial" w:cs="Arial" w:eastAsia="Arial" w:hAnsi="Arial"/>
          <w:sz w:val="15"/>
          <w:szCs w:val="15"/>
          <w:i w:val="1"/>
          <w:iCs w:val="1"/>
          <w:color w:val="auto"/>
        </w:rPr>
        <w:t>www.comcast.com</w:t>
      </w:r>
      <w:r>
        <w:rPr>
          <w:rFonts w:ascii="Arial" w:cs="Arial" w:eastAsia="Arial" w:hAnsi="Arial"/>
          <w:sz w:val="15"/>
          <w:szCs w:val="15"/>
          <w:color w:val="auto"/>
        </w:rPr>
        <w:t>. The information on our web site is not part of this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Cable Guarantors</w:t>
      </w:r>
    </w:p>
    <w:p>
      <w:pPr>
        <w:spacing w:after="0" w:line="213" w:lineRule="exact"/>
        <w:rPr>
          <w:sz w:val="20"/>
          <w:szCs w:val="20"/>
          <w:color w:val="auto"/>
        </w:rPr>
      </w:pPr>
    </w:p>
    <w:p>
      <w:pPr>
        <w:ind w:firstLine="269"/>
        <w:spacing w:after="0" w:line="255" w:lineRule="auto"/>
        <w:rPr>
          <w:sz w:val="20"/>
          <w:szCs w:val="20"/>
          <w:color w:val="auto"/>
        </w:rPr>
      </w:pPr>
      <w:r>
        <w:rPr>
          <w:rFonts w:ascii="Arial" w:cs="Arial" w:eastAsia="Arial" w:hAnsi="Arial"/>
          <w:sz w:val="15"/>
          <w:szCs w:val="15"/>
          <w:color w:val="auto"/>
        </w:rPr>
        <w:t>Our obligations, including the payment of principal, premium, if any, and interest, on the debt securities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If indicated in the relevant prospectus supplement, our obligations under the other securities we are offering and selling may be fully and unconditionally guaranteed by specified cable guarantors.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8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cable guarantees will not contain any restrictions on the ability of any cable guarantor to:</w:t>
      </w:r>
    </w:p>
    <w:p>
      <w:pPr>
        <w:spacing w:after="0" w:line="186" w:lineRule="exact"/>
        <w:rPr>
          <w:sz w:val="20"/>
          <w:szCs w:val="20"/>
          <w:color w:val="auto"/>
        </w:rPr>
      </w:pPr>
    </w:p>
    <w:p>
      <w:pPr>
        <w:ind w:left="820" w:hanging="463"/>
        <w:spacing w:after="0"/>
        <w:tabs>
          <w:tab w:leader="none" w:pos="8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pay dividends or distributions on, or redeem, purchase, acquire, or make a liquidation payment with respect to, any of that cable guarantor’s capital stock; or</w:t>
      </w:r>
    </w:p>
    <w:p>
      <w:pPr>
        <w:spacing w:after="0" w:line="242" w:lineRule="exact"/>
        <w:rPr>
          <w:rFonts w:ascii="Arial" w:cs="Arial" w:eastAsia="Arial" w:hAnsi="Arial"/>
          <w:sz w:val="14"/>
          <w:szCs w:val="14"/>
          <w:color w:val="auto"/>
        </w:rPr>
      </w:pPr>
    </w:p>
    <w:p>
      <w:pPr>
        <w:ind w:left="820" w:hanging="463"/>
        <w:spacing w:after="0"/>
        <w:tabs>
          <w:tab w:leader="none" w:pos="820" w:val="left"/>
        </w:tabs>
        <w:numPr>
          <w:ilvl w:val="0"/>
          <w:numId w:val="7"/>
        </w:numPr>
        <w:rPr>
          <w:rFonts w:ascii="Arial" w:cs="Arial" w:eastAsia="Arial" w:hAnsi="Arial"/>
          <w:sz w:val="15"/>
          <w:szCs w:val="15"/>
          <w:color w:val="auto"/>
        </w:rPr>
      </w:pPr>
      <w:r>
        <w:rPr>
          <w:rFonts w:ascii="Arial" w:cs="Arial" w:eastAsia="Arial" w:hAnsi="Arial"/>
          <w:sz w:val="15"/>
          <w:szCs w:val="15"/>
          <w:color w:val="auto"/>
        </w:rPr>
        <w:t>make any payment of principal, interest or premium, if any, on or repay, repurchase or redeem any debt securities of that cable guarantor.</w:t>
      </w: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Comcast Cable Communications, Inc.</w:t>
      </w:r>
    </w:p>
    <w:p>
      <w:pPr>
        <w:spacing w:after="0" w:line="209" w:lineRule="exact"/>
        <w:rPr>
          <w:sz w:val="20"/>
          <w:szCs w:val="20"/>
          <w:color w:val="auto"/>
        </w:rPr>
      </w:pPr>
    </w:p>
    <w:p>
      <w:pPr>
        <w:ind w:right="180" w:firstLine="269"/>
        <w:spacing w:after="0" w:line="268" w:lineRule="auto"/>
        <w:rPr>
          <w:sz w:val="20"/>
          <w:szCs w:val="20"/>
          <w:color w:val="auto"/>
        </w:rPr>
      </w:pPr>
      <w:r>
        <w:rPr>
          <w:rFonts w:ascii="Arial" w:cs="Arial" w:eastAsia="Arial" w:hAnsi="Arial"/>
          <w:sz w:val="15"/>
          <w:szCs w:val="15"/>
          <w:color w:val="auto"/>
        </w:rPr>
        <w:t>Comcast Cable is a Delaware corporation incorporated in 1981 and our indirect wholly-owned subsidiary. As of December 31, 2002, Comcast Cable served approximately 8.5 million subscribers.</w:t>
      </w:r>
    </w:p>
    <w:p>
      <w:pPr>
        <w:spacing w:after="0" w:line="35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Comcast Cable Communications Holdings, Inc.</w:t>
      </w:r>
    </w:p>
    <w:p>
      <w:pPr>
        <w:spacing w:after="0" w:line="209" w:lineRule="exact"/>
        <w:rPr>
          <w:sz w:val="20"/>
          <w:szCs w:val="20"/>
          <w:color w:val="auto"/>
        </w:rPr>
      </w:pPr>
    </w:p>
    <w:p>
      <w:pPr>
        <w:ind w:firstLine="269"/>
        <w:spacing w:after="0" w:line="268" w:lineRule="auto"/>
        <w:rPr>
          <w:sz w:val="20"/>
          <w:szCs w:val="20"/>
          <w:color w:val="auto"/>
        </w:rPr>
      </w:pPr>
      <w:r>
        <w:rPr>
          <w:rFonts w:ascii="Arial" w:cs="Arial" w:eastAsia="Arial" w:hAnsi="Arial"/>
          <w:sz w:val="15"/>
          <w:szCs w:val="15"/>
          <w:color w:val="auto"/>
        </w:rPr>
        <w:t>Comcast Cable Communications Holdings is a Delaware corporation incorporated in 2001 and our wholly-owned subsidiary. As of December 31, 2002, Comcast Cable Communications Holdings served approximately 12.8 million subscribers.</w:t>
      </w:r>
    </w:p>
    <w:p>
      <w:pPr>
        <w:spacing w:after="0" w:line="35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Comcast Cable Holdings, LLC</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Comcast Cable Holdings is a Delaware limited liability company formed in 1994. Comcast Cable Holdings is a wholly-owned subsidiary of Comcast Cable Communications Holdings.</w:t>
      </w: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Comcast MO Group, Inc.</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Comcast MO Group is a Delaware corporation incorporated in 1999. Comcast MO Group is a wholly-owned subsidiary of Comcast Cable Communications Holdings.</w:t>
      </w:r>
    </w:p>
    <w:p>
      <w:pPr>
        <w:spacing w:after="0" w:line="40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Comcast MO of Delaware, Inc.</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Comcast MO of Delaware is a Delaware Corporation incorporated in 1996. Comcast MO of Delaware is an indirect wholly-owned subsidiary of Comcast MO Group.</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Each cable guarantor’s principal place of business is 1500 Market Street, Philadelphia, Pennsylvania 19102-2148.</w:t>
      </w:r>
    </w:p>
    <w:p>
      <w:pPr>
        <w:spacing w:after="0" w:line="190"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100"/>
          </w:cols>
          <w:pgMar w:left="220" w:top="372" w:right="57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RISK FACTORS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the Broadband Acquisition</w:t>
      </w:r>
    </w:p>
    <w:p>
      <w:pPr>
        <w:spacing w:after="0" w:line="39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may fail to realize the anticipated benefits of the Broadband acquisition.</w:t>
      </w:r>
    </w:p>
    <w:p>
      <w:pPr>
        <w:spacing w:after="0" w:line="209" w:lineRule="exact"/>
        <w:rPr>
          <w:sz w:val="20"/>
          <w:szCs w:val="20"/>
          <w:color w:val="auto"/>
        </w:rPr>
      </w:pPr>
    </w:p>
    <w:p>
      <w:pPr>
        <w:ind w:right="40" w:firstLine="269"/>
        <w:spacing w:after="0" w:line="276" w:lineRule="auto"/>
        <w:rPr>
          <w:sz w:val="20"/>
          <w:szCs w:val="20"/>
          <w:color w:val="auto"/>
        </w:rPr>
      </w:pPr>
      <w:r>
        <w:rPr>
          <w:rFonts w:ascii="Arial" w:cs="Arial" w:eastAsia="Arial" w:hAnsi="Arial"/>
          <w:sz w:val="14"/>
          <w:szCs w:val="14"/>
          <w:color w:val="auto"/>
        </w:rPr>
        <w:t>The Broadband acquisition combined two companies that have previously operated separately. We expect to realize cost savings and other financial and operating benefits as a result of the Broadband acquisition. However, we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Cable and Comcast Cable Communications Holdings will also require substantial attention from management. The diversion of management attention and any difficulties associated with integrating Comcast Cable and Comcast Cable Communications Holdings could have a material adverse effect on our operating results.</w:t>
      </w:r>
    </w:p>
    <w:p>
      <w:pPr>
        <w:spacing w:after="0" w:line="35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will have to abide by restrictions to preserve the tax treatment of the Broadband acquisition.</w:t>
      </w:r>
    </w:p>
    <w:p>
      <w:pPr>
        <w:spacing w:after="0" w:line="209" w:lineRule="exact"/>
        <w:rPr>
          <w:sz w:val="20"/>
          <w:szCs w:val="20"/>
          <w:color w:val="auto"/>
        </w:rPr>
      </w:pPr>
    </w:p>
    <w:p>
      <w:pPr>
        <w:jc w:val="both"/>
        <w:ind w:right="140" w:firstLine="269"/>
        <w:spacing w:after="0" w:line="258" w:lineRule="auto"/>
        <w:rPr>
          <w:sz w:val="20"/>
          <w:szCs w:val="20"/>
          <w:color w:val="auto"/>
        </w:rPr>
      </w:pPr>
      <w:r>
        <w:rPr>
          <w:rFonts w:ascii="Arial" w:cs="Arial" w:eastAsia="Arial" w:hAnsi="Arial"/>
          <w:sz w:val="15"/>
          <w:szCs w:val="15"/>
          <w:color w:val="auto"/>
        </w:rPr>
        <w:t>In order to preserve the treatment of the Broadband acquisition as tax-free, our ability to redeem stock or issue equity securities will be limited through December 2004. As of December 31, 2002, we had the ability to issue at least 250 million shares of our common stock without affecting the tax treatment of the Broadband acquisition. These restrictions may limit our ability to issue equity securities to satisfy our financing needs or to acquire businesses or assets.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and our subsidiaries have significant debt and debt-like obligations and may not maintain investment-grade credit ratings.</w:t>
      </w:r>
    </w:p>
    <w:p>
      <w:pPr>
        <w:spacing w:after="0" w:line="209" w:lineRule="exact"/>
        <w:rPr>
          <w:sz w:val="20"/>
          <w:szCs w:val="20"/>
          <w:color w:val="auto"/>
        </w:rPr>
      </w:pPr>
    </w:p>
    <w:p>
      <w:pPr>
        <w:ind w:firstLine="269"/>
        <w:spacing w:after="0" w:line="332" w:lineRule="auto"/>
        <w:rPr>
          <w:sz w:val="20"/>
          <w:szCs w:val="20"/>
          <w:color w:val="auto"/>
        </w:rPr>
      </w:pPr>
      <w:r>
        <w:rPr>
          <w:rFonts w:ascii="Arial" w:cs="Arial" w:eastAsia="Arial" w:hAnsi="Arial"/>
          <w:sz w:val="12"/>
          <w:szCs w:val="12"/>
          <w:color w:val="auto"/>
        </w:rPr>
        <w:t>We and our subsidiaries have a significant amount of debt and debt-like obligations. Our credit rating and the credit ratings of our subsidiaries may in the future be lower than the current or historical credit ratings of Comcast Holdings, Comcast Cable Communications Holdings and their respective subsidiaries.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A downgrade in our or any of our subsidiaries’ existing credit ratings or failure by us and our subsidiaries to maintain investment-grade credit ratings could have a material adverse effect on our operating results, our ability to obtain additional financing, and on the value of our common stock.</w:t>
      </w:r>
    </w:p>
    <w:p>
      <w:pPr>
        <w:spacing w:after="0" w:line="32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Atypical governance arrangements may make it more difficult for our shareholders to act.</w:t>
      </w:r>
    </w:p>
    <w:p>
      <w:pPr>
        <w:spacing w:after="0" w:line="209" w:lineRule="exact"/>
        <w:rPr>
          <w:sz w:val="20"/>
          <w:szCs w:val="20"/>
          <w:color w:val="auto"/>
        </w:rPr>
      </w:pPr>
    </w:p>
    <w:p>
      <w:pPr>
        <w:ind w:right="20" w:firstLine="269"/>
        <w:spacing w:after="0" w:line="325" w:lineRule="auto"/>
        <w:rPr>
          <w:sz w:val="20"/>
          <w:szCs w:val="20"/>
          <w:color w:val="auto"/>
        </w:rPr>
      </w:pPr>
      <w:r>
        <w:rPr>
          <w:rFonts w:ascii="Arial" w:cs="Arial" w:eastAsia="Arial" w:hAnsi="Arial"/>
          <w:sz w:val="12"/>
          <w:szCs w:val="12"/>
          <w:color w:val="auto"/>
        </w:rPr>
        <w:t>In connection with the Broadband acquisition, we implemented a number of governance arrangements that are atypical for a large, publicly held corporation. A number of these arrangements relate to the election of our Board. The term of our Board will not expire until our 2004 annual meeting of shareholders. Since our shareholders will not have the right to call special meetings of shareholders or act by written consent and our directors may be removed only for cause, our shareholders will not be able to replace our initial Board members prior to that meeting. After our 2004 annual meeting of shareholders, our directors will be elected annually. Even then, however, it will be difficult for one of our shareholders, other than BRCC Holdings LLC, to elect a slate of directors of its own choosing to our Board. Brian L. Roberts, our President and Chief Executive Officer, through his control of BRCC Holdings LLC, holds a 33 1/3% nondilutable voting interest in our stock. In addition, we adopted a shareholder rights plan upon completion of the Broadband acquisition that prevents any holder of our stock, other than any holder of our Class B common stock or any of such holder’s affiliates, from acquiring our stock representing more than 10% of the voting power with respect to us without the approval of our Board.</w:t>
      </w:r>
    </w:p>
    <w:p>
      <w:pPr>
        <w:spacing w:after="0" w:line="150" w:lineRule="exact"/>
        <w:rPr>
          <w:sz w:val="20"/>
          <w:szCs w:val="20"/>
          <w:color w:val="auto"/>
        </w:rPr>
      </w:pPr>
    </w:p>
    <w:p>
      <w:pPr>
        <w:ind w:right="380" w:firstLine="269"/>
        <w:spacing w:after="0" w:line="268" w:lineRule="auto"/>
        <w:rPr>
          <w:sz w:val="20"/>
          <w:szCs w:val="20"/>
          <w:color w:val="auto"/>
        </w:rPr>
      </w:pPr>
      <w:r>
        <w:rPr>
          <w:rFonts w:ascii="Arial" w:cs="Arial" w:eastAsia="Arial" w:hAnsi="Arial"/>
          <w:sz w:val="15"/>
          <w:szCs w:val="15"/>
          <w:color w:val="auto"/>
        </w:rPr>
        <w:t>In addition to the governance arrangements relating to our Board, a number of governance arrangements will make it difficult to replace our senior management. Upon completion of the Broadband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line="332" w:lineRule="auto"/>
        <w:rPr>
          <w:sz w:val="20"/>
          <w:szCs w:val="20"/>
          <w:color w:val="auto"/>
        </w:rPr>
      </w:pPr>
      <w:r>
        <w:rPr>
          <w:rFonts w:ascii="Arial" w:cs="Arial" w:eastAsia="Arial" w:hAnsi="Arial"/>
          <w:sz w:val="12"/>
          <w:szCs w:val="12"/>
          <w:color w:val="auto"/>
        </w:rPr>
        <w:t>acquisition, C. Michael Armstrong, Chairman of the Board and CEO of AT&amp;T, became our Chairman of the Board and Brian L. Roberts, President of Comcast Holdings, became our President and CEO. After the 2005 annual meeting of our shareholders, Brian L. Roberts will also be our Chairman of the Board. Prior to the sixth anniversary of our 2004 annual meeting of shareholders, unless Brian L. Roberts ceases to be our Chairman of the Board or CEO prior to such time, our Chairman of the Board and CEO will be able to be removed only with the approval of at least 75% of our entire Board. This supermajority removal requirement makes it unlikely that C. Michael Armstrong or Brian L. Roberts will be removed from their management positions. Mr. Armstrong has notified us that as of May 7, 2003, the date of our 2003 annual shareholders meeting, he will exercise his election to become non-executive Chairman of the Board of Directors.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principal shareholder has considerable influence over our operations.</w:t>
      </w:r>
    </w:p>
    <w:p>
      <w:pPr>
        <w:spacing w:after="0" w:line="209" w:lineRule="exact"/>
        <w:rPr>
          <w:sz w:val="20"/>
          <w:szCs w:val="20"/>
          <w:color w:val="auto"/>
        </w:rPr>
      </w:pPr>
    </w:p>
    <w:p>
      <w:pPr>
        <w:ind w:firstLine="269"/>
        <w:spacing w:after="0" w:line="286" w:lineRule="auto"/>
        <w:rPr>
          <w:sz w:val="20"/>
          <w:szCs w:val="20"/>
          <w:color w:val="auto"/>
        </w:rPr>
      </w:pPr>
      <w:r>
        <w:rPr>
          <w:rFonts w:ascii="Arial" w:cs="Arial" w:eastAsia="Arial" w:hAnsi="Arial"/>
          <w:sz w:val="14"/>
          <w:szCs w:val="14"/>
          <w:color w:val="auto"/>
        </w:rPr>
        <w:t>Brian L. Roberts has significant control over our operations through his control of BRCC Holdings LLC, which as a result of its ownership of outstanding shares of our Class B common stock holds a nondilutable 33 1/3% of the combined voting power of our stock and also has separate approval rights over certain material transactions involving us. In addition, Brian L. Roberts is our President and CEO and will, together with our Chairman of the Board, comprise the Office of the Chairman, our principal executive deliberative body.</w:t>
      </w:r>
    </w:p>
    <w:p>
      <w:pPr>
        <w:spacing w:after="0" w:line="142" w:lineRule="exact"/>
        <w:rPr>
          <w:sz w:val="20"/>
          <w:szCs w:val="20"/>
          <w:color w:val="auto"/>
        </w:rPr>
      </w:pPr>
    </w:p>
    <w:p>
      <w:pPr>
        <w:ind w:right="600" w:firstLine="182"/>
        <w:spacing w:after="0" w:line="268" w:lineRule="auto"/>
        <w:rPr>
          <w:sz w:val="20"/>
          <w:szCs w:val="20"/>
          <w:color w:val="auto"/>
        </w:rPr>
      </w:pPr>
      <w:r>
        <w:rPr>
          <w:rFonts w:ascii="Arial" w:cs="Arial" w:eastAsia="Arial" w:hAnsi="Arial"/>
          <w:sz w:val="15"/>
          <w:szCs w:val="15"/>
          <w:b w:val="1"/>
          <w:bCs w:val="1"/>
          <w:i w:val="1"/>
          <w:iCs w:val="1"/>
          <w:color w:val="auto"/>
        </w:rPr>
        <w:t>The performance of Broadband prior to the Broadband acquisition may not be representative of the results of Comcast Cable Communications Holdings without the other AT&amp;T businesses and therefore is not a reliable indicator of its future results.</w:t>
      </w:r>
    </w:p>
    <w:p>
      <w:pPr>
        <w:spacing w:after="0" w:line="175" w:lineRule="exact"/>
        <w:rPr>
          <w:sz w:val="20"/>
          <w:szCs w:val="20"/>
          <w:color w:val="auto"/>
        </w:rPr>
      </w:pPr>
    </w:p>
    <w:p>
      <w:pPr>
        <w:ind w:right="20" w:firstLine="269"/>
        <w:spacing w:after="0" w:line="353" w:lineRule="auto"/>
        <w:rPr>
          <w:sz w:val="20"/>
          <w:szCs w:val="20"/>
          <w:color w:val="auto"/>
        </w:rPr>
      </w:pPr>
      <w:r>
        <w:rPr>
          <w:rFonts w:ascii="Arial" w:cs="Arial" w:eastAsia="Arial" w:hAnsi="Arial"/>
          <w:sz w:val="12"/>
          <w:szCs w:val="12"/>
          <w:color w:val="auto"/>
        </w:rPr>
        <w:t>Broadband was a fully integrated business unit of AT&amp;T, and as a result the financial information of Broadband incorporated by reference in this prospectus was derived from the consolidated financial statements and accounting records of AT&amp;T and reflects certain assumptions and allocations. The financial position, results of operations and cash flows of Comcast Cable Communications Holdings without the other AT&amp;T businesses could differ from those that would have resulted had its business operated with the other AT&amp;T businesses.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Business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actual financial position and results of operations may differ significantly and adversely from the pro forma amounts included in this prospectus.</w:t>
      </w:r>
    </w:p>
    <w:p>
      <w:pPr>
        <w:spacing w:after="0" w:line="209" w:lineRule="exact"/>
        <w:rPr>
          <w:sz w:val="20"/>
          <w:szCs w:val="20"/>
          <w:color w:val="auto"/>
        </w:rPr>
      </w:pPr>
    </w:p>
    <w:p>
      <w:pPr>
        <w:ind w:right="200" w:firstLine="269"/>
        <w:spacing w:after="0" w:line="268" w:lineRule="auto"/>
        <w:rPr>
          <w:sz w:val="20"/>
          <w:szCs w:val="20"/>
          <w:color w:val="auto"/>
        </w:rPr>
      </w:pPr>
      <w:r>
        <w:rPr>
          <w:rFonts w:ascii="Arial" w:cs="Arial" w:eastAsia="Arial" w:hAnsi="Arial"/>
          <w:sz w:val="15"/>
          <w:szCs w:val="15"/>
          <w:color w:val="auto"/>
        </w:rPr>
        <w:t>Our actual financial position and results of operations may differ, perhaps significantly and adversely, from the pro forma information included in this prospectus due to a variety of factors, including access to additional information and changes in value not currently identified.</w:t>
      </w:r>
    </w:p>
    <w:p>
      <w:pPr>
        <w:spacing w:after="0" w:line="175" w:lineRule="exact"/>
        <w:rPr>
          <w:sz w:val="20"/>
          <w:szCs w:val="20"/>
          <w:color w:val="auto"/>
        </w:rPr>
      </w:pPr>
    </w:p>
    <w:p>
      <w:pPr>
        <w:ind w:right="100" w:firstLine="269"/>
        <w:spacing w:after="0" w:line="276" w:lineRule="auto"/>
        <w:rPr>
          <w:sz w:val="20"/>
          <w:szCs w:val="20"/>
          <w:color w:val="auto"/>
        </w:rPr>
      </w:pPr>
      <w:r>
        <w:rPr>
          <w:rFonts w:ascii="Arial" w:cs="Arial" w:eastAsia="Arial" w:hAnsi="Arial"/>
          <w:sz w:val="14"/>
          <w:szCs w:val="14"/>
          <w:color w:val="auto"/>
        </w:rPr>
        <w:t>In addition, in many cases each of Comcast Holdings and Broadband had long-term agreements, in some cases with the same counterparties, for the same services and products, such as programming, billing services and interactive programming guides. It is not clear, in the case of certain services and products, whether each of the existing agreements continues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our actual financial position and results of operations to differ significantly and adversely from those reflected in the pro forma financial information incorporated by reference in this prospectus.</w:t>
      </w:r>
    </w:p>
    <w:p>
      <w:pPr>
        <w:spacing w:after="0" w:line="151" w:lineRule="exact"/>
        <w:rPr>
          <w:sz w:val="20"/>
          <w:szCs w:val="20"/>
          <w:color w:val="auto"/>
        </w:rPr>
      </w:pPr>
    </w:p>
    <w:p>
      <w:pPr>
        <w:ind w:right="380" w:firstLine="182"/>
        <w:spacing w:after="0" w:line="268" w:lineRule="auto"/>
        <w:rPr>
          <w:sz w:val="20"/>
          <w:szCs w:val="20"/>
          <w:color w:val="auto"/>
        </w:rPr>
      </w:pPr>
      <w:r>
        <w:rPr>
          <w:rFonts w:ascii="Arial" w:cs="Arial" w:eastAsia="Arial" w:hAnsi="Arial"/>
          <w:sz w:val="15"/>
          <w:szCs w:val="15"/>
          <w:b w:val="1"/>
          <w:bCs w:val="1"/>
          <w:i w:val="1"/>
          <w:iCs w:val="1"/>
          <w:color w:val="auto"/>
        </w:rPr>
        <w:t>Programming costs are increasing and we may not have the ability to pass these increases on to our subscribers, which would materially adversely affect our cash flow and operating margins.</w:t>
      </w:r>
    </w:p>
    <w:p>
      <w:pPr>
        <w:spacing w:after="0" w:line="175" w:lineRule="exact"/>
        <w:rPr>
          <w:sz w:val="20"/>
          <w:szCs w:val="20"/>
          <w:color w:val="auto"/>
        </w:rPr>
      </w:pPr>
    </w:p>
    <w:p>
      <w:pPr>
        <w:ind w:right="60" w:firstLine="269"/>
        <w:spacing w:after="0" w:line="268" w:lineRule="auto"/>
        <w:rPr>
          <w:sz w:val="20"/>
          <w:szCs w:val="20"/>
          <w:color w:val="auto"/>
        </w:rPr>
      </w:pPr>
      <w:r>
        <w:rPr>
          <w:rFonts w:ascii="Arial" w:cs="Arial" w:eastAsia="Arial" w:hAnsi="Arial"/>
          <w:sz w:val="15"/>
          <w:szCs w:val="15"/>
          <w:color w:val="auto"/>
        </w:rPr>
        <w:t>Programming costs are expected to be our largest single expense item in the foreseeable future. In recent years, the cable and satellite video industries have experienced a rapid increase in the cost of programming, particularly sports programming. This increase is expected to continue, and we may not be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right="60"/>
        <w:spacing w:after="0" w:line="353" w:lineRule="auto"/>
        <w:rPr>
          <w:sz w:val="20"/>
          <w:szCs w:val="20"/>
          <w:color w:val="auto"/>
        </w:rPr>
      </w:pPr>
      <w:r>
        <w:rPr>
          <w:rFonts w:ascii="Arial" w:cs="Arial" w:eastAsia="Arial" w:hAnsi="Arial"/>
          <w:sz w:val="12"/>
          <w:szCs w:val="12"/>
          <w:color w:val="auto"/>
        </w:rPr>
        <w:t>able to pass programming cost increases on to our subscribers. The inability to pass these programming cost increases on to our subscribers would have a material adverse impact on our operating results.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subscribers, may reduce operating margins.</w:t>
      </w:r>
    </w:p>
    <w:p>
      <w:pPr>
        <w:spacing w:after="0" w:line="131" w:lineRule="exact"/>
        <w:rPr>
          <w:sz w:val="20"/>
          <w:szCs w:val="20"/>
          <w:color w:val="auto"/>
        </w:rPr>
      </w:pPr>
    </w:p>
    <w:p>
      <w:pPr>
        <w:ind w:right="100" w:firstLine="269"/>
        <w:spacing w:after="0" w:line="304" w:lineRule="auto"/>
        <w:rPr>
          <w:sz w:val="20"/>
          <w:szCs w:val="20"/>
          <w:color w:val="auto"/>
        </w:rPr>
      </w:pPr>
      <w:r>
        <w:rPr>
          <w:rFonts w:ascii="Arial" w:cs="Arial" w:eastAsia="Arial" w:hAnsi="Arial"/>
          <w:sz w:val="14"/>
          <w:szCs w:val="14"/>
          <w:color w:val="auto"/>
        </w:rPr>
        <w:t>We also expect to be subject to increasing financial and other demands by broadcasters to obtain the required consent for the retransmission of broadcast programming to our subscribers. We cannot predict the financial impact of these negotiations or the effect on our subscribers should we be required to stop offering this programming.</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face a wide range of competition in areas served by our cable systems, which could adversely affect our future results of operations.</w:t>
      </w:r>
    </w:p>
    <w:p>
      <w:pPr>
        <w:spacing w:after="0" w:line="209" w:lineRule="exact"/>
        <w:rPr>
          <w:sz w:val="20"/>
          <w:szCs w:val="20"/>
          <w:color w:val="auto"/>
        </w:rPr>
      </w:pPr>
    </w:p>
    <w:p>
      <w:pPr>
        <w:ind w:firstLine="269"/>
        <w:spacing w:after="0" w:line="325" w:lineRule="auto"/>
        <w:rPr>
          <w:sz w:val="20"/>
          <w:szCs w:val="20"/>
          <w:color w:val="auto"/>
        </w:rPr>
      </w:pPr>
      <w:r>
        <w:rPr>
          <w:rFonts w:ascii="Arial" w:cs="Arial" w:eastAsia="Arial" w:hAnsi="Arial"/>
          <w:sz w:val="12"/>
          <w:szCs w:val="12"/>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we will be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w:t>
      </w:r>
    </w:p>
    <w:p>
      <w:pPr>
        <w:spacing w:after="0" w:line="30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have substantial capital requirements which may require us to obtain additional financing that may be difficult to obtain.</w:t>
      </w:r>
    </w:p>
    <w:p>
      <w:pPr>
        <w:spacing w:after="0" w:line="209" w:lineRule="exact"/>
        <w:rPr>
          <w:sz w:val="20"/>
          <w:szCs w:val="20"/>
          <w:color w:val="auto"/>
        </w:rPr>
      </w:pPr>
    </w:p>
    <w:p>
      <w:pPr>
        <w:jc w:val="both"/>
        <w:ind w:right="300" w:firstLine="269"/>
        <w:spacing w:after="0" w:line="255" w:lineRule="auto"/>
        <w:rPr>
          <w:sz w:val="20"/>
          <w:szCs w:val="20"/>
          <w:color w:val="auto"/>
        </w:rPr>
      </w:pPr>
      <w:r>
        <w:rPr>
          <w:rFonts w:ascii="Arial" w:cs="Arial" w:eastAsia="Arial" w:hAnsi="Arial"/>
          <w:sz w:val="15"/>
          <w:szCs w:val="15"/>
          <w:color w:val="auto"/>
        </w:rPr>
        <w:t>Our future capital expenditures may exceed, perhaps significantly, our net cash provided by operating activities. This may require us to obtain additional financing. We may not be able to obtain or to obtain on favorable terms the capital necessary to fund the substantial capital expenditures described below that are required by our strategy and business plan. A failure to obtain necessary capital or to obtain necessary capital on favorable terms could have a material adverse effect on us and result in the delay, change or abandonment of our development or expansion plans.</w:t>
      </w:r>
    </w:p>
    <w:p>
      <w:pPr>
        <w:spacing w:after="0" w:line="186" w:lineRule="exact"/>
        <w:rPr>
          <w:sz w:val="20"/>
          <w:szCs w:val="20"/>
          <w:color w:val="auto"/>
        </w:rPr>
      </w:pPr>
    </w:p>
    <w:p>
      <w:pPr>
        <w:ind w:right="40" w:firstLine="269"/>
        <w:spacing w:after="0" w:line="252" w:lineRule="auto"/>
        <w:rPr>
          <w:sz w:val="20"/>
          <w:szCs w:val="20"/>
          <w:color w:val="auto"/>
        </w:rPr>
      </w:pPr>
      <w:r>
        <w:rPr>
          <w:rFonts w:ascii="Arial" w:cs="Arial" w:eastAsia="Arial" w:hAnsi="Arial"/>
          <w:sz w:val="15"/>
          <w:szCs w:val="15"/>
          <w:color w:val="auto"/>
        </w:rPr>
        <w:t>We anticipate that we will upgrade a significant portion of our broadband systems over the coming years and make other capital investments, including with respect to our advanced services. During 2003, we expect to incur approximately $4.2 billion of capital expenditures in our cable, commerce and content businesses, including approximately $4 billion for our cable operations. We are expected to incur substantial capital expenditures in the years subsequent to 2003. However, the actual amount of the funds required for capital expenditures cannot be determined with precision at this time. Capital is expected to be used to upgrade and rebuild network systems to expand bandwidth capacity and add two-way capability so that our systems may offer advanced services. In addition, capital expenditures are expected to be used to acquire equipment, such as set-top boxes, cable modems and telephone equipment, and to pay for installation costs for additional video and advanced services customers. There can be no assurance that these amounts will be sufficient to accomplish the planned system upgrades, equipment acquisitions and expansion.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Some of our subsidiaries may be subject to long-term exclusive agreements that may limit their future operating flexibility and materially adversely affect our financial results.</w:t>
      </w:r>
    </w:p>
    <w:p>
      <w:pPr>
        <w:spacing w:after="0" w:line="243" w:lineRule="exact"/>
        <w:rPr>
          <w:sz w:val="20"/>
          <w:szCs w:val="20"/>
          <w:color w:val="auto"/>
        </w:rPr>
      </w:pPr>
    </w:p>
    <w:p>
      <w:pPr>
        <w:jc w:val="both"/>
        <w:ind w:right="320" w:firstLine="269"/>
        <w:spacing w:after="0" w:line="353" w:lineRule="auto"/>
        <w:rPr>
          <w:sz w:val="20"/>
          <w:szCs w:val="20"/>
          <w:color w:val="auto"/>
        </w:rPr>
      </w:pPr>
      <w:r>
        <w:rPr>
          <w:rFonts w:ascii="Arial" w:cs="Arial" w:eastAsia="Arial" w:hAnsi="Arial"/>
          <w:sz w:val="12"/>
          <w:szCs w:val="12"/>
          <w:color w:val="auto"/>
        </w:rPr>
        <w:t>Some of the entities that became our subsidiaries following the Broadband acquisition may be subject to long-term agreements relating to significant aspects of their operations, including long-term agreements for video programming, audio programming, electronic program guides, billing and other services. The price, terms and conditions of these agreements may not reflect current market terms and if one or more of these arrangements were to continue to apply to any of our subsidiaries, they may materially adversely impact our financial performance.</w:t>
      </w:r>
    </w:p>
    <w:p>
      <w:pPr>
        <w:spacing w:after="0" w:line="131" w:lineRule="exact"/>
        <w:rPr>
          <w:sz w:val="20"/>
          <w:szCs w:val="20"/>
          <w:color w:val="auto"/>
        </w:rPr>
      </w:pPr>
    </w:p>
    <w:p>
      <w:pPr>
        <w:ind w:right="160" w:firstLine="269"/>
        <w:spacing w:after="0" w:line="353" w:lineRule="auto"/>
        <w:rPr>
          <w:sz w:val="20"/>
          <w:szCs w:val="20"/>
          <w:color w:val="auto"/>
        </w:rPr>
      </w:pPr>
      <w:r>
        <w:rPr>
          <w:rFonts w:ascii="Arial" w:cs="Arial" w:eastAsia="Arial" w:hAnsi="Arial"/>
          <w:sz w:val="12"/>
          <w:szCs w:val="12"/>
          <w:color w:val="auto"/>
        </w:rPr>
        <w:t>Comcast Cable Holdings, and Broadband’s subsidiary, Satellite Services, Inc., are parties to an affiliation term sheet with Starz Encore Group LLC, an affiliate of Liberty Media, which extends to 2022 and provided for annual fixed price payments, subject to adjustment for various factors including inflation, and purported to require Broadband to pay two-thirds of Starz Encore Group’s programming costs above levels designated in the term sheet. Excess programming costs that may be payable by us in future years are not presently estimable, and could be significant.</w:t>
      </w:r>
    </w:p>
    <w:p>
      <w:pPr>
        <w:spacing w:after="0" w:line="131" w:lineRule="exact"/>
        <w:rPr>
          <w:sz w:val="20"/>
          <w:szCs w:val="20"/>
          <w:color w:val="auto"/>
        </w:rPr>
      </w:pPr>
    </w:p>
    <w:p>
      <w:pPr>
        <w:ind w:firstLine="269"/>
        <w:spacing w:after="0" w:line="323" w:lineRule="auto"/>
        <w:rPr>
          <w:sz w:val="20"/>
          <w:szCs w:val="20"/>
          <w:color w:val="auto"/>
        </w:rPr>
      </w:pPr>
      <w:r>
        <w:rPr>
          <w:rFonts w:ascii="Arial" w:cs="Arial" w:eastAsia="Arial" w:hAnsi="Arial"/>
          <w:sz w:val="12"/>
          <w:szCs w:val="12"/>
          <w:color w:val="auto"/>
        </w:rPr>
        <w:t>By letter dated May 29, 2001, Broadband disputed the enforceability of the excess programming pass-through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a lawsuit in Colorado state court seeking payment of alleged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In connection with the standstill agreement, 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331" w:lineRule="exact"/>
        <w:rPr>
          <w:sz w:val="20"/>
          <w:szCs w:val="20"/>
          <w:color w:val="auto"/>
        </w:rPr>
      </w:pPr>
    </w:p>
    <w:p>
      <w:pPr>
        <w:ind w:right="80" w:firstLine="269"/>
        <w:spacing w:after="0" w:line="339" w:lineRule="auto"/>
        <w:rPr>
          <w:sz w:val="20"/>
          <w:szCs w:val="20"/>
          <w:color w:val="auto"/>
        </w:rPr>
      </w:pPr>
      <w:r>
        <w:rPr>
          <w:rFonts w:ascii="Arial" w:cs="Arial" w:eastAsia="Arial" w:hAnsi="Arial"/>
          <w:sz w:val="12"/>
          <w:szCs w:val="12"/>
          <w:color w:val="auto"/>
        </w:rPr>
        <w:t>On November 18, 2002, we filed suit against Starz Encore Group in the United States District Court for the Eastern District of Pennsylvania. We seek a declaratory judgment that, pursuant to our rights under a March 17, 1999 contract with a predecessor of Starz Encore, upon the completion of the Broadband acquisition, that contract now provides the terms under which Starz Encore Group programming is acquired and transmitted by our cable systems. In January 2003, Starz Encore Group filed a motion to dismiss the lawsuit on the grounds that claims asserted by us raised issues of state law that the United States District Court should decline to decide. We have responded contesting these assertions. The motion has been submitted to the Court for decision.</w:t>
      </w:r>
    </w:p>
    <w:p>
      <w:pPr>
        <w:spacing w:after="0" w:line="140" w:lineRule="exact"/>
        <w:rPr>
          <w:sz w:val="20"/>
          <w:szCs w:val="20"/>
          <w:color w:val="auto"/>
        </w:rPr>
      </w:pPr>
    </w:p>
    <w:p>
      <w:pPr>
        <w:jc w:val="both"/>
        <w:ind w:firstLine="269"/>
        <w:spacing w:after="0" w:line="353" w:lineRule="auto"/>
        <w:rPr>
          <w:sz w:val="20"/>
          <w:szCs w:val="20"/>
          <w:color w:val="auto"/>
        </w:rPr>
      </w:pPr>
      <w:r>
        <w:rPr>
          <w:rFonts w:ascii="Arial" w:cs="Arial" w:eastAsia="Arial" w:hAnsi="Arial"/>
          <w:sz w:val="12"/>
          <w:szCs w:val="12"/>
          <w:color w:val="auto"/>
        </w:rPr>
        <w:t>On January 31, 2003, Starz Encore filed an amended complaint that adds us and Comcast Holdings as defendants and adds new claims against us, Comcast Holdings and Broadband asserting alleged breaches of, and interference with, the standstill agreement relating to the lawsuit filed by us and Comcast Holdings in federal District Court in Pennsylvania and to the defendants’ position that, since the completion of the Broadband acquisition, the March 17, 1999 contract provides the terms under which Starz Encore programming is acquired and transmitted by our cable systems.</w:t>
      </w:r>
    </w:p>
    <w:p>
      <w:pPr>
        <w:spacing w:after="0" w:line="131" w:lineRule="exact"/>
        <w:rPr>
          <w:sz w:val="20"/>
          <w:szCs w:val="20"/>
          <w:color w:val="auto"/>
        </w:rPr>
      </w:pPr>
    </w:p>
    <w:p>
      <w:pPr>
        <w:ind w:right="60" w:firstLine="269"/>
        <w:spacing w:after="0" w:line="286" w:lineRule="auto"/>
        <w:rPr>
          <w:sz w:val="20"/>
          <w:szCs w:val="20"/>
          <w:color w:val="auto"/>
        </w:rPr>
      </w:pPr>
      <w:r>
        <w:rPr>
          <w:rFonts w:ascii="Arial" w:cs="Arial" w:eastAsia="Arial" w:hAnsi="Arial"/>
          <w:sz w:val="14"/>
          <w:szCs w:val="14"/>
          <w:color w:val="auto"/>
        </w:rPr>
        <w:t>On March 3, 2003, Starz Encore filed a motion for leave to file a second amended complaint that would add allegations that Broadband has breached certain joint-marketing obligations under the term sheet and that we and Comcast Holdings have breached certain joint-marketing obligations under the March 17, 1999 contract and other agreements. We, Comcast Holdings and Broadband intend to oppose Starz Encore’s motion for leave to file a second amended complaint and, in light of Starz Encore’s pending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motion for leave to amend, have sought an extension of time from the Court to respond to Starz Encore’s amended complaint.</w:t>
      </w:r>
    </w:p>
    <w:p>
      <w:pPr>
        <w:spacing w:after="0" w:line="209" w:lineRule="exact"/>
        <w:rPr>
          <w:sz w:val="20"/>
          <w:szCs w:val="20"/>
          <w:color w:val="auto"/>
        </w:rPr>
      </w:pPr>
    </w:p>
    <w:p>
      <w:pPr>
        <w:ind w:firstLine="269"/>
        <w:spacing w:after="0" w:line="339" w:lineRule="auto"/>
        <w:rPr>
          <w:sz w:val="20"/>
          <w:szCs w:val="20"/>
          <w:color w:val="auto"/>
        </w:rPr>
      </w:pPr>
      <w:r>
        <w:rPr>
          <w:rFonts w:ascii="Arial" w:cs="Arial" w:eastAsia="Arial" w:hAnsi="Arial"/>
          <w:sz w:val="12"/>
          <w:szCs w:val="12"/>
          <w:color w:val="auto"/>
        </w:rPr>
        <w:t>An entity formerly attributed to Broadband, which is now our subsidiary,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 In the event that either the arbitration or this litigation or the settlement thereof results in the termination of the master agreement, Comcast Cable Communications Holdings may incur significant costs in connection with its replacement of these customer care and billing services and may experience temporary disruptions to its operations.</w:t>
      </w:r>
    </w:p>
    <w:p>
      <w:pPr>
        <w:spacing w:after="0" w:line="140" w:lineRule="exact"/>
        <w:rPr>
          <w:sz w:val="20"/>
          <w:szCs w:val="20"/>
          <w:color w:val="auto"/>
        </w:rPr>
      </w:pPr>
    </w:p>
    <w:p>
      <w:pPr>
        <w:ind w:right="180" w:firstLine="269"/>
        <w:spacing w:after="0" w:line="339" w:lineRule="auto"/>
        <w:rPr>
          <w:sz w:val="20"/>
          <w:szCs w:val="20"/>
          <w:color w:val="auto"/>
        </w:rPr>
      </w:pPr>
      <w:r>
        <w:rPr>
          <w:rFonts w:ascii="Arial" w:cs="Arial" w:eastAsia="Arial" w:hAnsi="Arial"/>
          <w:sz w:val="12"/>
          <w:szCs w:val="12"/>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breach of the master agreement, a declaration that we are now bound by the master agreement to use CSG as our exclusive provider for certain billing and customer care services, tortious interference with prospective contractual relations, and civil conspiracy. A hearing in the arbitration is scheduled to commence on May 5, 2003.</w:t>
      </w:r>
    </w:p>
    <w:p>
      <w:pPr>
        <w:spacing w:after="0" w:line="140" w:lineRule="exact"/>
        <w:rPr>
          <w:sz w:val="20"/>
          <w:szCs w:val="20"/>
          <w:color w:val="auto"/>
        </w:rPr>
      </w:pPr>
    </w:p>
    <w:p>
      <w:pPr>
        <w:ind w:firstLine="269"/>
        <w:spacing w:after="0" w:line="332" w:lineRule="auto"/>
        <w:rPr>
          <w:sz w:val="20"/>
          <w:szCs w:val="20"/>
          <w:color w:val="auto"/>
        </w:rPr>
      </w:pPr>
      <w:r>
        <w:rPr>
          <w:rFonts w:ascii="Arial" w:cs="Arial" w:eastAsia="Arial" w:hAnsi="Arial"/>
          <w:sz w:val="12"/>
          <w:szCs w:val="12"/>
          <w:color w:val="auto"/>
        </w:rPr>
        <w:t>On June 21, 2002, CSG filed a lawsuit against Comcast Holdings in federal court in Denver, Colorado asserting claims related to the master agreement and the pending arbitration. On November 4, 2002, CSG withdrew its complaint against Comcast Holdings without prejudice. On November 15, 2002, we initiated a lawsuit against CSG in federal court in Philadelphia, Pennsylvania asserting that cable systems owned by Comcast Holdings are not required to use CSG as a billing service or customer care provider pursuant to the master agreement, and that the former Broadband cable systems we now own may be added to a billing service agreement between us and CSG. CSG moved to dismiss or stay the lawsuit on the ground that the issues raised by the complaint could be wholly or substantially determined by the above-mentioned arbitration. By an order dated February 10, 2003, the Court stayed the lawsuit until further notice.</w:t>
      </w:r>
    </w:p>
    <w:p>
      <w:pPr>
        <w:spacing w:after="0" w:line="144" w:lineRule="exact"/>
        <w:rPr>
          <w:sz w:val="20"/>
          <w:szCs w:val="20"/>
          <w:color w:val="auto"/>
        </w:rPr>
      </w:pPr>
    </w:p>
    <w:p>
      <w:pPr>
        <w:ind w:firstLine="269"/>
        <w:spacing w:after="0" w:line="254" w:lineRule="auto"/>
        <w:rPr>
          <w:sz w:val="20"/>
          <w:szCs w:val="20"/>
          <w:color w:val="auto"/>
        </w:rPr>
      </w:pPr>
      <w:r>
        <w:rPr>
          <w:rFonts w:ascii="Arial" w:cs="Arial" w:eastAsia="Arial" w:hAnsi="Arial"/>
          <w:sz w:val="15"/>
          <w:szCs w:val="15"/>
          <w:color w:val="auto"/>
        </w:rPr>
        <w:t>On January 8, 2003, Liberty Digital, Inc. filed a complaint in Colorado state court against us and Comcast Cable Holdings, LLC (formerly AT&amp;T Broadband LLC and Tele-Communications, Inc.), our wholly-owned subsidiary. The complaint alleges that Comcast Cable Holdings breached a 1997 “contribution agreement” between Liberty Digital and Comcast Cable Holdings and that we tortiously interfered with that agreement. The complaint alleges that this purported agreement obligates Comcast Cable Holdings to pay fees to Liberty Digital totaling $18 million (increasing at CPI) per year through 2017. We and Comcast Cable Holdings filed our answer to the complaint on March 5, 2003, in which we denied the essential allegations of the complaint and asserted various affirmative defenses.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are subject to regulation by federal, state and local governments which may impose costs and restrictions.</w:t>
      </w:r>
    </w:p>
    <w:p>
      <w:pPr>
        <w:spacing w:after="0" w:line="209" w:lineRule="exact"/>
        <w:rPr>
          <w:sz w:val="20"/>
          <w:szCs w:val="20"/>
          <w:color w:val="auto"/>
        </w:rPr>
      </w:pPr>
    </w:p>
    <w:p>
      <w:pPr>
        <w:ind w:right="40" w:firstLine="269"/>
        <w:spacing w:after="0" w:line="276" w:lineRule="auto"/>
        <w:rPr>
          <w:sz w:val="20"/>
          <w:szCs w:val="20"/>
          <w:color w:val="auto"/>
        </w:rPr>
      </w:pPr>
      <w:r>
        <w:rPr>
          <w:rFonts w:ascii="Arial" w:cs="Arial" w:eastAsia="Arial" w:hAnsi="Arial"/>
          <w:sz w:val="14"/>
          <w:szCs w:val="14"/>
          <w:color w:val="auto"/>
        </w:rPr>
        <w:t>Federal, state and local governments extensively regulate the cable industry. We expect that legislative enactments, courts actions and regulatory proceedings will continue to clarify and in some cases change the rights and obligations of cable companies and other entities under the Communications Act of 1934, as amended, and other laws, possibly in ways that we have not foreseen. The results of these legislative, judicial and administrative actions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us in the future.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60"/>
          </w:cols>
          <w:pgMar w:left="220" w:top="372" w:right="31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We are subject to additional regulatory burdens in connection with the provision of telecommunications services, which could cause us to incur additional costs.</w:t>
      </w:r>
    </w:p>
    <w:p>
      <w:pPr>
        <w:spacing w:after="0" w:line="220" w:lineRule="exact"/>
        <w:rPr>
          <w:sz w:val="20"/>
          <w:szCs w:val="20"/>
          <w:color w:val="auto"/>
        </w:rPr>
      </w:pPr>
    </w:p>
    <w:p>
      <w:pPr>
        <w:ind w:right="320" w:firstLine="269"/>
        <w:spacing w:after="0" w:line="304" w:lineRule="auto"/>
        <w:rPr>
          <w:sz w:val="20"/>
          <w:szCs w:val="20"/>
          <w:color w:val="auto"/>
        </w:rPr>
      </w:pPr>
      <w:r>
        <w:rPr>
          <w:rFonts w:ascii="Arial" w:cs="Arial" w:eastAsia="Arial" w:hAnsi="Arial"/>
          <w:sz w:val="14"/>
          <w:szCs w:val="14"/>
          <w:color w:val="auto"/>
        </w:rPr>
        <w:t>We are subject to risks associated with the regulation of our telecommunications services by the Federal Communications Commission, or FCC, and state public utilities commissions, or PUCs. Telecommunications companies generally are subject to significant regulation. This regulation could materially adversely affect our business operations.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We may face increased competition because of technological advances and new regulatory requirements, which could adversely affect our future results of operations.</w:t>
      </w:r>
    </w:p>
    <w:p>
      <w:pPr>
        <w:spacing w:after="0" w:line="220" w:lineRule="exact"/>
        <w:rPr>
          <w:sz w:val="20"/>
          <w:szCs w:val="20"/>
          <w:color w:val="auto"/>
        </w:rPr>
      </w:pPr>
    </w:p>
    <w:p>
      <w:pPr>
        <w:ind w:right="20" w:firstLine="269"/>
        <w:spacing w:after="0" w:line="276" w:lineRule="auto"/>
        <w:rPr>
          <w:sz w:val="20"/>
          <w:szCs w:val="20"/>
          <w:color w:val="auto"/>
        </w:rPr>
      </w:pPr>
      <w:r>
        <w:rPr>
          <w:rFonts w:ascii="Arial" w:cs="Arial" w:eastAsia="Arial" w:hAnsi="Arial"/>
          <w:sz w:val="14"/>
          <w:szCs w:val="14"/>
          <w:color w:val="auto"/>
        </w:rPr>
        <w:t>Numerous companies, including telephone companies, have introduced Digital Subscriber Line technology, known as DSL,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The success of these ongoing and future developments could have a negative impact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173" w:lineRule="exact"/>
        <w:rPr>
          <w:sz w:val="20"/>
          <w:szCs w:val="20"/>
          <w:color w:val="auto"/>
        </w:rPr>
      </w:pPr>
    </w:p>
    <w:p>
      <w:pPr>
        <w:ind w:right="40" w:firstLine="269"/>
        <w:spacing w:after="0" w:line="279" w:lineRule="auto"/>
        <w:rPr>
          <w:sz w:val="20"/>
          <w:szCs w:val="20"/>
          <w:color w:val="auto"/>
        </w:rPr>
      </w:pPr>
      <w:r>
        <w:rPr>
          <w:rFonts w:ascii="Arial" w:cs="Arial" w:eastAsia="Arial" w:hAnsi="Arial"/>
          <w:sz w:val="14"/>
          <w:szCs w:val="14"/>
          <w:color w:val="auto"/>
        </w:rPr>
        <w:t>Ever since high-speed cable Internet service was introduced, some local governments and various competitors sought to impose regulatory requirements on how we deal with third-party Internet service providers, or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Nonetheless, the FCC’s decision remains subject to judicial review, and a decision by a federal appellate court is expected later this year.</w:t>
      </w:r>
    </w:p>
    <w:p>
      <w:pPr>
        <w:spacing w:after="0" w:line="171" w:lineRule="exact"/>
        <w:rPr>
          <w:sz w:val="20"/>
          <w:szCs w:val="20"/>
          <w:color w:val="auto"/>
        </w:rPr>
      </w:pPr>
    </w:p>
    <w:p>
      <w:pPr>
        <w:ind w:right="60" w:firstLine="269"/>
        <w:spacing w:after="0" w:line="254" w:lineRule="auto"/>
        <w:rPr>
          <w:sz w:val="20"/>
          <w:szCs w:val="20"/>
          <w:color w:val="auto"/>
        </w:rPr>
      </w:pPr>
      <w:r>
        <w:rPr>
          <w:rFonts w:ascii="Arial" w:cs="Arial" w:eastAsia="Arial" w:hAnsi="Arial"/>
          <w:sz w:val="15"/>
          <w:szCs w:val="15"/>
          <w:color w:val="auto"/>
        </w:rPr>
        <w:t>In addition, the FCC itself is still considering whether it should impose any regulatory requirements and also whether local franchising authorities should be permitted to impose fees or other requirements, such as service quality or customer service standards. A few franchising authorities have sued us seeking payment of franchise fees on high-speed Internet service revenues. Further, a number of software and content providers and electronic retailers are now urging the FCC to adopt certain “nondiscrimination principles” that purport to be intended to allow Internet customers access to the Internet content of their choosing (something we already provide). We cannot now predict whether these or similar regulations will be adopted and, if so, what effects, if any, they would have on our business.</w:t>
      </w:r>
    </w:p>
    <w:p>
      <w:pPr>
        <w:spacing w:after="0" w:line="186" w:lineRule="exact"/>
        <w:rPr>
          <w:sz w:val="20"/>
          <w:szCs w:val="20"/>
          <w:color w:val="auto"/>
        </w:rPr>
      </w:pPr>
    </w:p>
    <w:p>
      <w:pPr>
        <w:ind w:right="60" w:firstLine="269"/>
        <w:spacing w:after="0" w:line="254" w:lineRule="auto"/>
        <w:rPr>
          <w:sz w:val="20"/>
          <w:szCs w:val="20"/>
          <w:color w:val="auto"/>
        </w:rPr>
      </w:pPr>
      <w:r>
        <w:rPr>
          <w:rFonts w:ascii="Arial" w:cs="Arial" w:eastAsia="Arial" w:hAnsi="Arial"/>
          <w:sz w:val="15"/>
          <w:szCs w:val="15"/>
          <w:color w:val="auto"/>
        </w:rPr>
        <w:t>A number of cable operators have reached agreements to provide unaffiliated ISPs access to their cable systems in the absence of regulatory requirements. We reached “access” agreements with several national and regional third-party ISPs. In addition, in connection with the restructuring of TWE, we will enter into a three-year non-exclusive access agreement with AOL Time Warner. We also have agreed to offer Microsoft an access agreement on terms no less favorable than those provided to other ISPs with respect to specified cable systems. We cannot provide any assurance, however, that regulatory authorities will not impose “open access” or similar requirements on us as part of an industry-wide requirement. These requirements could adversely affect our results of operations.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through Comcast Cable Communications Holdings, have substantial economic interests in joint ventures in which we have limited management rights.</w:t>
      </w:r>
    </w:p>
    <w:p>
      <w:pPr>
        <w:spacing w:after="0" w:line="209" w:lineRule="exact"/>
        <w:rPr>
          <w:sz w:val="20"/>
          <w:szCs w:val="20"/>
          <w:color w:val="auto"/>
        </w:rPr>
      </w:pPr>
    </w:p>
    <w:p>
      <w:pPr>
        <w:ind w:firstLine="269"/>
        <w:spacing w:after="0" w:line="255" w:lineRule="auto"/>
        <w:rPr>
          <w:sz w:val="20"/>
          <w:szCs w:val="20"/>
          <w:color w:val="auto"/>
        </w:rPr>
      </w:pPr>
      <w:r>
        <w:rPr>
          <w:rFonts w:ascii="Arial" w:cs="Arial" w:eastAsia="Arial" w:hAnsi="Arial"/>
          <w:sz w:val="15"/>
          <w:szCs w:val="15"/>
          <w:color w:val="auto"/>
        </w:rPr>
        <w:t>Comcast Cable Communications Holdings is a partner in several large joint ventures, such as TWE, Texas Cable Partners and Kansas City Cable Partners, in which it has a substantial economic interest but does not have substantial control with regard to management policies or the selection of management. These joint ventures may be managed in a manner contrary to our best interests, and the value of our investment in these joint ventures, through Comcast Cable Communications Holdings, may be affected by management policies that are determined without our input or over our objections. Comcast Cable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Communications Holdings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We, through Comcast Holdings and Comcast Cable Communications Holdings, face risks arising from their and AT&amp;T’s relationship with At Home Corporation.</w:t>
      </w:r>
    </w:p>
    <w:p>
      <w:pPr>
        <w:spacing w:after="0" w:line="220" w:lineRule="exact"/>
        <w:rPr>
          <w:sz w:val="20"/>
          <w:szCs w:val="20"/>
          <w:color w:val="auto"/>
        </w:rPr>
      </w:pPr>
    </w:p>
    <w:p>
      <w:pPr>
        <w:ind w:right="280" w:firstLine="269"/>
        <w:spacing w:after="0" w:line="268" w:lineRule="auto"/>
        <w:rPr>
          <w:sz w:val="20"/>
          <w:szCs w:val="20"/>
          <w:color w:val="auto"/>
        </w:rPr>
      </w:pPr>
      <w:r>
        <w:rPr>
          <w:rFonts w:ascii="Arial" w:cs="Arial" w:eastAsia="Arial" w:hAnsi="Arial"/>
          <w:sz w:val="15"/>
          <w:szCs w:val="15"/>
          <w:color w:val="auto"/>
        </w:rPr>
        <w:t>Litigation has been filed against us as a result of our alleged conduct with respect to our investment in and distribution relationship with At Home Corporation. At Home was a provider of high-speed Internet access and content services which filed for bankruptcy protection in September 2001. Filed actions are:</w:t>
      </w:r>
    </w:p>
    <w:p>
      <w:pPr>
        <w:spacing w:after="0" w:line="153" w:lineRule="exact"/>
        <w:rPr>
          <w:sz w:val="20"/>
          <w:szCs w:val="20"/>
          <w:color w:val="auto"/>
        </w:rPr>
      </w:pPr>
    </w:p>
    <w:p>
      <w:pPr>
        <w:ind w:left="460" w:right="100" w:hanging="103"/>
        <w:spacing w:after="0" w:line="255"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us and the other defendants in connection with transactions agreed to in March 2000 among At Home, us, AT&amp;T and Cox Communications, Inc., an investor in At Home and a former distributor of the At Home service;</w:t>
      </w:r>
    </w:p>
    <w:p>
      <w:pPr>
        <w:spacing w:after="0" w:line="186" w:lineRule="exact"/>
        <w:rPr>
          <w:rFonts w:ascii="Arial" w:cs="Arial" w:eastAsia="Arial" w:hAnsi="Arial"/>
          <w:sz w:val="15"/>
          <w:szCs w:val="15"/>
          <w:color w:val="auto"/>
        </w:rPr>
      </w:pPr>
    </w:p>
    <w:p>
      <w:pPr>
        <w:ind w:left="460" w:right="360" w:hanging="103"/>
        <w:spacing w:after="0" w:line="268"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class action lawsuits against Comcast Cable Communications, Inc., AT&amp;T and others in the United States District Court for the Southern District of New York, alleging securities law violations and common law fraud in connection with disclosures made by At Home in 2001; and</w:t>
      </w:r>
    </w:p>
    <w:p>
      <w:pPr>
        <w:spacing w:after="0" w:line="175" w:lineRule="exact"/>
        <w:rPr>
          <w:rFonts w:ascii="Arial" w:cs="Arial" w:eastAsia="Arial" w:hAnsi="Arial"/>
          <w:sz w:val="15"/>
          <w:szCs w:val="15"/>
          <w:color w:val="auto"/>
        </w:rPr>
      </w:pPr>
    </w:p>
    <w:p>
      <w:pPr>
        <w:ind w:left="460" w:right="260" w:hanging="103"/>
        <w:spacing w:after="0" w:line="353" w:lineRule="auto"/>
        <w:tabs>
          <w:tab w:leader="none" w:pos="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w:t>
      </w:r>
    </w:p>
    <w:p>
      <w:pPr>
        <w:spacing w:after="0" w:line="131" w:lineRule="exact"/>
        <w:rPr>
          <w:sz w:val="20"/>
          <w:szCs w:val="20"/>
          <w:color w:val="auto"/>
        </w:rPr>
      </w:pPr>
    </w:p>
    <w:p>
      <w:pPr>
        <w:ind w:right="60" w:firstLine="269"/>
        <w:spacing w:after="0" w:line="258" w:lineRule="auto"/>
        <w:rPr>
          <w:sz w:val="20"/>
          <w:szCs w:val="20"/>
          <w:color w:val="auto"/>
        </w:rPr>
      </w:pPr>
      <w:r>
        <w:rPr>
          <w:rFonts w:ascii="Arial" w:cs="Arial" w:eastAsia="Arial" w:hAnsi="Arial"/>
          <w:sz w:val="15"/>
          <w:szCs w:val="15"/>
          <w:color w:val="auto"/>
        </w:rPr>
        <w:t>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184" w:lineRule="exact"/>
        <w:rPr>
          <w:sz w:val="20"/>
          <w:szCs w:val="20"/>
          <w:color w:val="auto"/>
        </w:rPr>
      </w:pPr>
    </w:p>
    <w:p>
      <w:pPr>
        <w:ind w:firstLine="269"/>
        <w:spacing w:after="0" w:line="258" w:lineRule="auto"/>
        <w:rPr>
          <w:sz w:val="20"/>
          <w:szCs w:val="20"/>
          <w:color w:val="auto"/>
        </w:rPr>
      </w:pPr>
      <w:r>
        <w:rPr>
          <w:rFonts w:ascii="Arial" w:cs="Arial" w:eastAsia="Arial" w:hAnsi="Arial"/>
          <w:sz w:val="15"/>
          <w:szCs w:val="15"/>
          <w:color w:val="auto"/>
        </w:rPr>
        <w:t>Under the terms of the Broadband acquisition, we are contractually liable for 50% of any liabilities of AT&amp;T relating to At Home, including any resulting from any pending or threatened litigation. AT&amp;T will be liable for the other 50% of these liabilities. In addition to the action against AT&amp;T described above, where we are also a defendant, there are two additional actions brought by At Home’s bondholders’ liquidating trust against AT&amp;T, not naming us:</w:t>
      </w:r>
    </w:p>
    <w:p>
      <w:pPr>
        <w:spacing w:after="0" w:line="161" w:lineRule="exact"/>
        <w:rPr>
          <w:sz w:val="20"/>
          <w:szCs w:val="20"/>
          <w:color w:val="auto"/>
        </w:rPr>
      </w:pPr>
    </w:p>
    <w:p>
      <w:pPr>
        <w:ind w:left="460" w:right="60" w:hanging="103"/>
        <w:spacing w:after="0" w:line="304"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w:t>
      </w:r>
    </w:p>
    <w:p>
      <w:pPr>
        <w:spacing w:after="0" w:line="152" w:lineRule="exact"/>
        <w:rPr>
          <w:rFonts w:ascii="Arial" w:cs="Arial" w:eastAsia="Arial" w:hAnsi="Arial"/>
          <w:sz w:val="14"/>
          <w:szCs w:val="14"/>
          <w:color w:val="auto"/>
        </w:rPr>
      </w:pPr>
    </w:p>
    <w:p>
      <w:pPr>
        <w:ind w:left="460" w:right="280" w:hanging="103"/>
        <w:spacing w:after="0" w:line="268"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 action filed against AT&amp;T in the District Court for the Northern District of California, alleging that AT&amp;T infringes an At Home patent by using its broadband distribution and high-speed Internet backbone networks and equipment.</w:t>
      </w:r>
    </w:p>
    <w:p>
      <w:pPr>
        <w:spacing w:after="0" w:line="175" w:lineRule="exact"/>
        <w:rPr>
          <w:sz w:val="20"/>
          <w:szCs w:val="20"/>
          <w:color w:val="auto"/>
        </w:rPr>
      </w:pPr>
    </w:p>
    <w:p>
      <w:pPr>
        <w:ind w:right="380" w:firstLine="269"/>
        <w:spacing w:after="0" w:line="268" w:lineRule="auto"/>
        <w:rPr>
          <w:sz w:val="20"/>
          <w:szCs w:val="20"/>
          <w:color w:val="auto"/>
        </w:rPr>
      </w:pPr>
      <w:r>
        <w:rPr>
          <w:rFonts w:ascii="Arial" w:cs="Arial" w:eastAsia="Arial" w:hAnsi="Arial"/>
          <w:sz w:val="15"/>
          <w:szCs w:val="15"/>
          <w:color w:val="auto"/>
        </w:rPr>
        <w:t>AT&amp;T moved to dismiss the Santa Clara action on the grounds that California is an inconvenient forum, but the court denied AT&amp;T’s motion. AT&amp;T also moved to transfer the Northern District of California action to the Southern District of New York as being a more convenient venue. AT&amp;T’s motion is pending.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83" w:lineRule="exact"/>
        <w:rPr>
          <w:sz w:val="20"/>
          <w:szCs w:val="20"/>
          <w:color w:val="auto"/>
        </w:rPr>
      </w:pPr>
    </w:p>
    <w:p>
      <w:pPr>
        <w:ind w:firstLine="269"/>
        <w:spacing w:after="0" w:line="353" w:lineRule="auto"/>
        <w:rPr>
          <w:sz w:val="20"/>
          <w:szCs w:val="20"/>
          <w:color w:val="auto"/>
        </w:rPr>
      </w:pPr>
      <w:r>
        <w:rPr>
          <w:rFonts w:ascii="Arial" w:cs="Arial" w:eastAsia="Arial" w:hAnsi="Arial"/>
          <w:sz w:val="12"/>
          <w:szCs w:val="12"/>
          <w:color w:val="auto"/>
        </w:rPr>
        <w:t>We deny any wrongdoing in connection with the claims which have been made directly against us, our subsidiaries and Brian L. Roberts, and intend to defend all of these claims vigorously. In management’s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31" w:lineRule="exact"/>
        <w:rPr>
          <w:sz w:val="20"/>
          <w:szCs w:val="20"/>
          <w:color w:val="auto"/>
        </w:rPr>
      </w:pPr>
    </w:p>
    <w:p>
      <w:pPr>
        <w:ind w:right="480" w:firstLine="269"/>
        <w:spacing w:after="0" w:line="268" w:lineRule="auto"/>
        <w:rPr>
          <w:sz w:val="20"/>
          <w:szCs w:val="20"/>
          <w:color w:val="auto"/>
        </w:rPr>
      </w:pPr>
      <w:r>
        <w:rPr>
          <w:rFonts w:ascii="Arial" w:cs="Arial" w:eastAsia="Arial" w:hAnsi="Arial"/>
          <w:sz w:val="15"/>
          <w:szCs w:val="15"/>
          <w:color w:val="auto"/>
        </w:rPr>
        <w:t>Management is continuing to evaluate this litigation and is unable to currently determine what impact, if any, that our 50% share of the At Home potential liabilities would have on our consolidated financial position or results of operations. No assurance can be given that any adverse outcome would not be material.</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indentures do not restrict our ability to incur additional indebtedness, which could make our debt securities more risky in the future.</w:t>
      </w:r>
    </w:p>
    <w:p>
      <w:pPr>
        <w:spacing w:after="0" w:line="209" w:lineRule="exact"/>
        <w:rPr>
          <w:sz w:val="20"/>
          <w:szCs w:val="20"/>
          <w:color w:val="auto"/>
        </w:rPr>
      </w:pPr>
    </w:p>
    <w:p>
      <w:pPr>
        <w:ind w:right="40" w:firstLine="269"/>
        <w:spacing w:after="0" w:line="353" w:lineRule="auto"/>
        <w:rPr>
          <w:sz w:val="20"/>
          <w:szCs w:val="20"/>
          <w:color w:val="auto"/>
        </w:rPr>
      </w:pPr>
      <w:r>
        <w:rPr>
          <w:rFonts w:ascii="Arial" w:cs="Arial" w:eastAsia="Arial" w:hAnsi="Arial"/>
          <w:sz w:val="12"/>
          <w:szCs w:val="12"/>
          <w:color w:val="auto"/>
        </w:rPr>
        <w:t>As of December 31, 2002, our consolidated indebtedness was approximately $34.9 billion, of which $34.2 billion was issued by our subsidiaries and was senior to debt obligations at Comcast Corporation. As of December 31, 2002, our consolidated stockholders’ equity was approximately $38.3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109" w:lineRule="exact"/>
        <w:rPr>
          <w:sz w:val="20"/>
          <w:szCs w:val="20"/>
          <w:color w:val="auto"/>
        </w:rPr>
      </w:pPr>
    </w:p>
    <w:p>
      <w:pPr>
        <w:ind w:left="820" w:hanging="463"/>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limiting our ability to obtain any necessary financing in the future for working capital, capital expenditures, debt service requirements or other purposes;</w:t>
      </w:r>
    </w:p>
    <w:p>
      <w:pPr>
        <w:spacing w:after="0" w:line="231" w:lineRule="exact"/>
        <w:rPr>
          <w:rFonts w:ascii="Arial" w:cs="Arial" w:eastAsia="Arial" w:hAnsi="Arial"/>
          <w:sz w:val="15"/>
          <w:szCs w:val="15"/>
          <w:color w:val="auto"/>
        </w:rPr>
      </w:pPr>
    </w:p>
    <w:p>
      <w:pPr>
        <w:ind w:left="820" w:right="520" w:hanging="463"/>
        <w:spacing w:after="0" w:line="268" w:lineRule="auto"/>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requiring us to dedicate a substantial portion of our cash flows from operations to the payment of indebtedness and not for other purposes, such as working capital and capital expenditures;</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limiting our flexibility to plan for, or react to, changes in our businesses;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making us more indebted than some of our competitors, which may place us at a competitive disadvantage; and</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making us more vulnerable to a downturn in our businesses.</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The securities we are offering may not develop an active public market, which could depress the resale price of the securities.</w:t>
      </w:r>
    </w:p>
    <w:p>
      <w:pPr>
        <w:spacing w:after="0" w:line="209" w:lineRule="exact"/>
        <w:rPr>
          <w:sz w:val="20"/>
          <w:szCs w:val="20"/>
          <w:color w:val="auto"/>
        </w:rPr>
      </w:pPr>
    </w:p>
    <w:p>
      <w:pPr>
        <w:ind w:right="140" w:firstLine="269"/>
        <w:spacing w:after="0" w:line="258" w:lineRule="auto"/>
        <w:rPr>
          <w:sz w:val="20"/>
          <w:szCs w:val="20"/>
          <w:color w:val="auto"/>
        </w:rPr>
      </w:pPr>
      <w:r>
        <w:rPr>
          <w:rFonts w:ascii="Arial" w:cs="Arial" w:eastAsia="Arial" w:hAnsi="Arial"/>
          <w:sz w:val="15"/>
          <w:szCs w:val="15"/>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44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businesses may be affected by, among other things:</w:t>
      </w:r>
    </w:p>
    <w:p>
      <w:pPr>
        <w:spacing w:after="0" w:line="186" w:lineRule="exact"/>
        <w:rPr>
          <w:sz w:val="20"/>
          <w:szCs w:val="20"/>
          <w:color w:val="auto"/>
        </w:rPr>
      </w:pPr>
    </w:p>
    <w:p>
      <w:pPr>
        <w:ind w:left="820" w:hanging="463"/>
        <w:spacing w:after="0"/>
        <w:tabs>
          <w:tab w:leader="none" w:pos="8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changes in laws and regulations;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changes in the competitive environment;</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changes in technology;</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industry consolidation and mergers;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franchise-related matters;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market conditions that may adversely affect the availability of debt and equity financing for working capital, capital expenditures or other purposes;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demand for the programming content we distribute or the willingness of other video program distributors to carry our content; and</w:t>
      </w:r>
    </w:p>
    <w:p>
      <w:pPr>
        <w:spacing w:after="0" w:line="231" w:lineRule="exact"/>
        <w:rPr>
          <w:rFonts w:ascii="Arial" w:cs="Arial" w:eastAsia="Arial" w:hAnsi="Arial"/>
          <w:sz w:val="15"/>
          <w:szCs w:val="15"/>
          <w:color w:val="auto"/>
        </w:rPr>
      </w:pPr>
    </w:p>
    <w:p>
      <w:pPr>
        <w:ind w:left="540" w:hanging="261"/>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general economic conditions.</w:t>
      </w:r>
    </w:p>
    <w:p>
      <w:pPr>
        <w:spacing w:after="0" w:line="209" w:lineRule="exact"/>
        <w:rPr>
          <w:sz w:val="20"/>
          <w:szCs w:val="20"/>
          <w:color w:val="auto"/>
        </w:rPr>
      </w:pPr>
    </w:p>
    <w:p>
      <w:pPr>
        <w:ind w:firstLine="269"/>
        <w:spacing w:after="0" w:line="254" w:lineRule="auto"/>
        <w:rPr>
          <w:sz w:val="20"/>
          <w:szCs w:val="20"/>
          <w:color w:val="auto"/>
        </w:rPr>
      </w:pPr>
      <w:r>
        <w:rPr>
          <w:rFonts w:ascii="Arial" w:cs="Arial" w:eastAsia="Arial" w:hAnsi="Arial"/>
          <w:sz w:val="15"/>
          <w:szCs w:val="15"/>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USE OF PROCEEDS</w:t>
      </w:r>
    </w:p>
    <w:p>
      <w:pPr>
        <w:spacing w:after="0" w:line="213" w:lineRule="exact"/>
        <w:rPr>
          <w:sz w:val="20"/>
          <w:szCs w:val="20"/>
          <w:color w:val="auto"/>
        </w:rPr>
      </w:pPr>
    </w:p>
    <w:p>
      <w:pPr>
        <w:ind w:right="120" w:firstLine="269"/>
        <w:spacing w:after="0" w:line="258" w:lineRule="auto"/>
        <w:rPr>
          <w:sz w:val="20"/>
          <w:szCs w:val="20"/>
          <w:color w:val="auto"/>
        </w:rPr>
      </w:pPr>
      <w:r>
        <w:rPr>
          <w:rFonts w:ascii="Arial" w:cs="Arial" w:eastAsia="Arial" w:hAnsi="Arial"/>
          <w:sz w:val="15"/>
          <w:szCs w:val="15"/>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57"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DIVIDEND POLICY</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do not intend to pay dividends on our common stock for the foreseeable future.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RATIOS OF EARNINGS TO FIXED CHARGES</w:t>
      </w: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144"/>
        </w:trPr>
        <w:tc>
          <w:tcPr>
            <w:tcW w:w="5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00" w:type="dxa"/>
            <w:vAlign w:val="bottom"/>
            <w:gridSpan w:val="5"/>
          </w:tcPr>
          <w:p>
            <w:pPr>
              <w:jc w:val="center"/>
              <w:spacing w:after="0"/>
              <w:rPr>
                <w:sz w:val="20"/>
                <w:szCs w:val="20"/>
                <w:color w:val="auto"/>
              </w:rPr>
            </w:pPr>
            <w:r>
              <w:rPr>
                <w:rFonts w:ascii="Arial" w:cs="Arial" w:eastAsia="Arial" w:hAnsi="Arial"/>
                <w:sz w:val="11"/>
                <w:szCs w:val="11"/>
                <w:b w:val="1"/>
                <w:bCs w:val="1"/>
                <w:color w:val="auto"/>
                <w:w w:val="92"/>
              </w:rPr>
              <w:t>For the Years Ended December 31,</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80"/>
        </w:trPr>
        <w:tc>
          <w:tcPr>
            <w:tcW w:w="566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r>
      <w:tr>
        <w:trPr>
          <w:trHeight w:val="214"/>
        </w:trPr>
        <w:tc>
          <w:tcPr>
            <w:tcW w:w="5660" w:type="dxa"/>
            <w:vAlign w:val="bottom"/>
          </w:tcPr>
          <w:p>
            <w:pPr>
              <w:spacing w:after="0"/>
              <w:rPr>
                <w:sz w:val="18"/>
                <w:szCs w:val="18"/>
                <w:color w:val="auto"/>
              </w:rPr>
            </w:pPr>
          </w:p>
        </w:tc>
        <w:tc>
          <w:tcPr>
            <w:tcW w:w="700" w:type="dxa"/>
            <w:vAlign w:val="bottom"/>
          </w:tcPr>
          <w:p>
            <w:pPr>
              <w:jc w:val="right"/>
              <w:ind w:right="176"/>
              <w:spacing w:after="0"/>
              <w:rPr>
                <w:sz w:val="20"/>
                <w:szCs w:val="20"/>
                <w:color w:val="auto"/>
              </w:rPr>
            </w:pPr>
            <w:r>
              <w:rPr>
                <w:rFonts w:ascii="Arial" w:cs="Arial" w:eastAsia="Arial" w:hAnsi="Arial"/>
                <w:sz w:val="11"/>
                <w:szCs w:val="11"/>
                <w:b w:val="1"/>
                <w:bCs w:val="1"/>
                <w:color w:val="auto"/>
              </w:rPr>
              <w:t>2002</w:t>
            </w:r>
          </w:p>
        </w:tc>
        <w:tc>
          <w:tcPr>
            <w:tcW w:w="980" w:type="dxa"/>
            <w:vAlign w:val="bottom"/>
            <w:gridSpan w:val="2"/>
          </w:tcPr>
          <w:p>
            <w:pPr>
              <w:jc w:val="right"/>
              <w:ind w:right="176"/>
              <w:spacing w:after="0"/>
              <w:rPr>
                <w:sz w:val="20"/>
                <w:szCs w:val="20"/>
                <w:color w:val="auto"/>
              </w:rPr>
            </w:pPr>
            <w:r>
              <w:rPr>
                <w:rFonts w:ascii="Arial" w:cs="Arial" w:eastAsia="Arial" w:hAnsi="Arial"/>
                <w:sz w:val="11"/>
                <w:szCs w:val="11"/>
                <w:b w:val="1"/>
                <w:bCs w:val="1"/>
                <w:color w:val="auto"/>
              </w:rPr>
              <w:t>2001</w:t>
            </w:r>
          </w:p>
        </w:tc>
        <w:tc>
          <w:tcPr>
            <w:tcW w:w="1000" w:type="dxa"/>
            <w:vAlign w:val="bottom"/>
            <w:gridSpan w:val="2"/>
          </w:tcPr>
          <w:p>
            <w:pPr>
              <w:jc w:val="center"/>
              <w:ind w:left="204"/>
              <w:spacing w:after="0"/>
              <w:rPr>
                <w:sz w:val="20"/>
                <w:szCs w:val="20"/>
                <w:color w:val="auto"/>
              </w:rPr>
            </w:pPr>
            <w:r>
              <w:rPr>
                <w:rFonts w:ascii="Arial" w:cs="Arial" w:eastAsia="Arial" w:hAnsi="Arial"/>
                <w:sz w:val="11"/>
                <w:szCs w:val="11"/>
                <w:b w:val="1"/>
                <w:bCs w:val="1"/>
                <w:color w:val="auto"/>
                <w:w w:val="89"/>
              </w:rPr>
              <w:t>2000</w:t>
            </w:r>
          </w:p>
        </w:tc>
        <w:tc>
          <w:tcPr>
            <w:tcW w:w="98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1999</w:t>
            </w:r>
          </w:p>
        </w:tc>
        <w:tc>
          <w:tcPr>
            <w:tcW w:w="980" w:type="dxa"/>
            <w:vAlign w:val="bottom"/>
            <w:gridSpan w:val="2"/>
          </w:tcPr>
          <w:p>
            <w:pPr>
              <w:jc w:val="right"/>
              <w:ind w:right="167"/>
              <w:spacing w:after="0"/>
              <w:rPr>
                <w:sz w:val="20"/>
                <w:szCs w:val="20"/>
                <w:color w:val="auto"/>
              </w:rPr>
            </w:pPr>
            <w:r>
              <w:rPr>
                <w:rFonts w:ascii="Arial" w:cs="Arial" w:eastAsia="Arial" w:hAnsi="Arial"/>
                <w:sz w:val="11"/>
                <w:szCs w:val="11"/>
                <w:b w:val="1"/>
                <w:bCs w:val="1"/>
                <w:color w:val="auto"/>
              </w:rPr>
              <w:t>1998</w:t>
            </w:r>
          </w:p>
        </w:tc>
      </w:tr>
      <w:tr>
        <w:trPr>
          <w:trHeight w:val="80"/>
        </w:trPr>
        <w:tc>
          <w:tcPr>
            <w:tcW w:w="566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r>
      <w:tr>
        <w:trPr>
          <w:trHeight w:val="259"/>
        </w:trPr>
        <w:tc>
          <w:tcPr>
            <w:tcW w:w="5660" w:type="dxa"/>
            <w:vAlign w:val="bottom"/>
          </w:tcPr>
          <w:p>
            <w:pPr>
              <w:spacing w:after="0"/>
              <w:rPr>
                <w:sz w:val="20"/>
                <w:szCs w:val="20"/>
                <w:color w:val="auto"/>
              </w:rPr>
            </w:pPr>
            <w:r>
              <w:rPr>
                <w:rFonts w:ascii="Arial" w:cs="Arial" w:eastAsia="Arial" w:hAnsi="Arial"/>
                <w:sz w:val="15"/>
                <w:szCs w:val="15"/>
                <w:color w:val="auto"/>
              </w:rPr>
              <w:t>Comcast(a)</w:t>
            </w:r>
          </w:p>
        </w:tc>
        <w:tc>
          <w:tcPr>
            <w:tcW w:w="700" w:type="dxa"/>
            <w:vAlign w:val="bottom"/>
          </w:tcPr>
          <w:p>
            <w:pPr>
              <w:jc w:val="center"/>
              <w:spacing w:after="0"/>
              <w:rPr>
                <w:sz w:val="20"/>
                <w:szCs w:val="20"/>
                <w:color w:val="auto"/>
              </w:rPr>
            </w:pPr>
            <w:r>
              <w:rPr>
                <w:rFonts w:ascii="Arial" w:cs="Arial" w:eastAsia="Arial" w:hAnsi="Arial"/>
                <w:sz w:val="15"/>
                <w:szCs w:val="15"/>
                <w:color w:val="auto"/>
                <w:w w:val="92"/>
              </w:rPr>
              <w:t>1.20x</w:t>
            </w:r>
          </w:p>
        </w:tc>
        <w:tc>
          <w:tcPr>
            <w:tcW w:w="2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2"/>
              </w:rPr>
              <w:t>2.20x</w:t>
            </w:r>
          </w:p>
        </w:tc>
        <w:tc>
          <w:tcPr>
            <w:tcW w:w="2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2"/>
              </w:rPr>
              <w:t>5.93x</w:t>
            </w:r>
          </w:p>
        </w:tc>
        <w:tc>
          <w:tcPr>
            <w:tcW w:w="2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87"/>
              </w:rPr>
              <w:t>3.30x</w:t>
            </w:r>
          </w:p>
        </w:tc>
        <w:tc>
          <w:tcPr>
            <w:tcW w:w="2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2"/>
              </w:rPr>
              <w:t>5.37x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114300</wp:posOffset>
            </wp:positionV>
            <wp:extent cx="22713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71395" cy="6985"/>
                    </a:xfrm>
                    <a:prstGeom prst="rect">
                      <a:avLst/>
                    </a:prstGeom>
                    <a:noFill/>
                  </pic:spPr>
                </pic:pic>
              </a:graphicData>
            </a:graphic>
          </wp:anchor>
        </w:drawing>
      </w:r>
    </w:p>
    <w:p>
      <w:pPr>
        <w:spacing w:after="0" w:line="344" w:lineRule="exact"/>
        <w:rPr>
          <w:sz w:val="20"/>
          <w:szCs w:val="20"/>
          <w:color w:val="auto"/>
        </w:rPr>
      </w:pPr>
    </w:p>
    <w:p>
      <w:pPr>
        <w:ind w:left="360" w:hanging="350"/>
        <w:spacing w:after="0" w:line="279" w:lineRule="auto"/>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became the parent of Comcast Holdings and Comcast Cable Communications Holdings on November 18, 2002 in connection with the consummation of the merger of Comcast Holdings and Comcast Cable Communications Holdings with our subsidiaries. Because Comcast Holdings is our predecessor, our historical ratios are the same as Comcast Holdings’ historical ratios. For purposes of our ratio of earnings to fixed charges, earnings consist of income (loss) from continuing operations before income taxes, cumulative effect of accounting change, minority interest, equity in net (income) losses of affiliates and fixed charges. Fixed charges consist of interest expense.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379"/>
        <w:spacing w:after="0"/>
        <w:rPr>
          <w:sz w:val="20"/>
          <w:szCs w:val="20"/>
          <w:color w:val="auto"/>
        </w:rPr>
      </w:pPr>
      <w:r>
        <w:rPr>
          <w:rFonts w:ascii="Arial" w:cs="Arial" w:eastAsia="Arial" w:hAnsi="Arial"/>
          <w:sz w:val="15"/>
          <w:szCs w:val="15"/>
          <w:b w:val="1"/>
          <w:bCs w:val="1"/>
          <w:color w:val="auto"/>
        </w:rPr>
        <w:t>RATIO OF EARNINGS TO COMBINED FIXED CHARGES</w:t>
      </w:r>
    </w:p>
    <w:p>
      <w:pPr>
        <w:spacing w:after="0" w:line="186" w:lineRule="exact"/>
        <w:rPr>
          <w:sz w:val="20"/>
          <w:szCs w:val="20"/>
          <w:color w:val="auto"/>
        </w:rPr>
      </w:pPr>
    </w:p>
    <w:p>
      <w:pPr>
        <w:jc w:val="center"/>
        <w:ind w:right="-379"/>
        <w:spacing w:after="0"/>
        <w:rPr>
          <w:sz w:val="20"/>
          <w:szCs w:val="20"/>
          <w:color w:val="auto"/>
        </w:rPr>
      </w:pPr>
      <w:r>
        <w:rPr>
          <w:rFonts w:ascii="Arial" w:cs="Arial" w:eastAsia="Arial" w:hAnsi="Arial"/>
          <w:sz w:val="15"/>
          <w:szCs w:val="15"/>
          <w:b w:val="1"/>
          <w:bCs w:val="1"/>
          <w:color w:val="auto"/>
        </w:rPr>
        <w:t>AND PREFERRED DIVIDENDS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44"/>
        </w:trPr>
        <w:tc>
          <w:tcPr>
            <w:tcW w:w="5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60" w:type="dxa"/>
            <w:vAlign w:val="bottom"/>
            <w:gridSpan w:val="5"/>
          </w:tcPr>
          <w:p>
            <w:pPr>
              <w:jc w:val="center"/>
              <w:ind w:right="427"/>
              <w:spacing w:after="0"/>
              <w:rPr>
                <w:sz w:val="20"/>
                <w:szCs w:val="20"/>
                <w:color w:val="auto"/>
              </w:rPr>
            </w:pPr>
            <w:r>
              <w:rPr>
                <w:rFonts w:ascii="Arial" w:cs="Arial" w:eastAsia="Arial" w:hAnsi="Arial"/>
                <w:sz w:val="11"/>
                <w:szCs w:val="11"/>
                <w:b w:val="1"/>
                <w:bCs w:val="1"/>
                <w:color w:val="auto"/>
                <w:w w:val="91"/>
              </w:rPr>
              <w:t>For the Years Ended December 31,</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80"/>
        </w:trPr>
        <w:tc>
          <w:tcPr>
            <w:tcW w:w="568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r>
      <w:tr>
        <w:trPr>
          <w:trHeight w:val="214"/>
        </w:trPr>
        <w:tc>
          <w:tcPr>
            <w:tcW w:w="5680" w:type="dxa"/>
            <w:vAlign w:val="bottom"/>
          </w:tcPr>
          <w:p>
            <w:pPr>
              <w:spacing w:after="0"/>
              <w:rPr>
                <w:sz w:val="18"/>
                <w:szCs w:val="18"/>
                <w:color w:val="auto"/>
              </w:rPr>
            </w:pPr>
          </w:p>
        </w:tc>
        <w:tc>
          <w:tcPr>
            <w:tcW w:w="700" w:type="dxa"/>
            <w:vAlign w:val="bottom"/>
          </w:tcPr>
          <w:p>
            <w:pPr>
              <w:jc w:val="right"/>
              <w:ind w:right="196"/>
              <w:spacing w:after="0"/>
              <w:rPr>
                <w:sz w:val="20"/>
                <w:szCs w:val="20"/>
                <w:color w:val="auto"/>
              </w:rPr>
            </w:pPr>
            <w:r>
              <w:rPr>
                <w:rFonts w:ascii="Arial" w:cs="Arial" w:eastAsia="Arial" w:hAnsi="Arial"/>
                <w:sz w:val="11"/>
                <w:szCs w:val="11"/>
                <w:b w:val="1"/>
                <w:bCs w:val="1"/>
                <w:color w:val="auto"/>
              </w:rPr>
              <w:t>2002</w:t>
            </w:r>
          </w:p>
        </w:tc>
        <w:tc>
          <w:tcPr>
            <w:tcW w:w="78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2001</w:t>
            </w:r>
          </w:p>
        </w:tc>
        <w:tc>
          <w:tcPr>
            <w:tcW w:w="1180" w:type="dxa"/>
            <w:vAlign w:val="bottom"/>
            <w:gridSpan w:val="3"/>
          </w:tcPr>
          <w:p>
            <w:pPr>
              <w:jc w:val="right"/>
              <w:ind w:right="187"/>
              <w:spacing w:after="0"/>
              <w:rPr>
                <w:sz w:val="20"/>
                <w:szCs w:val="20"/>
                <w:color w:val="auto"/>
              </w:rPr>
            </w:pPr>
            <w:r>
              <w:rPr>
                <w:rFonts w:ascii="Arial" w:cs="Arial" w:eastAsia="Arial" w:hAnsi="Arial"/>
                <w:sz w:val="11"/>
                <w:szCs w:val="11"/>
                <w:b w:val="1"/>
                <w:bCs w:val="1"/>
                <w:color w:val="auto"/>
              </w:rPr>
              <w:t>2000</w:t>
            </w:r>
          </w:p>
        </w:tc>
        <w:tc>
          <w:tcPr>
            <w:tcW w:w="98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1999</w:t>
            </w:r>
          </w:p>
        </w:tc>
        <w:tc>
          <w:tcPr>
            <w:tcW w:w="980" w:type="dxa"/>
            <w:vAlign w:val="bottom"/>
            <w:gridSpan w:val="2"/>
          </w:tcPr>
          <w:p>
            <w:pPr>
              <w:jc w:val="right"/>
              <w:ind w:right="167"/>
              <w:spacing w:after="0"/>
              <w:rPr>
                <w:sz w:val="20"/>
                <w:szCs w:val="20"/>
                <w:color w:val="auto"/>
              </w:rPr>
            </w:pPr>
            <w:r>
              <w:rPr>
                <w:rFonts w:ascii="Arial" w:cs="Arial" w:eastAsia="Arial" w:hAnsi="Arial"/>
                <w:sz w:val="11"/>
                <w:szCs w:val="11"/>
                <w:b w:val="1"/>
                <w:bCs w:val="1"/>
                <w:color w:val="auto"/>
              </w:rPr>
              <w:t>1998</w:t>
            </w:r>
          </w:p>
        </w:tc>
      </w:tr>
      <w:tr>
        <w:trPr>
          <w:trHeight w:val="80"/>
        </w:trPr>
        <w:tc>
          <w:tcPr>
            <w:tcW w:w="568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r>
      <w:tr>
        <w:trPr>
          <w:trHeight w:val="259"/>
        </w:trPr>
        <w:tc>
          <w:tcPr>
            <w:tcW w:w="5680" w:type="dxa"/>
            <w:vAlign w:val="bottom"/>
          </w:tcPr>
          <w:p>
            <w:pPr>
              <w:spacing w:after="0"/>
              <w:rPr>
                <w:sz w:val="20"/>
                <w:szCs w:val="20"/>
                <w:color w:val="auto"/>
              </w:rPr>
            </w:pPr>
            <w:r>
              <w:rPr>
                <w:rFonts w:ascii="Arial" w:cs="Arial" w:eastAsia="Arial" w:hAnsi="Arial"/>
                <w:sz w:val="15"/>
                <w:szCs w:val="15"/>
                <w:color w:val="auto"/>
              </w:rPr>
              <w:t>Comcast(b)</w:t>
            </w:r>
          </w:p>
        </w:tc>
        <w:tc>
          <w:tcPr>
            <w:tcW w:w="700" w:type="dxa"/>
            <w:vAlign w:val="bottom"/>
          </w:tcPr>
          <w:p>
            <w:pPr>
              <w:jc w:val="center"/>
              <w:spacing w:after="0"/>
              <w:rPr>
                <w:sz w:val="20"/>
                <w:szCs w:val="20"/>
                <w:color w:val="auto"/>
              </w:rPr>
            </w:pPr>
            <w:r>
              <w:rPr>
                <w:rFonts w:ascii="Arial" w:cs="Arial" w:eastAsia="Arial" w:hAnsi="Arial"/>
                <w:sz w:val="15"/>
                <w:szCs w:val="15"/>
                <w:color w:val="auto"/>
                <w:w w:val="87"/>
              </w:rPr>
              <w:t>1.20x</w:t>
            </w:r>
          </w:p>
        </w:tc>
        <w:tc>
          <w:tcPr>
            <w:tcW w:w="260" w:type="dxa"/>
            <w:vAlign w:val="bottom"/>
          </w:tcPr>
          <w:p>
            <w:pPr>
              <w:spacing w:after="0"/>
              <w:rPr>
                <w:sz w:val="22"/>
                <w:szCs w:val="22"/>
                <w:color w:val="auto"/>
              </w:rPr>
            </w:pPr>
          </w:p>
        </w:tc>
        <w:tc>
          <w:tcPr>
            <w:tcW w:w="520" w:type="dxa"/>
            <w:vAlign w:val="bottom"/>
          </w:tcPr>
          <w:p>
            <w:pPr>
              <w:jc w:val="center"/>
              <w:ind w:left="107"/>
              <w:spacing w:after="0"/>
              <w:rPr>
                <w:sz w:val="20"/>
                <w:szCs w:val="20"/>
                <w:color w:val="auto"/>
              </w:rPr>
            </w:pPr>
            <w:r>
              <w:rPr>
                <w:rFonts w:ascii="Arial" w:cs="Arial" w:eastAsia="Arial" w:hAnsi="Arial"/>
                <w:sz w:val="15"/>
                <w:szCs w:val="15"/>
                <w:color w:val="auto"/>
                <w:w w:val="92"/>
              </w:rPr>
              <w:t>2.20x</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2"/>
              </w:rPr>
              <w:t>5.77x</w:t>
            </w:r>
          </w:p>
        </w:tc>
        <w:tc>
          <w:tcPr>
            <w:tcW w:w="2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87"/>
              </w:rPr>
              <w:t>3.20x</w:t>
            </w:r>
          </w:p>
        </w:tc>
        <w:tc>
          <w:tcPr>
            <w:tcW w:w="2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2"/>
              </w:rPr>
              <w:t>5.12x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114300</wp:posOffset>
            </wp:positionV>
            <wp:extent cx="22713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71395" cy="6985"/>
                    </a:xfrm>
                    <a:prstGeom prst="rect">
                      <a:avLst/>
                    </a:prstGeom>
                    <a:noFill/>
                  </pic:spPr>
                </pic:pic>
              </a:graphicData>
            </a:graphic>
          </wp:anchor>
        </w:drawing>
      </w:r>
    </w:p>
    <w:p>
      <w:pPr>
        <w:spacing w:after="0" w:line="344" w:lineRule="exact"/>
        <w:rPr>
          <w:sz w:val="20"/>
          <w:szCs w:val="20"/>
          <w:color w:val="auto"/>
        </w:rPr>
      </w:pPr>
    </w:p>
    <w:p>
      <w:pPr>
        <w:ind w:left="360" w:hanging="350"/>
        <w:spacing w:after="0" w:line="258" w:lineRule="auto"/>
        <w:tabs>
          <w:tab w:leader="none" w:pos="3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 purposes of calculating our ratios of earnings to combined fixed charges and preferred dividends, earnings consist of income (loss) from continuing operations before income taxes, cumulative effect of accounting change, minority interest, equity in net (income) losses of affiliate and combined fixed charges and preferred dividends. Combined fixed charges and preferred dividends consist of interest expense and preferred dividends.</w:t>
      </w:r>
    </w:p>
    <w:p>
      <w:pPr>
        <w:spacing w:after="0" w:line="161"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080"/>
          </w:cols>
          <w:pgMar w:left="220" w:top="372" w:right="59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UNAUDITED PRO FORMA COMBINED CONDENSED</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STATEMENT OF OPERATIONS OF COMCAST CORPORATION</w:t>
      </w:r>
    </w:p>
    <w:p>
      <w:pPr>
        <w:spacing w:after="0" w:line="213" w:lineRule="exact"/>
        <w:rPr>
          <w:sz w:val="20"/>
          <w:szCs w:val="20"/>
          <w:color w:val="auto"/>
        </w:rPr>
      </w:pPr>
    </w:p>
    <w:p>
      <w:pPr>
        <w:ind w:right="240" w:firstLine="269"/>
        <w:spacing w:after="0" w:line="353" w:lineRule="auto"/>
        <w:rPr>
          <w:sz w:val="20"/>
          <w:szCs w:val="20"/>
          <w:color w:val="auto"/>
        </w:rPr>
      </w:pPr>
      <w:r>
        <w:rPr>
          <w:rFonts w:ascii="Arial" w:cs="Arial" w:eastAsia="Arial" w:hAnsi="Arial"/>
          <w:sz w:val="12"/>
          <w:szCs w:val="12"/>
          <w:color w:val="auto"/>
        </w:rPr>
        <w:t>The following Unaudited Pro Forma Combined Condensed Statement of Operations of Comcast for the year ended December 31, 2002 gives effect to the Broadband acquisition. The pro forma financial statement accounts for the Broadband acquisition under the purchase method of accounting. The consideration to complete the Broadband acquisition was $50,780 million, consisting of $25,495 million of Comcast common stock and options, $24,860 million of assumed debt and $425 million of transaction costs directly related to the acquisition.</w:t>
      </w:r>
    </w:p>
    <w:p>
      <w:pPr>
        <w:spacing w:after="0" w:line="131" w:lineRule="exact"/>
        <w:rPr>
          <w:sz w:val="20"/>
          <w:szCs w:val="20"/>
          <w:color w:val="auto"/>
        </w:rPr>
      </w:pPr>
    </w:p>
    <w:p>
      <w:pPr>
        <w:ind w:right="20" w:firstLine="269"/>
        <w:spacing w:after="0" w:line="258" w:lineRule="auto"/>
        <w:rPr>
          <w:sz w:val="20"/>
          <w:szCs w:val="20"/>
          <w:color w:val="auto"/>
        </w:rPr>
      </w:pPr>
      <w:r>
        <w:rPr>
          <w:rFonts w:ascii="Arial" w:cs="Arial" w:eastAsia="Arial" w:hAnsi="Arial"/>
          <w:sz w:val="15"/>
          <w:szCs w:val="15"/>
          <w:color w:val="auto"/>
        </w:rPr>
        <w:t>The estimated fair value of certain assets and liabilities are based on preliminary valuations and are subject to adjustment as additional information is obtained. Our estimates have and will continue to change as final reports from valuation specialists are obtained and additional information becomes available regarding assets acquired and liabilities assumed. Changes in the amounts assigned to acquisition related assets and liabilities may affect the results of operations in future periods.</w:t>
      </w:r>
    </w:p>
    <w:p>
      <w:pPr>
        <w:spacing w:after="0" w:line="184" w:lineRule="exact"/>
        <w:rPr>
          <w:sz w:val="20"/>
          <w:szCs w:val="20"/>
          <w:color w:val="auto"/>
        </w:rPr>
      </w:pPr>
    </w:p>
    <w:p>
      <w:pPr>
        <w:ind w:firstLine="269"/>
        <w:spacing w:after="0" w:line="255" w:lineRule="auto"/>
        <w:rPr>
          <w:sz w:val="20"/>
          <w:szCs w:val="20"/>
          <w:color w:val="auto"/>
        </w:rPr>
      </w:pPr>
      <w:r>
        <w:rPr>
          <w:rFonts w:ascii="Arial" w:cs="Arial" w:eastAsia="Arial" w:hAnsi="Arial"/>
          <w:sz w:val="15"/>
          <w:szCs w:val="15"/>
          <w:color w:val="auto"/>
        </w:rPr>
        <w:t>Management believes that the assumptions used provide a reasonable basis on which to present the unaudited pro forma financial data. Both Comcast Holdings and AT&amp;T Broadband Group have completed other acquisitions and dispositions that are not significant, individually or in the aggregate, and, accordingly, have not been included in the accompanying unaudited pro forma financial data. The unaudited pro forma financial data may not be indicative of the results that would have occurred if the Broadband acquisition had been in effect on the dates indicated or which may be obtained in the future.</w:t>
      </w:r>
    </w:p>
    <w:p>
      <w:pPr>
        <w:spacing w:after="0" w:line="186" w:lineRule="exact"/>
        <w:rPr>
          <w:sz w:val="20"/>
          <w:szCs w:val="20"/>
          <w:color w:val="auto"/>
        </w:rPr>
      </w:pPr>
    </w:p>
    <w:p>
      <w:pPr>
        <w:ind w:right="240" w:firstLine="269"/>
        <w:spacing w:after="0" w:line="268" w:lineRule="auto"/>
        <w:rPr>
          <w:sz w:val="20"/>
          <w:szCs w:val="20"/>
          <w:color w:val="auto"/>
        </w:rPr>
      </w:pPr>
      <w:r>
        <w:rPr>
          <w:rFonts w:ascii="Arial" w:cs="Arial" w:eastAsia="Arial" w:hAnsi="Arial"/>
          <w:sz w:val="15"/>
          <w:szCs w:val="15"/>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incorporated by reference in this prospectus.</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60"/>
          </w:cols>
          <w:pgMar w:left="220" w:top="372" w:right="31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COMCAST CORPORATION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PRO FORMA COMBINED CONDENSED STATEMENT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 Ended December 31, 2002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3"/>
          </w:tcPr>
          <w:p>
            <w:pPr>
              <w:ind w:left="480"/>
              <w:spacing w:after="0"/>
              <w:rPr>
                <w:sz w:val="20"/>
                <w:szCs w:val="20"/>
                <w:color w:val="auto"/>
              </w:rPr>
            </w:pPr>
            <w:r>
              <w:rPr>
                <w:rFonts w:ascii="Arial" w:cs="Arial" w:eastAsia="Arial" w:hAnsi="Arial"/>
                <w:sz w:val="11"/>
                <w:szCs w:val="11"/>
                <w:b w:val="1"/>
                <w:bCs w:val="1"/>
                <w:color w:val="auto"/>
              </w:rPr>
              <w:t>Historical</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gridSpan w:val="4"/>
          </w:tcPr>
          <w:p>
            <w:pPr>
              <w:ind w:left="420"/>
              <w:spacing w:after="0"/>
              <w:rPr>
                <w:sz w:val="20"/>
                <w:szCs w:val="20"/>
                <w:color w:val="auto"/>
              </w:rPr>
            </w:pPr>
            <w:r>
              <w:rPr>
                <w:rFonts w:ascii="Arial" w:cs="Arial" w:eastAsia="Arial" w:hAnsi="Arial"/>
                <w:sz w:val="11"/>
                <w:szCs w:val="11"/>
                <w:b w:val="1"/>
                <w:bCs w:val="1"/>
                <w:color w:val="auto"/>
              </w:rPr>
              <w:t>Pro Forma</w:t>
            </w: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1260" w:type="dxa"/>
            <w:vAlign w:val="bottom"/>
            <w:gridSpan w:val="4"/>
          </w:tcPr>
          <w:p>
            <w:pPr>
              <w:ind w:left="360"/>
              <w:spacing w:after="0"/>
              <w:rPr>
                <w:sz w:val="20"/>
                <w:szCs w:val="20"/>
                <w:color w:val="auto"/>
              </w:rPr>
            </w:pPr>
            <w:r>
              <w:rPr>
                <w:rFonts w:ascii="Arial" w:cs="Arial" w:eastAsia="Arial" w:hAnsi="Arial"/>
                <w:sz w:val="11"/>
                <w:szCs w:val="11"/>
                <w:b w:val="1"/>
                <w:bCs w:val="1"/>
                <w:color w:val="auto"/>
              </w:rPr>
              <w:t>Comcast(a)</w:t>
            </w:r>
          </w:p>
        </w:tc>
        <w:tc>
          <w:tcPr>
            <w:tcW w:w="280" w:type="dxa"/>
            <w:vAlign w:val="bottom"/>
          </w:tcPr>
          <w:p>
            <w:pPr>
              <w:spacing w:after="0"/>
              <w:rPr>
                <w:sz w:val="12"/>
                <w:szCs w:val="12"/>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1"/>
                <w:szCs w:val="11"/>
                <w:b w:val="1"/>
                <w:bCs w:val="1"/>
                <w:color w:val="auto"/>
              </w:rPr>
              <w:t>Broadband(a)</w:t>
            </w:r>
          </w:p>
        </w:tc>
        <w:tc>
          <w:tcPr>
            <w:tcW w:w="300" w:type="dxa"/>
            <w:vAlign w:val="bottom"/>
          </w:tcPr>
          <w:p>
            <w:pPr>
              <w:spacing w:after="0"/>
              <w:rPr>
                <w:sz w:val="12"/>
                <w:szCs w:val="12"/>
                <w:color w:val="auto"/>
              </w:rPr>
            </w:pPr>
          </w:p>
        </w:tc>
        <w:tc>
          <w:tcPr>
            <w:tcW w:w="1660" w:type="dxa"/>
            <w:vAlign w:val="bottom"/>
            <w:gridSpan w:val="3"/>
          </w:tcPr>
          <w:p>
            <w:pPr>
              <w:jc w:val="right"/>
              <w:ind w:right="460"/>
              <w:spacing w:after="0"/>
              <w:rPr>
                <w:sz w:val="20"/>
                <w:szCs w:val="20"/>
                <w:color w:val="auto"/>
              </w:rPr>
            </w:pPr>
            <w:r>
              <w:rPr>
                <w:rFonts w:ascii="Arial" w:cs="Arial" w:eastAsia="Arial" w:hAnsi="Arial"/>
                <w:sz w:val="11"/>
                <w:szCs w:val="11"/>
                <w:b w:val="1"/>
                <w:bCs w:val="1"/>
                <w:color w:val="auto"/>
              </w:rPr>
              <w:t>Adjustments(b)</w:t>
            </w:r>
          </w:p>
        </w:tc>
        <w:tc>
          <w:tcPr>
            <w:tcW w:w="300" w:type="dxa"/>
            <w:vAlign w:val="bottom"/>
          </w:tcPr>
          <w:p>
            <w:pPr>
              <w:spacing w:after="0"/>
              <w:rPr>
                <w:sz w:val="12"/>
                <w:szCs w:val="12"/>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1"/>
                <w:szCs w:val="11"/>
                <w:b w:val="1"/>
                <w:bCs w:val="1"/>
                <w:color w:val="auto"/>
              </w:rPr>
              <w:t>Comcast</w:t>
            </w:r>
          </w:p>
        </w:tc>
        <w:tc>
          <w:tcPr>
            <w:tcW w:w="0" w:type="dxa"/>
            <w:vAlign w:val="bottom"/>
          </w:tcPr>
          <w:p>
            <w:pPr>
              <w:spacing w:after="0"/>
              <w:rPr>
                <w:sz w:val="1"/>
                <w:szCs w:val="1"/>
                <w:color w:val="auto"/>
              </w:rPr>
            </w:pPr>
          </w:p>
        </w:tc>
      </w:tr>
      <w:tr>
        <w:trPr>
          <w:trHeight w:val="80"/>
        </w:trPr>
        <w:tc>
          <w:tcPr>
            <w:tcW w:w="488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gridSpan w:val="6"/>
          </w:tcPr>
          <w:p>
            <w:pPr>
              <w:jc w:val="right"/>
              <w:ind w:right="480"/>
              <w:spacing w:after="0"/>
              <w:rPr>
                <w:sz w:val="20"/>
                <w:szCs w:val="20"/>
                <w:color w:val="auto"/>
              </w:rPr>
            </w:pPr>
            <w:r>
              <w:rPr>
                <w:rFonts w:ascii="Arial" w:cs="Arial" w:eastAsia="Arial" w:hAnsi="Arial"/>
                <w:sz w:val="11"/>
                <w:szCs w:val="11"/>
                <w:b w:val="1"/>
                <w:bCs w:val="1"/>
                <w:color w:val="auto"/>
                <w:w w:val="91"/>
              </w:rPr>
              <w:t>(Amounts in millions, except per share amounts)</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Revenues</w:t>
            </w:r>
          </w:p>
        </w:tc>
        <w:tc>
          <w:tcPr>
            <w:tcW w:w="4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80" w:type="dxa"/>
            <w:vAlign w:val="bottom"/>
          </w:tcPr>
          <w:p>
            <w:pPr>
              <w:ind w:left="300"/>
              <w:spacing w:after="0"/>
              <w:rPr>
                <w:sz w:val="20"/>
                <w:szCs w:val="20"/>
                <w:color w:val="auto"/>
              </w:rPr>
            </w:pPr>
            <w:r>
              <w:rPr>
                <w:rFonts w:ascii="Arial" w:cs="Arial" w:eastAsia="Arial" w:hAnsi="Arial"/>
                <w:sz w:val="15"/>
                <w:szCs w:val="15"/>
                <w:color w:val="auto"/>
              </w:rPr>
              <w:t>Service revenues</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8,079</w:t>
            </w:r>
          </w:p>
        </w:tc>
        <w:tc>
          <w:tcPr>
            <w:tcW w:w="420" w:type="dxa"/>
            <w:vAlign w:val="bottom"/>
          </w:tcPr>
          <w:p>
            <w:pPr>
              <w:spacing w:after="0"/>
              <w:rPr>
                <w:sz w:val="15"/>
                <w:szCs w:val="15"/>
                <w:color w:val="auto"/>
              </w:rPr>
            </w:pP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8,693</w:t>
            </w:r>
          </w:p>
        </w:tc>
        <w:tc>
          <w:tcPr>
            <w:tcW w:w="4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rPr>
              <w:t>(41)</w:t>
            </w:r>
          </w:p>
        </w:tc>
        <w:tc>
          <w:tcPr>
            <w:tcW w:w="800" w:type="dxa"/>
            <w:vAlign w:val="bottom"/>
            <w:gridSpan w:val="2"/>
          </w:tcPr>
          <w:p>
            <w:pPr>
              <w:ind w:left="74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16,731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Net sales from electronic retailing</w:t>
            </w:r>
          </w:p>
        </w:tc>
        <w:tc>
          <w:tcPr>
            <w:tcW w:w="420" w:type="dxa"/>
            <w:vAlign w:val="bottom"/>
            <w:shd w:val="clear" w:color="auto" w:fill="EEEEEE"/>
          </w:tcPr>
          <w:p>
            <w:pPr>
              <w:spacing w:after="0"/>
              <w:rPr>
                <w:sz w:val="15"/>
                <w:szCs w:val="15"/>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4,381</w:t>
            </w:r>
          </w:p>
        </w:tc>
        <w:tc>
          <w:tcPr>
            <w:tcW w:w="4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4,381</w:t>
            </w:r>
          </w:p>
        </w:tc>
        <w:tc>
          <w:tcPr>
            <w:tcW w:w="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4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w w:val="82"/>
              </w:rPr>
              <w:t>12,460</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8,693</w:t>
            </w: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rPr>
              <w:t>(41)</w:t>
            </w: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21,112</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4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Costs and Expenses</w:t>
            </w:r>
          </w:p>
        </w:tc>
        <w:tc>
          <w:tcPr>
            <w:tcW w:w="4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80" w:type="dxa"/>
            <w:vAlign w:val="bottom"/>
          </w:tcPr>
          <w:p>
            <w:pPr>
              <w:ind w:left="300"/>
              <w:spacing w:after="0"/>
              <w:rPr>
                <w:sz w:val="20"/>
                <w:szCs w:val="20"/>
                <w:color w:val="auto"/>
              </w:rPr>
            </w:pPr>
            <w:r>
              <w:rPr>
                <w:rFonts w:ascii="Arial" w:cs="Arial" w:eastAsia="Arial" w:hAnsi="Arial"/>
                <w:sz w:val="15"/>
                <w:szCs w:val="15"/>
                <w:color w:val="auto"/>
              </w:rPr>
              <w:t>Operating (excluding depreciation)</w:t>
            </w:r>
          </w:p>
        </w:tc>
        <w:tc>
          <w:tcPr>
            <w:tcW w:w="42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3,511</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4,612</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rPr>
              <w:t>(27)</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8,096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Cost of goods sold from electronic retailing (excluding depreciation)</w:t>
            </w:r>
          </w:p>
        </w:tc>
        <w:tc>
          <w:tcPr>
            <w:tcW w:w="420" w:type="dxa"/>
            <w:vAlign w:val="bottom"/>
            <w:shd w:val="clear" w:color="auto" w:fill="EEEEEE"/>
          </w:tcPr>
          <w:p>
            <w:pPr>
              <w:spacing w:after="0"/>
              <w:rPr>
                <w:sz w:val="15"/>
                <w:szCs w:val="15"/>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2,793</w:t>
            </w:r>
          </w:p>
        </w:tc>
        <w:tc>
          <w:tcPr>
            <w:tcW w:w="4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2,793</w:t>
            </w:r>
          </w:p>
        </w:tc>
        <w:tc>
          <w:tcPr>
            <w:tcW w:w="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80" w:type="dxa"/>
            <w:vAlign w:val="bottom"/>
          </w:tcPr>
          <w:p>
            <w:pPr>
              <w:ind w:left="300"/>
              <w:spacing w:after="0"/>
              <w:rPr>
                <w:sz w:val="20"/>
                <w:szCs w:val="20"/>
                <w:color w:val="auto"/>
              </w:rPr>
            </w:pPr>
            <w:r>
              <w:rPr>
                <w:rFonts w:ascii="Arial" w:cs="Arial" w:eastAsia="Arial" w:hAnsi="Arial"/>
                <w:sz w:val="15"/>
                <w:szCs w:val="15"/>
                <w:color w:val="auto"/>
              </w:rPr>
              <w:t>Selling, general and administrative</w:t>
            </w:r>
          </w:p>
        </w:tc>
        <w:tc>
          <w:tcPr>
            <w:tcW w:w="42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2,465</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2,411</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rPr>
              <w:t>(10)</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4,866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Depreciation</w:t>
            </w:r>
          </w:p>
        </w:tc>
        <w:tc>
          <w:tcPr>
            <w:tcW w:w="420" w:type="dxa"/>
            <w:vAlign w:val="bottom"/>
            <w:shd w:val="clear" w:color="auto" w:fill="EEEEEE"/>
          </w:tcPr>
          <w:p>
            <w:pPr>
              <w:spacing w:after="0"/>
              <w:rPr>
                <w:sz w:val="15"/>
                <w:szCs w:val="15"/>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1,775</w:t>
            </w:r>
          </w:p>
        </w:tc>
        <w:tc>
          <w:tcPr>
            <w:tcW w:w="4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2,414</w:t>
            </w:r>
          </w:p>
        </w:tc>
        <w:tc>
          <w:tcPr>
            <w:tcW w:w="4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600"/>
              <w:spacing w:after="0"/>
              <w:rPr>
                <w:sz w:val="20"/>
                <w:szCs w:val="20"/>
                <w:color w:val="auto"/>
              </w:rPr>
            </w:pPr>
            <w:r>
              <w:rPr>
                <w:rFonts w:ascii="Arial" w:cs="Arial" w:eastAsia="Arial" w:hAnsi="Arial"/>
                <w:sz w:val="15"/>
                <w:szCs w:val="15"/>
                <w:color w:val="auto"/>
              </w:rPr>
              <w:t>(814)</w:t>
            </w: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3,375</w:t>
            </w:r>
          </w:p>
        </w:tc>
        <w:tc>
          <w:tcPr>
            <w:tcW w:w="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80" w:type="dxa"/>
            <w:vAlign w:val="bottom"/>
          </w:tcPr>
          <w:p>
            <w:pPr>
              <w:ind w:left="300"/>
              <w:spacing w:after="0"/>
              <w:rPr>
                <w:sz w:val="20"/>
                <w:szCs w:val="20"/>
                <w:color w:val="auto"/>
              </w:rPr>
            </w:pPr>
            <w:r>
              <w:rPr>
                <w:rFonts w:ascii="Arial" w:cs="Arial" w:eastAsia="Arial" w:hAnsi="Arial"/>
                <w:sz w:val="15"/>
                <w:szCs w:val="15"/>
                <w:color w:val="auto"/>
              </w:rPr>
              <w:t>Amortization</w:t>
            </w:r>
          </w:p>
        </w:tc>
        <w:tc>
          <w:tcPr>
            <w:tcW w:w="42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257</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188</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954</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1,399</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Goodwill and franchise impairment charges(c)</w:t>
            </w:r>
          </w:p>
        </w:tc>
        <w:tc>
          <w:tcPr>
            <w:tcW w:w="4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5"/>
              </w:rPr>
              <w:t>16,525</w:t>
            </w:r>
          </w:p>
        </w:tc>
        <w:tc>
          <w:tcPr>
            <w:tcW w:w="4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5"/>
              </w:rPr>
              <w:t>16,525</w:t>
            </w:r>
          </w:p>
        </w:tc>
        <w:tc>
          <w:tcPr>
            <w:tcW w:w="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880" w:type="dxa"/>
            <w:vAlign w:val="bottom"/>
          </w:tcPr>
          <w:p>
            <w:pPr>
              <w:ind w:left="300"/>
              <w:spacing w:after="0"/>
              <w:rPr>
                <w:sz w:val="20"/>
                <w:szCs w:val="20"/>
                <w:color w:val="auto"/>
              </w:rPr>
            </w:pPr>
            <w:r>
              <w:rPr>
                <w:rFonts w:ascii="Arial" w:cs="Arial" w:eastAsia="Arial" w:hAnsi="Arial"/>
                <w:sz w:val="15"/>
                <w:szCs w:val="15"/>
                <w:color w:val="auto"/>
              </w:rPr>
              <w:t>Asset impairment, restructuring and other charges</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56</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56</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4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82"/>
              </w:rPr>
              <w:t>10,801</w:t>
            </w:r>
          </w:p>
        </w:tc>
        <w:tc>
          <w:tcPr>
            <w:tcW w:w="4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5"/>
              </w:rPr>
              <w:t>26,206</w:t>
            </w:r>
          </w:p>
        </w:tc>
        <w:tc>
          <w:tcPr>
            <w:tcW w:w="4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103</w:t>
            </w:r>
          </w:p>
        </w:tc>
        <w:tc>
          <w:tcPr>
            <w:tcW w:w="6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5"/>
              </w:rPr>
              <w:t>37,110</w:t>
            </w:r>
          </w:p>
        </w:tc>
        <w:tc>
          <w:tcPr>
            <w:tcW w:w="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88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4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488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1,659</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5"/>
                <w:szCs w:val="15"/>
                <w:color w:val="auto"/>
                <w:w w:val="89"/>
              </w:rPr>
              <w:t>(17,513)</w:t>
            </w: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rPr>
              <w:t>(144)</w:t>
            </w: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5"/>
                <w:szCs w:val="15"/>
                <w:color w:val="auto"/>
                <w:w w:val="89"/>
              </w:rPr>
              <w:t>(15,998)</w:t>
            </w:r>
          </w:p>
        </w:tc>
        <w:tc>
          <w:tcPr>
            <w:tcW w:w="0" w:type="dxa"/>
            <w:vAlign w:val="bottom"/>
          </w:tcPr>
          <w:p>
            <w:pPr>
              <w:spacing w:after="0"/>
              <w:rPr>
                <w:sz w:val="1"/>
                <w:szCs w:val="1"/>
                <w:color w:val="auto"/>
              </w:rPr>
            </w:pPr>
          </w:p>
        </w:tc>
      </w:tr>
      <w:tr>
        <w:trPr>
          <w:trHeight w:val="180"/>
        </w:trPr>
        <w:tc>
          <w:tcPr>
            <w:tcW w:w="48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Other income (expense)</w:t>
            </w:r>
          </w:p>
        </w:tc>
        <w:tc>
          <w:tcPr>
            <w:tcW w:w="4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80" w:type="dxa"/>
            <w:vAlign w:val="bottom"/>
          </w:tcPr>
          <w:p>
            <w:pPr>
              <w:ind w:left="300"/>
              <w:spacing w:after="0"/>
              <w:rPr>
                <w:sz w:val="20"/>
                <w:szCs w:val="20"/>
                <w:color w:val="auto"/>
              </w:rPr>
            </w:pPr>
            <w:r>
              <w:rPr>
                <w:rFonts w:ascii="Arial" w:cs="Arial" w:eastAsia="Arial" w:hAnsi="Arial"/>
                <w:sz w:val="15"/>
                <w:szCs w:val="15"/>
                <w:color w:val="auto"/>
              </w:rPr>
              <w:t>Interest expense</w:t>
            </w:r>
          </w:p>
        </w:tc>
        <w:tc>
          <w:tcPr>
            <w:tcW w:w="420" w:type="dxa"/>
            <w:vAlign w:val="bottom"/>
          </w:tcPr>
          <w:p>
            <w:pPr>
              <w:spacing w:after="0"/>
              <w:rPr>
                <w:sz w:val="15"/>
                <w:szCs w:val="15"/>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5"/>
                <w:szCs w:val="15"/>
                <w:color w:val="auto"/>
              </w:rPr>
              <w:t>(884)</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5"/>
                <w:szCs w:val="15"/>
                <w:color w:val="auto"/>
              </w:rPr>
              <w:t>(1,306)</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rPr>
              <w:t>(5)</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5"/>
                <w:szCs w:val="15"/>
                <w:color w:val="auto"/>
              </w:rPr>
              <w:t>(2,195)</w:t>
            </w: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Investment expense</w:t>
            </w:r>
          </w:p>
        </w:tc>
        <w:tc>
          <w:tcPr>
            <w:tcW w:w="420" w:type="dxa"/>
            <w:vAlign w:val="bottom"/>
            <w:shd w:val="clear" w:color="auto" w:fill="EEEEEE"/>
          </w:tcPr>
          <w:p>
            <w:pPr>
              <w:spacing w:after="0"/>
              <w:rPr>
                <w:sz w:val="15"/>
                <w:szCs w:val="15"/>
                <w:color w:val="auto"/>
              </w:rPr>
            </w:pPr>
          </w:p>
        </w:tc>
        <w:tc>
          <w:tcPr>
            <w:tcW w:w="840" w:type="dxa"/>
            <w:vAlign w:val="bottom"/>
            <w:gridSpan w:val="3"/>
            <w:shd w:val="clear" w:color="auto" w:fill="EEEEEE"/>
          </w:tcPr>
          <w:p>
            <w:pPr>
              <w:jc w:val="right"/>
              <w:ind w:right="380"/>
              <w:spacing w:after="0"/>
              <w:rPr>
                <w:sz w:val="20"/>
                <w:szCs w:val="20"/>
                <w:color w:val="auto"/>
              </w:rPr>
            </w:pPr>
            <w:r>
              <w:rPr>
                <w:rFonts w:ascii="Arial" w:cs="Arial" w:eastAsia="Arial" w:hAnsi="Arial"/>
                <w:sz w:val="15"/>
                <w:szCs w:val="15"/>
                <w:color w:val="auto"/>
              </w:rPr>
              <w:t>(605)</w:t>
            </w: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5"/>
                <w:szCs w:val="15"/>
                <w:color w:val="auto"/>
              </w:rPr>
              <w:t>(1,263)</w:t>
            </w: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860" w:type="dxa"/>
            <w:vAlign w:val="bottom"/>
            <w:gridSpan w:val="3"/>
            <w:shd w:val="clear" w:color="auto" w:fill="EEEEEE"/>
          </w:tcPr>
          <w:p>
            <w:pPr>
              <w:jc w:val="right"/>
              <w:ind w:right="340"/>
              <w:spacing w:after="0"/>
              <w:rPr>
                <w:sz w:val="20"/>
                <w:szCs w:val="20"/>
                <w:color w:val="auto"/>
              </w:rPr>
            </w:pPr>
            <w:r>
              <w:rPr>
                <w:rFonts w:ascii="Arial" w:cs="Arial" w:eastAsia="Arial" w:hAnsi="Arial"/>
                <w:sz w:val="15"/>
                <w:szCs w:val="15"/>
                <w:color w:val="auto"/>
              </w:rPr>
              <w:t>(1,868)</w:t>
            </w:r>
          </w:p>
        </w:tc>
        <w:tc>
          <w:tcPr>
            <w:tcW w:w="0" w:type="dxa"/>
            <w:vAlign w:val="bottom"/>
          </w:tcPr>
          <w:p>
            <w:pPr>
              <w:spacing w:after="0"/>
              <w:rPr>
                <w:sz w:val="1"/>
                <w:szCs w:val="1"/>
                <w:color w:val="auto"/>
              </w:rPr>
            </w:pPr>
          </w:p>
        </w:tc>
      </w:tr>
      <w:tr>
        <w:trPr>
          <w:trHeight w:val="179"/>
        </w:trPr>
        <w:tc>
          <w:tcPr>
            <w:tcW w:w="4880" w:type="dxa"/>
            <w:vAlign w:val="bottom"/>
          </w:tcPr>
          <w:p>
            <w:pPr>
              <w:ind w:left="300"/>
              <w:spacing w:after="0"/>
              <w:rPr>
                <w:sz w:val="20"/>
                <w:szCs w:val="20"/>
                <w:color w:val="auto"/>
              </w:rPr>
            </w:pPr>
            <w:r>
              <w:rPr>
                <w:rFonts w:ascii="Arial" w:cs="Arial" w:eastAsia="Arial" w:hAnsi="Arial"/>
                <w:sz w:val="15"/>
                <w:szCs w:val="15"/>
                <w:color w:val="auto"/>
              </w:rPr>
              <w:t>Equity in net losses of affiliates</w:t>
            </w:r>
          </w:p>
        </w:tc>
        <w:tc>
          <w:tcPr>
            <w:tcW w:w="420" w:type="dxa"/>
            <w:vAlign w:val="bottom"/>
          </w:tcPr>
          <w:p>
            <w:pPr>
              <w:spacing w:after="0"/>
              <w:rPr>
                <w:sz w:val="15"/>
                <w:szCs w:val="15"/>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5"/>
                <w:szCs w:val="15"/>
                <w:color w:val="auto"/>
              </w:rPr>
              <w:t>(103)</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w w:val="84"/>
              </w:rPr>
              <w:t>(1,005)</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5"/>
                <w:szCs w:val="15"/>
                <w:color w:val="auto"/>
              </w:rPr>
              <w:t>(1,108)</w:t>
            </w: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Other income</w:t>
            </w:r>
          </w:p>
        </w:tc>
        <w:tc>
          <w:tcPr>
            <w:tcW w:w="420" w:type="dxa"/>
            <w:vAlign w:val="bottom"/>
            <w:shd w:val="clear" w:color="auto" w:fill="EEEEEE"/>
          </w:tcPr>
          <w:p>
            <w:pPr>
              <w:spacing w:after="0"/>
              <w:rPr>
                <w:sz w:val="15"/>
                <w:szCs w:val="15"/>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w:t>
            </w:r>
          </w:p>
        </w:tc>
        <w:tc>
          <w:tcPr>
            <w:tcW w:w="4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439</w:t>
            </w:r>
          </w:p>
        </w:tc>
        <w:tc>
          <w:tcPr>
            <w:tcW w:w="4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442</w:t>
            </w:r>
          </w:p>
        </w:tc>
        <w:tc>
          <w:tcPr>
            <w:tcW w:w="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4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5"/>
                <w:szCs w:val="15"/>
                <w:color w:val="auto"/>
                <w:w w:val="92"/>
              </w:rPr>
              <w:t>(1,589)</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5"/>
                <w:szCs w:val="15"/>
                <w:color w:val="auto"/>
              </w:rPr>
              <w:t>(2,130)</w:t>
            </w: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w w:val="84"/>
              </w:rPr>
              <w:t>(1,010)</w:t>
            </w: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5"/>
                <w:szCs w:val="15"/>
                <w:color w:val="auto"/>
              </w:rPr>
              <w:t>(4,729)</w:t>
            </w:r>
          </w:p>
        </w:tc>
        <w:tc>
          <w:tcPr>
            <w:tcW w:w="0" w:type="dxa"/>
            <w:vAlign w:val="bottom"/>
          </w:tcPr>
          <w:p>
            <w:pPr>
              <w:spacing w:after="0"/>
              <w:rPr>
                <w:sz w:val="1"/>
                <w:szCs w:val="1"/>
                <w:color w:val="auto"/>
              </w:rPr>
            </w:pPr>
          </w:p>
        </w:tc>
      </w:tr>
      <w:tr>
        <w:trPr>
          <w:trHeight w:val="91"/>
        </w:trPr>
        <w:tc>
          <w:tcPr>
            <w:tcW w:w="4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880" w:type="dxa"/>
            <w:vAlign w:val="bottom"/>
            <w:shd w:val="clear" w:color="auto" w:fill="EEEEEE"/>
          </w:tcPr>
          <w:p>
            <w:pPr>
              <w:spacing w:after="0" w:line="168" w:lineRule="exact"/>
              <w:rPr>
                <w:sz w:val="20"/>
                <w:szCs w:val="20"/>
                <w:color w:val="auto"/>
              </w:rPr>
            </w:pPr>
            <w:r>
              <w:rPr>
                <w:rFonts w:ascii="Arial" w:cs="Arial" w:eastAsia="Arial" w:hAnsi="Arial"/>
                <w:sz w:val="15"/>
                <w:szCs w:val="15"/>
                <w:b w:val="1"/>
                <w:bCs w:val="1"/>
                <w:color w:val="auto"/>
                <w:w w:val="94"/>
              </w:rPr>
              <w:t>Income (loss) from continuing operations before income taxes, minority</w:t>
            </w:r>
          </w:p>
        </w:tc>
        <w:tc>
          <w:tcPr>
            <w:tcW w:w="420" w:type="dxa"/>
            <w:vAlign w:val="bottom"/>
            <w:shd w:val="clear" w:color="auto" w:fill="EEEEEE"/>
          </w:tcPr>
          <w:p>
            <w:pPr>
              <w:spacing w:after="0"/>
              <w:rPr>
                <w:sz w:val="14"/>
                <w:szCs w:val="14"/>
                <w:color w:val="auto"/>
              </w:rPr>
            </w:pPr>
          </w:p>
        </w:tc>
        <w:tc>
          <w:tcPr>
            <w:tcW w:w="40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540" w:type="dxa"/>
            <w:vAlign w:val="bottom"/>
            <w:shd w:val="clear" w:color="auto" w:fill="EEEEEE"/>
          </w:tcPr>
          <w:p>
            <w:pPr>
              <w:spacing w:after="0"/>
              <w:rPr>
                <w:sz w:val="14"/>
                <w:szCs w:val="14"/>
                <w:color w:val="auto"/>
              </w:rPr>
            </w:pPr>
          </w:p>
        </w:tc>
        <w:tc>
          <w:tcPr>
            <w:tcW w:w="46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300" w:type="dxa"/>
            <w:vAlign w:val="bottom"/>
            <w:shd w:val="clear" w:color="auto" w:fill="EEEEEE"/>
          </w:tcPr>
          <w:p>
            <w:pPr>
              <w:spacing w:after="0"/>
              <w:rPr>
                <w:sz w:val="14"/>
                <w:szCs w:val="14"/>
                <w:color w:val="auto"/>
              </w:rPr>
            </w:pPr>
          </w:p>
        </w:tc>
        <w:tc>
          <w:tcPr>
            <w:tcW w:w="64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640" w:type="dxa"/>
            <w:vAlign w:val="bottom"/>
            <w:shd w:val="clear" w:color="auto" w:fill="EEEEEE"/>
          </w:tcPr>
          <w:p>
            <w:pPr>
              <w:spacing w:after="0"/>
              <w:rPr>
                <w:sz w:val="14"/>
                <w:szCs w:val="14"/>
                <w:color w:val="auto"/>
              </w:rPr>
            </w:pPr>
          </w:p>
        </w:tc>
        <w:tc>
          <w:tcPr>
            <w:tcW w:w="300" w:type="dxa"/>
            <w:vAlign w:val="bottom"/>
            <w:shd w:val="clear" w:color="auto" w:fill="EEEEEE"/>
          </w:tcPr>
          <w:p>
            <w:pPr>
              <w:spacing w:after="0"/>
              <w:rPr>
                <w:sz w:val="14"/>
                <w:szCs w:val="14"/>
                <w:color w:val="auto"/>
              </w:rPr>
            </w:pPr>
          </w:p>
        </w:tc>
        <w:tc>
          <w:tcPr>
            <w:tcW w:w="500" w:type="dxa"/>
            <w:vAlign w:val="bottom"/>
            <w:shd w:val="clear" w:color="auto" w:fill="EEEEEE"/>
          </w:tcPr>
          <w:p>
            <w:pPr>
              <w:spacing w:after="0"/>
              <w:rPr>
                <w:sz w:val="14"/>
                <w:szCs w:val="14"/>
                <w:color w:val="auto"/>
              </w:rPr>
            </w:pPr>
          </w:p>
        </w:tc>
        <w:tc>
          <w:tcPr>
            <w:tcW w:w="46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ind w:left="120"/>
              <w:spacing w:after="0"/>
              <w:rPr>
                <w:sz w:val="20"/>
                <w:szCs w:val="20"/>
                <w:color w:val="auto"/>
              </w:rPr>
            </w:pPr>
            <w:r>
              <w:rPr>
                <w:rFonts w:ascii="Arial" w:cs="Arial" w:eastAsia="Arial" w:hAnsi="Arial"/>
                <w:sz w:val="15"/>
                <w:szCs w:val="15"/>
                <w:b w:val="1"/>
                <w:bCs w:val="1"/>
                <w:color w:val="auto"/>
              </w:rPr>
              <w:t>interest, extraordinary items and cumulative effect of accounting</w:t>
            </w:r>
          </w:p>
        </w:tc>
        <w:tc>
          <w:tcPr>
            <w:tcW w:w="4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80" w:type="dxa"/>
            <w:vAlign w:val="bottom"/>
            <w:shd w:val="clear" w:color="auto" w:fill="EEEEEE"/>
          </w:tcPr>
          <w:p>
            <w:pPr>
              <w:ind w:left="120"/>
              <w:spacing w:after="0"/>
              <w:rPr>
                <w:sz w:val="20"/>
                <w:szCs w:val="20"/>
                <w:color w:val="auto"/>
              </w:rPr>
            </w:pPr>
            <w:r>
              <w:rPr>
                <w:rFonts w:ascii="Arial" w:cs="Arial" w:eastAsia="Arial" w:hAnsi="Arial"/>
                <w:sz w:val="15"/>
                <w:szCs w:val="15"/>
                <w:b w:val="1"/>
                <w:bCs w:val="1"/>
                <w:color w:val="auto"/>
              </w:rPr>
              <w:t>change</w:t>
            </w:r>
          </w:p>
        </w:tc>
        <w:tc>
          <w:tcPr>
            <w:tcW w:w="420" w:type="dxa"/>
            <w:vAlign w:val="bottom"/>
            <w:shd w:val="clear" w:color="auto" w:fill="EEEEEE"/>
          </w:tcPr>
          <w:p>
            <w:pPr>
              <w:spacing w:after="0"/>
              <w:rPr>
                <w:sz w:val="16"/>
                <w:szCs w:val="16"/>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70</w:t>
            </w:r>
          </w:p>
        </w:tc>
        <w:tc>
          <w:tcPr>
            <w:tcW w:w="4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5"/>
                <w:szCs w:val="15"/>
                <w:color w:val="auto"/>
                <w:w w:val="89"/>
              </w:rPr>
              <w:t>(19,643)</w:t>
            </w:r>
          </w:p>
        </w:tc>
        <w:tc>
          <w:tcPr>
            <w:tcW w:w="30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600"/>
              <w:spacing w:after="0"/>
              <w:rPr>
                <w:sz w:val="20"/>
                <w:szCs w:val="20"/>
                <w:color w:val="auto"/>
              </w:rPr>
            </w:pPr>
            <w:r>
              <w:rPr>
                <w:rFonts w:ascii="Arial" w:cs="Arial" w:eastAsia="Arial" w:hAnsi="Arial"/>
                <w:sz w:val="15"/>
                <w:szCs w:val="15"/>
                <w:color w:val="auto"/>
                <w:w w:val="84"/>
              </w:rPr>
              <w:t>(1,154)</w:t>
            </w: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860" w:type="dxa"/>
            <w:vAlign w:val="bottom"/>
            <w:gridSpan w:val="3"/>
            <w:shd w:val="clear" w:color="auto" w:fill="EEEEEE"/>
          </w:tcPr>
          <w:p>
            <w:pPr>
              <w:jc w:val="right"/>
              <w:ind w:right="340"/>
              <w:spacing w:after="0"/>
              <w:rPr>
                <w:sz w:val="20"/>
                <w:szCs w:val="20"/>
                <w:color w:val="auto"/>
              </w:rPr>
            </w:pPr>
            <w:r>
              <w:rPr>
                <w:rFonts w:ascii="Arial" w:cs="Arial" w:eastAsia="Arial" w:hAnsi="Arial"/>
                <w:sz w:val="15"/>
                <w:szCs w:val="15"/>
                <w:color w:val="auto"/>
                <w:w w:val="89"/>
              </w:rPr>
              <w:t>(20,727)</w:t>
            </w:r>
          </w:p>
        </w:tc>
        <w:tc>
          <w:tcPr>
            <w:tcW w:w="0" w:type="dxa"/>
            <w:vAlign w:val="bottom"/>
          </w:tcPr>
          <w:p>
            <w:pPr>
              <w:spacing w:after="0"/>
              <w:rPr>
                <w:sz w:val="1"/>
                <w:szCs w:val="1"/>
                <w:color w:val="auto"/>
              </w:rPr>
            </w:pPr>
          </w:p>
        </w:tc>
      </w:tr>
      <w:tr>
        <w:trPr>
          <w:trHeight w:val="190"/>
        </w:trPr>
        <w:tc>
          <w:tcPr>
            <w:tcW w:w="4880" w:type="dxa"/>
            <w:vAlign w:val="bottom"/>
          </w:tcPr>
          <w:p>
            <w:pPr>
              <w:spacing w:after="0"/>
              <w:rPr>
                <w:sz w:val="20"/>
                <w:szCs w:val="20"/>
                <w:color w:val="auto"/>
              </w:rPr>
            </w:pPr>
            <w:r>
              <w:rPr>
                <w:rFonts w:ascii="Arial" w:cs="Arial" w:eastAsia="Arial" w:hAnsi="Arial"/>
                <w:sz w:val="15"/>
                <w:szCs w:val="15"/>
                <w:b w:val="1"/>
                <w:bCs w:val="1"/>
                <w:color w:val="auto"/>
              </w:rPr>
              <w:t>Income tax (expense) benefit</w:t>
            </w:r>
          </w:p>
        </w:tc>
        <w:tc>
          <w:tcPr>
            <w:tcW w:w="420" w:type="dxa"/>
            <w:vAlign w:val="bottom"/>
          </w:tcPr>
          <w:p>
            <w:pPr>
              <w:spacing w:after="0"/>
              <w:rPr>
                <w:sz w:val="16"/>
                <w:szCs w:val="16"/>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5"/>
                <w:szCs w:val="15"/>
                <w:color w:val="auto"/>
              </w:rPr>
              <w:t>(134)</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5,776</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443</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6,085</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4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880" w:type="dxa"/>
            <w:vAlign w:val="bottom"/>
            <w:shd w:val="clear" w:color="auto" w:fill="EEEEEE"/>
          </w:tcPr>
          <w:p>
            <w:pPr>
              <w:spacing w:after="0" w:line="168" w:lineRule="exact"/>
              <w:rPr>
                <w:sz w:val="20"/>
                <w:szCs w:val="20"/>
                <w:color w:val="auto"/>
              </w:rPr>
            </w:pPr>
            <w:r>
              <w:rPr>
                <w:rFonts w:ascii="Arial" w:cs="Arial" w:eastAsia="Arial" w:hAnsi="Arial"/>
                <w:sz w:val="15"/>
                <w:szCs w:val="15"/>
                <w:b w:val="1"/>
                <w:bCs w:val="1"/>
                <w:color w:val="auto"/>
                <w:w w:val="95"/>
              </w:rPr>
              <w:t>Loss from continuing operations before minority interest, extraordinary</w:t>
            </w:r>
          </w:p>
        </w:tc>
        <w:tc>
          <w:tcPr>
            <w:tcW w:w="420" w:type="dxa"/>
            <w:vAlign w:val="bottom"/>
            <w:shd w:val="clear" w:color="auto" w:fill="EEEEEE"/>
          </w:tcPr>
          <w:p>
            <w:pPr>
              <w:spacing w:after="0"/>
              <w:rPr>
                <w:sz w:val="14"/>
                <w:szCs w:val="14"/>
                <w:color w:val="auto"/>
              </w:rPr>
            </w:pPr>
          </w:p>
        </w:tc>
        <w:tc>
          <w:tcPr>
            <w:tcW w:w="40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540" w:type="dxa"/>
            <w:vAlign w:val="bottom"/>
            <w:shd w:val="clear" w:color="auto" w:fill="EEEEEE"/>
          </w:tcPr>
          <w:p>
            <w:pPr>
              <w:spacing w:after="0"/>
              <w:rPr>
                <w:sz w:val="14"/>
                <w:szCs w:val="14"/>
                <w:color w:val="auto"/>
              </w:rPr>
            </w:pPr>
          </w:p>
        </w:tc>
        <w:tc>
          <w:tcPr>
            <w:tcW w:w="46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300" w:type="dxa"/>
            <w:vAlign w:val="bottom"/>
            <w:shd w:val="clear" w:color="auto" w:fill="EEEEEE"/>
          </w:tcPr>
          <w:p>
            <w:pPr>
              <w:spacing w:after="0"/>
              <w:rPr>
                <w:sz w:val="14"/>
                <w:szCs w:val="14"/>
                <w:color w:val="auto"/>
              </w:rPr>
            </w:pPr>
          </w:p>
        </w:tc>
        <w:tc>
          <w:tcPr>
            <w:tcW w:w="64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640" w:type="dxa"/>
            <w:vAlign w:val="bottom"/>
            <w:shd w:val="clear" w:color="auto" w:fill="EEEEEE"/>
          </w:tcPr>
          <w:p>
            <w:pPr>
              <w:spacing w:after="0"/>
              <w:rPr>
                <w:sz w:val="14"/>
                <w:szCs w:val="14"/>
                <w:color w:val="auto"/>
              </w:rPr>
            </w:pPr>
          </w:p>
        </w:tc>
        <w:tc>
          <w:tcPr>
            <w:tcW w:w="300" w:type="dxa"/>
            <w:vAlign w:val="bottom"/>
            <w:shd w:val="clear" w:color="auto" w:fill="EEEEEE"/>
          </w:tcPr>
          <w:p>
            <w:pPr>
              <w:spacing w:after="0"/>
              <w:rPr>
                <w:sz w:val="14"/>
                <w:szCs w:val="14"/>
                <w:color w:val="auto"/>
              </w:rPr>
            </w:pPr>
          </w:p>
        </w:tc>
        <w:tc>
          <w:tcPr>
            <w:tcW w:w="500" w:type="dxa"/>
            <w:vAlign w:val="bottom"/>
            <w:shd w:val="clear" w:color="auto" w:fill="EEEEEE"/>
          </w:tcPr>
          <w:p>
            <w:pPr>
              <w:spacing w:after="0"/>
              <w:rPr>
                <w:sz w:val="14"/>
                <w:szCs w:val="14"/>
                <w:color w:val="auto"/>
              </w:rPr>
            </w:pPr>
          </w:p>
        </w:tc>
        <w:tc>
          <w:tcPr>
            <w:tcW w:w="46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880" w:type="dxa"/>
            <w:vAlign w:val="bottom"/>
            <w:shd w:val="clear" w:color="auto" w:fill="EEEEEE"/>
          </w:tcPr>
          <w:p>
            <w:pPr>
              <w:ind w:left="120"/>
              <w:spacing w:after="0"/>
              <w:rPr>
                <w:sz w:val="20"/>
                <w:szCs w:val="20"/>
                <w:color w:val="auto"/>
              </w:rPr>
            </w:pPr>
            <w:r>
              <w:rPr>
                <w:rFonts w:ascii="Arial" w:cs="Arial" w:eastAsia="Arial" w:hAnsi="Arial"/>
                <w:sz w:val="15"/>
                <w:szCs w:val="15"/>
                <w:b w:val="1"/>
                <w:bCs w:val="1"/>
                <w:color w:val="auto"/>
              </w:rPr>
              <w:t>items and cumulative effect of accounting change</w:t>
            </w:r>
          </w:p>
        </w:tc>
        <w:tc>
          <w:tcPr>
            <w:tcW w:w="420" w:type="dxa"/>
            <w:vAlign w:val="bottom"/>
            <w:shd w:val="clear" w:color="auto" w:fill="EEEEEE"/>
          </w:tcPr>
          <w:p>
            <w:pPr>
              <w:spacing w:after="0"/>
              <w:rPr>
                <w:sz w:val="16"/>
                <w:szCs w:val="16"/>
                <w:color w:val="auto"/>
              </w:rPr>
            </w:pPr>
          </w:p>
        </w:tc>
        <w:tc>
          <w:tcPr>
            <w:tcW w:w="840" w:type="dxa"/>
            <w:vAlign w:val="bottom"/>
            <w:gridSpan w:val="3"/>
            <w:shd w:val="clear" w:color="auto" w:fill="EEEEEE"/>
          </w:tcPr>
          <w:p>
            <w:pPr>
              <w:jc w:val="right"/>
              <w:ind w:right="380"/>
              <w:spacing w:after="0"/>
              <w:rPr>
                <w:sz w:val="20"/>
                <w:szCs w:val="20"/>
                <w:color w:val="auto"/>
              </w:rPr>
            </w:pPr>
            <w:r>
              <w:rPr>
                <w:rFonts w:ascii="Arial" w:cs="Arial" w:eastAsia="Arial" w:hAnsi="Arial"/>
                <w:sz w:val="15"/>
                <w:szCs w:val="15"/>
                <w:color w:val="auto"/>
              </w:rPr>
              <w:t>(64)</w:t>
            </w:r>
          </w:p>
        </w:tc>
        <w:tc>
          <w:tcPr>
            <w:tcW w:w="28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5"/>
                <w:szCs w:val="15"/>
                <w:color w:val="auto"/>
                <w:w w:val="89"/>
              </w:rPr>
              <w:t>(13,867)</w:t>
            </w:r>
          </w:p>
        </w:tc>
        <w:tc>
          <w:tcPr>
            <w:tcW w:w="30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600"/>
              <w:spacing w:after="0"/>
              <w:rPr>
                <w:sz w:val="20"/>
                <w:szCs w:val="20"/>
                <w:color w:val="auto"/>
              </w:rPr>
            </w:pPr>
            <w:r>
              <w:rPr>
                <w:rFonts w:ascii="Arial" w:cs="Arial" w:eastAsia="Arial" w:hAnsi="Arial"/>
                <w:sz w:val="15"/>
                <w:szCs w:val="15"/>
                <w:color w:val="auto"/>
              </w:rPr>
              <w:t>(711)</w:t>
            </w: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860" w:type="dxa"/>
            <w:vAlign w:val="bottom"/>
            <w:gridSpan w:val="3"/>
            <w:shd w:val="clear" w:color="auto" w:fill="EEEEEE"/>
          </w:tcPr>
          <w:p>
            <w:pPr>
              <w:jc w:val="right"/>
              <w:ind w:right="340"/>
              <w:spacing w:after="0"/>
              <w:rPr>
                <w:sz w:val="20"/>
                <w:szCs w:val="20"/>
                <w:color w:val="auto"/>
              </w:rPr>
            </w:pPr>
            <w:r>
              <w:rPr>
                <w:rFonts w:ascii="Arial" w:cs="Arial" w:eastAsia="Arial" w:hAnsi="Arial"/>
                <w:sz w:val="15"/>
                <w:szCs w:val="15"/>
                <w:color w:val="auto"/>
                <w:w w:val="89"/>
              </w:rPr>
              <w:t>(14,642)</w:t>
            </w:r>
          </w:p>
        </w:tc>
        <w:tc>
          <w:tcPr>
            <w:tcW w:w="0" w:type="dxa"/>
            <w:vAlign w:val="bottom"/>
          </w:tcPr>
          <w:p>
            <w:pPr>
              <w:spacing w:after="0"/>
              <w:rPr>
                <w:sz w:val="1"/>
                <w:szCs w:val="1"/>
                <w:color w:val="auto"/>
              </w:rPr>
            </w:pPr>
          </w:p>
        </w:tc>
      </w:tr>
      <w:tr>
        <w:trPr>
          <w:trHeight w:val="179"/>
        </w:trPr>
        <w:tc>
          <w:tcPr>
            <w:tcW w:w="4880" w:type="dxa"/>
            <w:vAlign w:val="bottom"/>
          </w:tcPr>
          <w:p>
            <w:pPr>
              <w:spacing w:after="0"/>
              <w:rPr>
                <w:sz w:val="20"/>
                <w:szCs w:val="20"/>
                <w:color w:val="auto"/>
              </w:rPr>
            </w:pPr>
            <w:r>
              <w:rPr>
                <w:rFonts w:ascii="Arial" w:cs="Arial" w:eastAsia="Arial" w:hAnsi="Arial"/>
                <w:sz w:val="15"/>
                <w:szCs w:val="15"/>
                <w:color w:val="auto"/>
              </w:rPr>
              <w:t>Net loss related to equity investments</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5"/>
                <w:szCs w:val="15"/>
                <w:color w:val="auto"/>
              </w:rPr>
              <w:t>(619)</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619</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Minority interest expense</w:t>
            </w:r>
          </w:p>
        </w:tc>
        <w:tc>
          <w:tcPr>
            <w:tcW w:w="420" w:type="dxa"/>
            <w:vAlign w:val="bottom"/>
            <w:shd w:val="clear" w:color="auto" w:fill="EEEEEE"/>
          </w:tcPr>
          <w:p>
            <w:pPr>
              <w:spacing w:after="0"/>
              <w:rPr>
                <w:sz w:val="15"/>
                <w:szCs w:val="15"/>
                <w:color w:val="auto"/>
              </w:rPr>
            </w:pPr>
          </w:p>
        </w:tc>
        <w:tc>
          <w:tcPr>
            <w:tcW w:w="840" w:type="dxa"/>
            <w:vAlign w:val="bottom"/>
            <w:gridSpan w:val="3"/>
            <w:shd w:val="clear" w:color="auto" w:fill="EEEEEE"/>
          </w:tcPr>
          <w:p>
            <w:pPr>
              <w:jc w:val="right"/>
              <w:ind w:right="380"/>
              <w:spacing w:after="0"/>
              <w:rPr>
                <w:sz w:val="20"/>
                <w:szCs w:val="20"/>
                <w:color w:val="auto"/>
              </w:rPr>
            </w:pPr>
            <w:r>
              <w:rPr>
                <w:rFonts w:ascii="Arial" w:cs="Arial" w:eastAsia="Arial" w:hAnsi="Arial"/>
                <w:sz w:val="15"/>
                <w:szCs w:val="15"/>
                <w:color w:val="auto"/>
              </w:rPr>
              <w:t>(212)</w:t>
            </w: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5"/>
                <w:szCs w:val="15"/>
                <w:color w:val="auto"/>
              </w:rPr>
              <w:t>(256)</w:t>
            </w: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155</w:t>
            </w:r>
          </w:p>
        </w:tc>
        <w:tc>
          <w:tcPr>
            <w:tcW w:w="6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860" w:type="dxa"/>
            <w:vAlign w:val="bottom"/>
            <w:gridSpan w:val="3"/>
            <w:shd w:val="clear" w:color="auto" w:fill="EEEEEE"/>
          </w:tcPr>
          <w:p>
            <w:pPr>
              <w:jc w:val="right"/>
              <w:ind w:right="340"/>
              <w:spacing w:after="0"/>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90"/>
        </w:trPr>
        <w:tc>
          <w:tcPr>
            <w:tcW w:w="4880" w:type="dxa"/>
            <w:vAlign w:val="bottom"/>
            <w:vMerge w:val="restart"/>
          </w:tcPr>
          <w:p>
            <w:pPr>
              <w:spacing w:after="0"/>
              <w:rPr>
                <w:sz w:val="20"/>
                <w:szCs w:val="20"/>
                <w:color w:val="auto"/>
              </w:rPr>
            </w:pPr>
            <w:r>
              <w:rPr>
                <w:rFonts w:ascii="Arial" w:cs="Arial" w:eastAsia="Arial" w:hAnsi="Arial"/>
                <w:sz w:val="15"/>
                <w:szCs w:val="15"/>
                <w:b w:val="1"/>
                <w:bCs w:val="1"/>
                <w:color w:val="auto"/>
              </w:rPr>
              <w:t>Loss from continuing operations before extraordinary items and</w:t>
            </w:r>
          </w:p>
        </w:tc>
        <w:tc>
          <w:tcPr>
            <w:tcW w:w="4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8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880" w:type="dxa"/>
            <w:vAlign w:val="bottom"/>
          </w:tcPr>
          <w:p>
            <w:pPr>
              <w:ind w:left="120"/>
              <w:spacing w:after="0"/>
              <w:rPr>
                <w:sz w:val="20"/>
                <w:szCs w:val="20"/>
                <w:color w:val="auto"/>
              </w:rPr>
            </w:pPr>
            <w:r>
              <w:rPr>
                <w:rFonts w:ascii="Arial" w:cs="Arial" w:eastAsia="Arial" w:hAnsi="Arial"/>
                <w:sz w:val="15"/>
                <w:szCs w:val="15"/>
                <w:b w:val="1"/>
                <w:bCs w:val="1"/>
                <w:color w:val="auto"/>
              </w:rPr>
              <w:t>cumulative effect of accounting change</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380"/>
              <w:spacing w:after="0"/>
              <w:rPr>
                <w:sz w:val="20"/>
                <w:szCs w:val="20"/>
                <w:color w:val="auto"/>
              </w:rPr>
            </w:pPr>
            <w:r>
              <w:rPr>
                <w:rFonts w:ascii="Arial" w:cs="Arial" w:eastAsia="Arial" w:hAnsi="Arial"/>
                <w:sz w:val="15"/>
                <w:szCs w:val="15"/>
                <w:color w:val="auto"/>
              </w:rPr>
              <w:t>(276)</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5"/>
                <w:szCs w:val="15"/>
                <w:color w:val="auto"/>
                <w:w w:val="89"/>
              </w:rPr>
              <w:t>(14,742)</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63</w:t>
            </w:r>
          </w:p>
        </w:tc>
        <w:tc>
          <w:tcPr>
            <w:tcW w:w="640" w:type="dxa"/>
            <w:vAlign w:val="bottom"/>
          </w:tcPr>
          <w:p>
            <w:pPr>
              <w:spacing w:after="0"/>
              <w:rPr>
                <w:sz w:val="16"/>
                <w:szCs w:val="16"/>
                <w:color w:val="auto"/>
              </w:rPr>
            </w:pPr>
          </w:p>
        </w:tc>
        <w:tc>
          <w:tcPr>
            <w:tcW w:w="800" w:type="dxa"/>
            <w:vAlign w:val="bottom"/>
            <w:gridSpan w:val="2"/>
          </w:tcPr>
          <w:p>
            <w:pPr>
              <w:ind w:left="740"/>
              <w:spacing w:after="0"/>
              <w:rPr>
                <w:sz w:val="20"/>
                <w:szCs w:val="20"/>
                <w:color w:val="auto"/>
              </w:rPr>
            </w:pPr>
            <w:r>
              <w:rPr>
                <w:rFonts w:ascii="Arial" w:cs="Arial" w:eastAsia="Arial" w:hAnsi="Arial"/>
                <w:sz w:val="10"/>
                <w:szCs w:val="10"/>
                <w:color w:val="auto"/>
                <w:w w:val="71"/>
              </w:rPr>
              <w:t>$</w:t>
            </w:r>
          </w:p>
        </w:tc>
        <w:tc>
          <w:tcPr>
            <w:tcW w:w="860" w:type="dxa"/>
            <w:vAlign w:val="bottom"/>
            <w:gridSpan w:val="3"/>
          </w:tcPr>
          <w:p>
            <w:pPr>
              <w:jc w:val="right"/>
              <w:ind w:right="340"/>
              <w:spacing w:after="0"/>
              <w:rPr>
                <w:sz w:val="20"/>
                <w:szCs w:val="20"/>
                <w:color w:val="auto"/>
              </w:rPr>
            </w:pPr>
            <w:r>
              <w:rPr>
                <w:rFonts w:ascii="Arial" w:cs="Arial" w:eastAsia="Arial" w:hAnsi="Arial"/>
                <w:sz w:val="15"/>
                <w:szCs w:val="15"/>
                <w:color w:val="auto"/>
                <w:w w:val="89"/>
              </w:rPr>
              <w:t>(14,955)</w:t>
            </w: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spacing w:after="0"/>
              <w:rPr>
                <w:sz w:val="20"/>
                <w:szCs w:val="20"/>
                <w:color w:val="auto"/>
              </w:rPr>
            </w:pPr>
            <w:r>
              <w:rPr>
                <w:rFonts w:ascii="Arial" w:cs="Arial" w:eastAsia="Arial" w:hAnsi="Arial"/>
                <w:sz w:val="15"/>
                <w:szCs w:val="15"/>
                <w:color w:val="auto"/>
              </w:rPr>
              <w:t>Loss per share from continuing operations — basic</w:t>
            </w:r>
          </w:p>
        </w:tc>
        <w:tc>
          <w:tcPr>
            <w:tcW w:w="420" w:type="dxa"/>
            <w:vAlign w:val="bottom"/>
            <w:shd w:val="clear" w:color="auto" w:fill="EEEEEE"/>
          </w:tcPr>
          <w:p>
            <w:pPr>
              <w:ind w:left="340"/>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EEEEEE"/>
          </w:tcPr>
          <w:p>
            <w:pPr>
              <w:jc w:val="right"/>
              <w:ind w:right="380"/>
              <w:spacing w:after="0"/>
              <w:rPr>
                <w:sz w:val="20"/>
                <w:szCs w:val="20"/>
                <w:color w:val="auto"/>
              </w:rPr>
            </w:pPr>
            <w:r>
              <w:rPr>
                <w:rFonts w:ascii="Arial" w:cs="Arial" w:eastAsia="Arial" w:hAnsi="Arial"/>
                <w:sz w:val="15"/>
                <w:szCs w:val="15"/>
                <w:color w:val="auto"/>
              </w:rPr>
              <w:t>(0.25)</w:t>
            </w: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800" w:type="dxa"/>
            <w:vAlign w:val="bottom"/>
            <w:gridSpan w:val="2"/>
            <w:shd w:val="clear" w:color="auto" w:fill="EEEEEE"/>
          </w:tcPr>
          <w:p>
            <w:pPr>
              <w:ind w:left="740"/>
              <w:spacing w:after="0"/>
              <w:rPr>
                <w:sz w:val="20"/>
                <w:szCs w:val="20"/>
                <w:color w:val="auto"/>
              </w:rPr>
            </w:pPr>
            <w:r>
              <w:rPr>
                <w:rFonts w:ascii="Arial" w:cs="Arial" w:eastAsia="Arial" w:hAnsi="Arial"/>
                <w:sz w:val="10"/>
                <w:szCs w:val="10"/>
                <w:color w:val="auto"/>
                <w:w w:val="71"/>
              </w:rPr>
              <w:t>$</w:t>
            </w:r>
          </w:p>
        </w:tc>
        <w:tc>
          <w:tcPr>
            <w:tcW w:w="860" w:type="dxa"/>
            <w:vAlign w:val="bottom"/>
            <w:gridSpan w:val="3"/>
            <w:shd w:val="clear" w:color="auto" w:fill="EEEEEE"/>
          </w:tcPr>
          <w:p>
            <w:pPr>
              <w:jc w:val="right"/>
              <w:ind w:right="340"/>
              <w:spacing w:after="0"/>
              <w:rPr>
                <w:sz w:val="20"/>
                <w:szCs w:val="20"/>
                <w:color w:val="auto"/>
              </w:rPr>
            </w:pPr>
            <w:r>
              <w:rPr>
                <w:rFonts w:ascii="Arial" w:cs="Arial" w:eastAsia="Arial" w:hAnsi="Arial"/>
                <w:sz w:val="15"/>
                <w:szCs w:val="15"/>
                <w:color w:val="auto"/>
              </w:rPr>
              <w:t>(6.51)</w:t>
            </w:r>
          </w:p>
        </w:tc>
        <w:tc>
          <w:tcPr>
            <w:tcW w:w="0" w:type="dxa"/>
            <w:vAlign w:val="bottom"/>
          </w:tcPr>
          <w:p>
            <w:pPr>
              <w:spacing w:after="0"/>
              <w:rPr>
                <w:sz w:val="1"/>
                <w:szCs w:val="1"/>
                <w:color w:val="auto"/>
              </w:rPr>
            </w:pPr>
          </w:p>
        </w:tc>
      </w:tr>
      <w:tr>
        <w:trPr>
          <w:trHeight w:val="179"/>
        </w:trPr>
        <w:tc>
          <w:tcPr>
            <w:tcW w:w="4880" w:type="dxa"/>
            <w:vAlign w:val="bottom"/>
          </w:tcPr>
          <w:p>
            <w:pPr>
              <w:spacing w:after="0"/>
              <w:rPr>
                <w:sz w:val="20"/>
                <w:szCs w:val="20"/>
                <w:color w:val="auto"/>
              </w:rPr>
            </w:pPr>
            <w:r>
              <w:rPr>
                <w:rFonts w:ascii="Arial" w:cs="Arial" w:eastAsia="Arial" w:hAnsi="Arial"/>
                <w:sz w:val="15"/>
                <w:szCs w:val="15"/>
                <w:color w:val="auto"/>
              </w:rPr>
              <w:t>Loss per share from continuing operations — assuming dilution</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380"/>
              <w:spacing w:after="0"/>
              <w:rPr>
                <w:sz w:val="20"/>
                <w:szCs w:val="20"/>
                <w:color w:val="auto"/>
              </w:rPr>
            </w:pPr>
            <w:r>
              <w:rPr>
                <w:rFonts w:ascii="Arial" w:cs="Arial" w:eastAsia="Arial" w:hAnsi="Arial"/>
                <w:sz w:val="15"/>
                <w:szCs w:val="15"/>
                <w:color w:val="auto"/>
              </w:rPr>
              <w:t>(0.25)</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gridSpan w:val="2"/>
          </w:tcPr>
          <w:p>
            <w:pPr>
              <w:ind w:left="740"/>
              <w:spacing w:after="0"/>
              <w:rPr>
                <w:sz w:val="20"/>
                <w:szCs w:val="20"/>
                <w:color w:val="auto"/>
              </w:rPr>
            </w:pPr>
            <w:r>
              <w:rPr>
                <w:rFonts w:ascii="Arial" w:cs="Arial" w:eastAsia="Arial" w:hAnsi="Arial"/>
                <w:sz w:val="10"/>
                <w:szCs w:val="10"/>
                <w:color w:val="auto"/>
                <w:w w:val="71"/>
              </w:rPr>
              <w:t>$</w:t>
            </w:r>
          </w:p>
        </w:tc>
        <w:tc>
          <w:tcPr>
            <w:tcW w:w="860" w:type="dxa"/>
            <w:vAlign w:val="bottom"/>
            <w:gridSpan w:val="3"/>
          </w:tcPr>
          <w:p>
            <w:pPr>
              <w:jc w:val="right"/>
              <w:ind w:right="340"/>
              <w:spacing w:after="0"/>
              <w:rPr>
                <w:sz w:val="20"/>
                <w:szCs w:val="20"/>
                <w:color w:val="auto"/>
              </w:rPr>
            </w:pPr>
            <w:r>
              <w:rPr>
                <w:rFonts w:ascii="Arial" w:cs="Arial" w:eastAsia="Arial" w:hAnsi="Arial"/>
                <w:sz w:val="15"/>
                <w:szCs w:val="15"/>
                <w:color w:val="auto"/>
              </w:rPr>
              <w:t>(6.51)</w:t>
            </w:r>
          </w:p>
        </w:tc>
        <w:tc>
          <w:tcPr>
            <w:tcW w:w="0" w:type="dxa"/>
            <w:vAlign w:val="bottom"/>
          </w:tcPr>
          <w:p>
            <w:pPr>
              <w:spacing w:after="0"/>
              <w:rPr>
                <w:sz w:val="1"/>
                <w:szCs w:val="1"/>
                <w:color w:val="auto"/>
              </w:rPr>
            </w:pPr>
          </w:p>
        </w:tc>
      </w:tr>
      <w:tr>
        <w:trPr>
          <w:trHeight w:val="179"/>
        </w:trPr>
        <w:tc>
          <w:tcPr>
            <w:tcW w:w="4880" w:type="dxa"/>
            <w:vAlign w:val="bottom"/>
            <w:shd w:val="clear" w:color="auto" w:fill="EEEEEE"/>
          </w:tcPr>
          <w:p>
            <w:pPr>
              <w:spacing w:after="0"/>
              <w:rPr>
                <w:sz w:val="20"/>
                <w:szCs w:val="20"/>
                <w:color w:val="auto"/>
              </w:rPr>
            </w:pPr>
            <w:r>
              <w:rPr>
                <w:rFonts w:ascii="Arial" w:cs="Arial" w:eastAsia="Arial" w:hAnsi="Arial"/>
                <w:sz w:val="15"/>
                <w:szCs w:val="15"/>
                <w:color w:val="auto"/>
              </w:rPr>
              <w:t>Weighted average number of common shares outstanding — basic</w:t>
            </w:r>
          </w:p>
        </w:tc>
        <w:tc>
          <w:tcPr>
            <w:tcW w:w="420" w:type="dxa"/>
            <w:vAlign w:val="bottom"/>
            <w:shd w:val="clear" w:color="auto" w:fill="EEEEEE"/>
          </w:tcPr>
          <w:p>
            <w:pPr>
              <w:spacing w:after="0"/>
              <w:rPr>
                <w:sz w:val="15"/>
                <w:szCs w:val="15"/>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1,110</w:t>
            </w:r>
          </w:p>
        </w:tc>
        <w:tc>
          <w:tcPr>
            <w:tcW w:w="4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5"/>
              </w:rPr>
              <w:t>1,189</w:t>
            </w:r>
          </w:p>
        </w:tc>
        <w:tc>
          <w:tcPr>
            <w:tcW w:w="6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2,299</w:t>
            </w:r>
          </w:p>
        </w:tc>
        <w:tc>
          <w:tcPr>
            <w:tcW w:w="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880" w:type="dxa"/>
            <w:vAlign w:val="bottom"/>
          </w:tcPr>
          <w:p>
            <w:pPr>
              <w:spacing w:after="0"/>
              <w:rPr>
                <w:sz w:val="20"/>
                <w:szCs w:val="20"/>
                <w:color w:val="auto"/>
              </w:rPr>
            </w:pPr>
            <w:r>
              <w:rPr>
                <w:rFonts w:ascii="Arial" w:cs="Arial" w:eastAsia="Arial" w:hAnsi="Arial"/>
                <w:sz w:val="15"/>
                <w:szCs w:val="15"/>
                <w:color w:val="auto"/>
              </w:rPr>
              <w:t>Weighted average number of common shares outstanding — assuming</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80" w:type="dxa"/>
            <w:vAlign w:val="bottom"/>
          </w:tcPr>
          <w:p>
            <w:pPr>
              <w:ind w:left="120"/>
              <w:spacing w:after="0"/>
              <w:rPr>
                <w:sz w:val="20"/>
                <w:szCs w:val="20"/>
                <w:color w:val="auto"/>
              </w:rPr>
            </w:pPr>
            <w:r>
              <w:rPr>
                <w:rFonts w:ascii="Arial" w:cs="Arial" w:eastAsia="Arial" w:hAnsi="Arial"/>
                <w:sz w:val="15"/>
                <w:szCs w:val="15"/>
                <w:color w:val="auto"/>
              </w:rPr>
              <w:t>dilution</w:t>
            </w:r>
          </w:p>
        </w:tc>
        <w:tc>
          <w:tcPr>
            <w:tcW w:w="42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1,110</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1,189</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2,299</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-656590</wp:posOffset>
            </wp:positionV>
            <wp:extent cx="1270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-656590</wp:posOffset>
            </wp:positionV>
            <wp:extent cx="1270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-656590</wp:posOffset>
            </wp:positionV>
            <wp:extent cx="1270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-656590</wp:posOffset>
            </wp:positionV>
            <wp:extent cx="1270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-656590</wp:posOffset>
            </wp:positionV>
            <wp:extent cx="1270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-656590</wp:posOffset>
            </wp:positionV>
            <wp:extent cx="1270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7016750</wp:posOffset>
            </wp:positionH>
            <wp:positionV relativeFrom="paragraph">
              <wp:posOffset>-656590</wp:posOffset>
            </wp:positionV>
            <wp:extent cx="1270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6732270</wp:posOffset>
            </wp:positionH>
            <wp:positionV relativeFrom="paragraph">
              <wp:posOffset>-656590</wp:posOffset>
            </wp:positionV>
            <wp:extent cx="1270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Unaudited Pro Forma Combined Condensed Statement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COMCAST CORPORATION</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NOTES TO UNAUDITED PRO FORMA COMBINED CONDENSED</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STATEMENT OF OPERATIONS</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(Dollars in millions, except per share data)</w:t>
      </w:r>
    </w:p>
    <w:p>
      <w:pPr>
        <w:spacing w:after="0" w:line="180" w:lineRule="exact"/>
        <w:rPr>
          <w:sz w:val="20"/>
          <w:szCs w:val="20"/>
          <w:color w:val="auto"/>
        </w:rPr>
      </w:pPr>
    </w:p>
    <w:p>
      <w:pPr>
        <w:ind w:left="460" w:right="60" w:hanging="450"/>
        <w:spacing w:after="0" w:line="317" w:lineRule="auto"/>
        <w:tabs>
          <w:tab w:leader="none" w:pos="4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Comcast results include the results of Broadband for the period from November 19, 2002 through December 31, 2002. Historical Broadband results represent Broadband’s results for the period from January 1, 2002 through November 18, 2002. Both the Comcast results and the Historical Broadband results exclude the cable systems serving approximately</w:t>
      </w:r>
    </w:p>
    <w:p>
      <w:pPr>
        <w:ind w:left="460"/>
        <w:spacing w:after="0"/>
        <w:rPr>
          <w:rFonts w:ascii="Arial" w:cs="Arial" w:eastAsia="Arial" w:hAnsi="Arial"/>
          <w:sz w:val="12"/>
          <w:szCs w:val="12"/>
          <w:color w:val="auto"/>
        </w:rPr>
      </w:pPr>
      <w:r>
        <w:rPr>
          <w:rFonts w:ascii="Arial" w:cs="Arial" w:eastAsia="Arial" w:hAnsi="Arial"/>
          <w:sz w:val="15"/>
          <w:szCs w:val="15"/>
          <w:color w:val="auto"/>
        </w:rPr>
        <w:t>317,000 subscribers that have been sold to Bresnan Broadband Holdings and treated as discontinued operations as of the acquisition date.</w:t>
      </w:r>
    </w:p>
    <w:p>
      <w:pPr>
        <w:spacing w:after="0" w:line="202" w:lineRule="exact"/>
        <w:rPr>
          <w:rFonts w:ascii="Arial" w:cs="Arial" w:eastAsia="Arial" w:hAnsi="Arial"/>
          <w:sz w:val="12"/>
          <w:szCs w:val="12"/>
          <w:color w:val="auto"/>
        </w:rPr>
      </w:pPr>
    </w:p>
    <w:p>
      <w:pPr>
        <w:ind w:left="460" w:hanging="450"/>
        <w:spacing w:after="0" w:line="353" w:lineRule="auto"/>
        <w:tabs>
          <w:tab w:leader="none" w:pos="4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Adjustments reflect the elimination of intercompany transactions between Comcast Holdings and Broadband, the change in depreciation and amortization expense as a result of recording the related balance sheet amounts at their fair value, the change in interest expense to reflect the effective interest rates for the new borrowings and the fair value of assumed debt, the reclassification of equity in net losses of affiliates to conform to our presentation, the related tax effects of the above adjustments, and the shares issued in the transaction.</w:t>
      </w:r>
    </w:p>
    <w:p>
      <w:pPr>
        <w:spacing w:after="0" w:line="131" w:lineRule="exact"/>
        <w:rPr>
          <w:rFonts w:ascii="Arial" w:cs="Arial" w:eastAsia="Arial" w:hAnsi="Arial"/>
          <w:sz w:val="12"/>
          <w:szCs w:val="12"/>
          <w:color w:val="auto"/>
        </w:rPr>
      </w:pPr>
    </w:p>
    <w:p>
      <w:pPr>
        <w:ind w:left="460" w:hanging="450"/>
        <w:spacing w:after="0" w:line="258"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Broadband historical amounts include a $16.5 billion charge incurred in second quarter of 2002 related to the impairment of franchise rights and goodwill. This charge was directly related to the transaction and was based upon the value of Comcast Holdings’ shares to be exchanged in the transaction as compared to the net book value of Broadband at the time of the impairment test.</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20"/>
          </w:cols>
          <w:pgMar w:left="220" w:top="372" w:right="35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THE SENIOR DEBT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SUBORDINATED DEBT SECURITIES AND CABLE GUARANTEES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debt securities, consisting of notes, debentures or other evidences of indebtedness, may be issued from time to time in one or more series:</w:t>
      </w:r>
    </w:p>
    <w:p>
      <w:pPr>
        <w:spacing w:after="0" w:line="186" w:lineRule="exact"/>
        <w:rPr>
          <w:sz w:val="20"/>
          <w:szCs w:val="20"/>
          <w:color w:val="auto"/>
        </w:rPr>
      </w:pPr>
    </w:p>
    <w:p>
      <w:pPr>
        <w:ind w:left="820" w:right="120" w:hanging="463"/>
        <w:spacing w:after="0" w:line="268" w:lineRule="auto"/>
        <w:tabs>
          <w:tab w:leader="none" w:pos="8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 the case of senior debt securities, under a senior indenture dated January 7, 2003, as amended, entered into among us, the cable guarantors and The Bank of New York, as trustee; and</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the case of subordinated debt securities, under a subordinated indenture to be entered into among us, the cable guarantors and The Bank of New York, as trustee.</w:t>
      </w:r>
    </w:p>
    <w:p>
      <w:pPr>
        <w:spacing w:after="0" w:line="24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senior indenture, as amended, is included, and the subordinated indenture will be substantially in the form included, as exhibits to the registration statement of which this prospectus is a</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part.</w:t>
      </w:r>
    </w:p>
    <w:p>
      <w:pPr>
        <w:spacing w:after="0" w:line="202" w:lineRule="exact"/>
        <w:rPr>
          <w:sz w:val="20"/>
          <w:szCs w:val="20"/>
          <w:color w:val="auto"/>
        </w:rPr>
      </w:pPr>
    </w:p>
    <w:p>
      <w:pPr>
        <w:ind w:firstLine="269"/>
        <w:spacing w:after="0" w:line="286" w:lineRule="auto"/>
        <w:rPr>
          <w:sz w:val="20"/>
          <w:szCs w:val="20"/>
          <w:color w:val="auto"/>
        </w:rPr>
      </w:pPr>
      <w:r>
        <w:rPr>
          <w:rFonts w:ascii="Arial" w:cs="Arial" w:eastAsia="Arial" w:hAnsi="Arial"/>
          <w:sz w:val="14"/>
          <w:szCs w:val="14"/>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captions “Description of Warrants,” “Description of Common Stock,” “Description of Purchase Contracts” and “Description of Units,” the terms “we,” “us” and “our” mean Comcast Corporation only, and not subsidiaries of Comcast Corporation.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213" w:lineRule="exact"/>
        <w:rPr>
          <w:sz w:val="20"/>
          <w:szCs w:val="20"/>
          <w:color w:val="auto"/>
        </w:rPr>
      </w:pPr>
    </w:p>
    <w:p>
      <w:pPr>
        <w:ind w:right="160" w:firstLine="269"/>
        <w:spacing w:after="0" w:line="255" w:lineRule="auto"/>
        <w:rPr>
          <w:sz w:val="20"/>
          <w:szCs w:val="20"/>
          <w:color w:val="auto"/>
        </w:rPr>
      </w:pPr>
      <w:r>
        <w:rPr>
          <w:rFonts w:ascii="Arial" w:cs="Arial" w:eastAsia="Arial" w:hAnsi="Arial"/>
          <w:sz w:val="15"/>
          <w:szCs w:val="15"/>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 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w:t>
      </w:r>
    </w:p>
    <w:p>
      <w:pPr>
        <w:spacing w:after="0" w:line="186" w:lineRule="exact"/>
        <w:rPr>
          <w:sz w:val="20"/>
          <w:szCs w:val="20"/>
          <w:color w:val="auto"/>
        </w:rPr>
      </w:pPr>
    </w:p>
    <w:p>
      <w:pPr>
        <w:ind w:right="200" w:firstLine="269"/>
        <w:spacing w:after="0" w:line="328" w:lineRule="auto"/>
        <w:rPr>
          <w:sz w:val="20"/>
          <w:szCs w:val="20"/>
          <w:color w:val="auto"/>
        </w:rPr>
      </w:pPr>
      <w:r>
        <w:rPr>
          <w:rFonts w:ascii="Arial" w:cs="Arial" w:eastAsia="Arial" w:hAnsi="Arial"/>
          <w:sz w:val="12"/>
          <w:szCs w:val="12"/>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distributing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You should look in the applicable prospectus supplement for the following terms of the debt securities being offered:</w:t>
      </w:r>
    </w:p>
    <w:p>
      <w:pPr>
        <w:spacing w:after="0" w:line="186" w:lineRule="exact"/>
        <w:rPr>
          <w:sz w:val="20"/>
          <w:szCs w:val="20"/>
          <w:color w:val="auto"/>
        </w:rPr>
      </w:pPr>
    </w:p>
    <w:p>
      <w:pPr>
        <w:ind w:left="820" w:hanging="463"/>
        <w:spacing w:after="0"/>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designation of the debt securities;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aggregate principal amount of the debt securities;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percentage of their principal amount (i.e. price) at which the debt securities will be issued;</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date or dates on which the debt securities will mature and the right, if any, to extend such date or dates;</w:t>
      </w:r>
    </w:p>
    <w:p>
      <w:pPr>
        <w:spacing w:after="0" w:line="231" w:lineRule="exact"/>
        <w:rPr>
          <w:rFonts w:ascii="Arial" w:cs="Arial" w:eastAsia="Arial" w:hAnsi="Arial"/>
          <w:sz w:val="15"/>
          <w:szCs w:val="15"/>
          <w:color w:val="auto"/>
        </w:rPr>
      </w:pPr>
    </w:p>
    <w:p>
      <w:pPr>
        <w:ind w:left="5660" w:right="3280" w:hanging="5303"/>
        <w:spacing w:after="0" w:line="549" w:lineRule="auto"/>
        <w:tabs>
          <w:tab w:leader="none" w:pos="816"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rate or rates, if any, per year, at which the debt securities will bear interest, or the method of determining such rate or rates;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27519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820" w:hanging="463"/>
        <w:spacing w:after="0" w:line="268" w:lineRule="auto"/>
        <w:tabs>
          <w:tab w:leader="none" w:pos="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right, if any, to extend the interest payment periods and the duration of that extension;</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provisions for a sinking fund purchase or other analogous fund, if any;</w:t>
      </w:r>
    </w:p>
    <w:p>
      <w:pPr>
        <w:spacing w:after="0" w:line="231" w:lineRule="exact"/>
        <w:rPr>
          <w:rFonts w:ascii="Arial" w:cs="Arial" w:eastAsia="Arial" w:hAnsi="Arial"/>
          <w:sz w:val="15"/>
          <w:szCs w:val="15"/>
          <w:color w:val="auto"/>
        </w:rPr>
      </w:pPr>
    </w:p>
    <w:p>
      <w:pPr>
        <w:ind w:left="820" w:right="320" w:hanging="463"/>
        <w:spacing w:after="0" w:line="268" w:lineRule="auto"/>
        <w:tabs>
          <w:tab w:leader="none" w:pos="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period or periods, if any, within which, the price or prices of which, and the terms and conditions upon which the debt securities may be redeemed, in whole or in part, at our option or at your option;</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form of the debt securities;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any provisions for payment of additional amounts for taxes and any provision for redemption, if we must pay such additional amounts in respect of any debt security;</w:t>
      </w:r>
    </w:p>
    <w:p>
      <w:pPr>
        <w:spacing w:after="0" w:line="242" w:lineRule="exact"/>
        <w:rPr>
          <w:rFonts w:ascii="Arial" w:cs="Arial" w:eastAsia="Arial" w:hAnsi="Arial"/>
          <w:sz w:val="14"/>
          <w:szCs w:val="14"/>
          <w:color w:val="auto"/>
        </w:rPr>
      </w:pPr>
    </w:p>
    <w:p>
      <w:pPr>
        <w:ind w:left="820" w:right="200" w:hanging="463"/>
        <w:spacing w:after="0" w:line="268" w:lineRule="auto"/>
        <w:tabs>
          <w:tab w:leader="none" w:pos="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terms and conditions, if any, upon which we may have to repay the debt securities early at your option and the price or prices in the currency or currency unit in which the debt securities are payable;</w:t>
      </w:r>
    </w:p>
    <w:p>
      <w:pPr>
        <w:spacing w:after="0" w:line="175" w:lineRule="exact"/>
        <w:rPr>
          <w:rFonts w:ascii="Arial" w:cs="Arial" w:eastAsia="Arial" w:hAnsi="Arial"/>
          <w:sz w:val="15"/>
          <w:szCs w:val="15"/>
          <w:color w:val="auto"/>
        </w:rPr>
      </w:pPr>
    </w:p>
    <w:p>
      <w:pPr>
        <w:ind w:left="820" w:right="100" w:hanging="463"/>
        <w:spacing w:after="0" w:line="268" w:lineRule="auto"/>
        <w:tabs>
          <w:tab w:leader="none" w:pos="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currency, currencies or currency units for which you may purchase the debt securities and the currency, currencies or currency units in which principal and interest, if any, on the debt securities may be payable;</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terms and conditions, if any, pursuant to which the debt securities may be converted or exchanged for the cash value of other securities issued by us or by a third party; and</w:t>
      </w:r>
    </w:p>
    <w:p>
      <w:pPr>
        <w:spacing w:after="0" w:line="265" w:lineRule="exact"/>
        <w:rPr>
          <w:rFonts w:ascii="Arial" w:cs="Arial" w:eastAsia="Arial" w:hAnsi="Arial"/>
          <w:sz w:val="12"/>
          <w:szCs w:val="12"/>
          <w:color w:val="auto"/>
        </w:rPr>
      </w:pPr>
    </w:p>
    <w:p>
      <w:pPr>
        <w:ind w:left="820" w:hanging="463"/>
        <w:spacing w:after="0" w:line="268" w:lineRule="auto"/>
        <w:tabs>
          <w:tab w:leader="none" w:pos="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75" w:lineRule="exact"/>
        <w:rPr>
          <w:sz w:val="20"/>
          <w:szCs w:val="20"/>
          <w:color w:val="auto"/>
        </w:rPr>
      </w:pPr>
    </w:p>
    <w:p>
      <w:pPr>
        <w:jc w:val="both"/>
        <w:ind w:right="100" w:firstLine="269"/>
        <w:spacing w:after="0" w:line="395" w:lineRule="auto"/>
        <w:rPr>
          <w:sz w:val="20"/>
          <w:szCs w:val="20"/>
          <w:color w:val="auto"/>
        </w:rPr>
      </w:pPr>
      <w:r>
        <w:rPr>
          <w:rFonts w:ascii="Arial" w:cs="Arial" w:eastAsia="Arial" w:hAnsi="Arial"/>
          <w:sz w:val="12"/>
          <w:szCs w:val="12"/>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06" w:lineRule="exact"/>
        <w:rPr>
          <w:sz w:val="20"/>
          <w:szCs w:val="20"/>
          <w:color w:val="auto"/>
        </w:rPr>
      </w:pPr>
    </w:p>
    <w:p>
      <w:pPr>
        <w:jc w:val="both"/>
        <w:ind w:right="100" w:firstLine="269"/>
        <w:spacing w:after="0" w:line="353" w:lineRule="auto"/>
        <w:rPr>
          <w:sz w:val="20"/>
          <w:szCs w:val="20"/>
          <w:color w:val="auto"/>
        </w:rPr>
      </w:pPr>
      <w:r>
        <w:rPr>
          <w:rFonts w:ascii="Arial" w:cs="Arial" w:eastAsia="Arial" w:hAnsi="Arial"/>
          <w:sz w:val="12"/>
          <w:szCs w:val="12"/>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31" w:lineRule="exact"/>
        <w:rPr>
          <w:sz w:val="20"/>
          <w:szCs w:val="20"/>
          <w:color w:val="auto"/>
        </w:rPr>
      </w:pPr>
    </w:p>
    <w:p>
      <w:pPr>
        <w:ind w:right="40" w:firstLine="269"/>
        <w:spacing w:after="0" w:line="332" w:lineRule="auto"/>
        <w:rPr>
          <w:sz w:val="20"/>
          <w:szCs w:val="20"/>
          <w:color w:val="auto"/>
        </w:rPr>
      </w:pPr>
      <w:r>
        <w:rPr>
          <w:rFonts w:ascii="Arial" w:cs="Arial" w:eastAsia="Arial" w:hAnsi="Arial"/>
          <w:sz w:val="12"/>
          <w:szCs w:val="12"/>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Terms of the Senior Debt Securities</w:t>
      </w:r>
    </w:p>
    <w:p>
      <w:pPr>
        <w:spacing w:after="0" w:line="39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Cable Guarantees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Our obligations under the senior debt securities, including the payment of principal, premium, if any, and interest, will be fully and unconditionally guaranteed by each of the cable guarantors.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The cable guarantees will rank equally with all other general unsecured and unsubordinated obligations of the cable guarantors.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cable guarantees will not contain any restrictions on the ability of any cable guarantor to:</w:t>
      </w:r>
    </w:p>
    <w:p>
      <w:pPr>
        <w:spacing w:after="0" w:line="186" w:lineRule="exact"/>
        <w:rPr>
          <w:sz w:val="20"/>
          <w:szCs w:val="20"/>
          <w:color w:val="auto"/>
        </w:rPr>
      </w:pPr>
    </w:p>
    <w:p>
      <w:pPr>
        <w:ind w:left="820" w:hanging="463"/>
        <w:spacing w:after="0"/>
        <w:tabs>
          <w:tab w:leader="none" w:pos="8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pay dividends or distributions on, or redeem, purchase, acquire, or make a liquidation payment with respect to, any of that cable guarantor’s capital stock or</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make any payment of principal, interest or premium, if any, on or repay, repurchase or redeem any debt securities of that cable guarantor.</w:t>
      </w: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Certain Covenants</w:t>
      </w:r>
    </w:p>
    <w:p>
      <w:pPr>
        <w:spacing w:after="0" w:line="209" w:lineRule="exact"/>
        <w:rPr>
          <w:sz w:val="20"/>
          <w:szCs w:val="20"/>
          <w:color w:val="auto"/>
        </w:rPr>
      </w:pPr>
    </w:p>
    <w:p>
      <w:pPr>
        <w:ind w:right="120" w:firstLine="269"/>
        <w:spacing w:after="0" w:line="304" w:lineRule="auto"/>
        <w:rPr>
          <w:sz w:val="20"/>
          <w:szCs w:val="20"/>
          <w:color w:val="auto"/>
        </w:rPr>
      </w:pPr>
      <w:r>
        <w:rPr>
          <w:rFonts w:ascii="Arial" w:cs="Arial" w:eastAsia="Arial" w:hAnsi="Arial"/>
          <w:sz w:val="14"/>
          <w:szCs w:val="14"/>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53" w:lineRule="exact"/>
        <w:rPr>
          <w:sz w:val="20"/>
          <w:szCs w:val="20"/>
          <w:color w:val="auto"/>
        </w:rPr>
      </w:pPr>
    </w:p>
    <w:p>
      <w:pPr>
        <w:ind w:right="240" w:firstLine="269"/>
        <w:spacing w:after="0" w:line="304" w:lineRule="auto"/>
        <w:rPr>
          <w:sz w:val="20"/>
          <w:szCs w:val="20"/>
          <w:color w:val="auto"/>
        </w:rPr>
      </w:pPr>
      <w:r>
        <w:rPr>
          <w:rFonts w:ascii="Arial" w:cs="Arial" w:eastAsia="Arial" w:hAnsi="Arial"/>
          <w:sz w:val="14"/>
          <w:szCs w:val="14"/>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53" w:lineRule="exact"/>
        <w:rPr>
          <w:sz w:val="20"/>
          <w:szCs w:val="20"/>
          <w:color w:val="auto"/>
        </w:rPr>
      </w:pPr>
    </w:p>
    <w:p>
      <w:pPr>
        <w:ind w:firstLine="269"/>
        <w:spacing w:after="0" w:line="353" w:lineRule="auto"/>
        <w:rPr>
          <w:sz w:val="20"/>
          <w:szCs w:val="20"/>
          <w:color w:val="auto"/>
        </w:rPr>
      </w:pPr>
      <w:r>
        <w:rPr>
          <w:rFonts w:ascii="Arial" w:cs="Arial" w:eastAsia="Arial" w:hAnsi="Arial"/>
          <w:sz w:val="12"/>
          <w:szCs w:val="12"/>
          <w:i w:val="1"/>
          <w:iCs w:val="1"/>
          <w:color w:val="auto"/>
        </w:rPr>
        <w:t xml:space="preserve">Limitation on Liens Securing Indebtedness. </w:t>
      </w:r>
      <w:r>
        <w:rPr>
          <w:rFonts w:ascii="Arial" w:cs="Arial" w:eastAsia="Arial" w:hAnsi="Arial"/>
          <w:sz w:val="12"/>
          <w:szCs w:val="12"/>
          <w:color w:val="auto"/>
        </w:rPr>
        <w:t>Neither we nor any cable guarantor shall create, incur or assume any Lien (other than any Permitted Lien) on such person’s assets, including the</w:t>
      </w:r>
      <w:r>
        <w:rPr>
          <w:rFonts w:ascii="Arial" w:cs="Arial" w:eastAsia="Arial" w:hAnsi="Arial"/>
          <w:sz w:val="12"/>
          <w:szCs w:val="12"/>
          <w:i w:val="1"/>
          <w:iCs w:val="1"/>
          <w:color w:val="auto"/>
        </w:rPr>
        <w:t xml:space="preserve"> </w:t>
      </w:r>
      <w:r>
        <w:rPr>
          <w:rFonts w:ascii="Arial" w:cs="Arial" w:eastAsia="Arial" w:hAnsi="Arial"/>
          <w:sz w:val="12"/>
          <w:szCs w:val="12"/>
          <w:color w:val="auto"/>
        </w:rPr>
        <w:t>Capital Stock of such person’s wholly-owned subsidiaries’ to secure the payment of our Indebtedness or that of any cable guarantor, unless we secure the outstanding senior debt securities or cable guarantee, as the case may be, equally and ratably with (or prior to) all Indebtedness secured by such Lien, so long as such Indebtedness shall be so secured.</w:t>
      </w:r>
    </w:p>
    <w:p>
      <w:pPr>
        <w:spacing w:after="0" w:line="131" w:lineRule="exact"/>
        <w:rPr>
          <w:sz w:val="20"/>
          <w:szCs w:val="20"/>
          <w:color w:val="auto"/>
        </w:rPr>
      </w:pPr>
    </w:p>
    <w:p>
      <w:pPr>
        <w:ind w:right="160" w:firstLine="269"/>
        <w:spacing w:after="0" w:line="268" w:lineRule="auto"/>
        <w:rPr>
          <w:sz w:val="20"/>
          <w:szCs w:val="20"/>
          <w:color w:val="auto"/>
        </w:rPr>
      </w:pPr>
      <w:r>
        <w:rPr>
          <w:rFonts w:ascii="Arial" w:cs="Arial" w:eastAsia="Arial" w:hAnsi="Arial"/>
          <w:sz w:val="15"/>
          <w:szCs w:val="15"/>
          <w:i w:val="1"/>
          <w:iCs w:val="1"/>
          <w:color w:val="auto"/>
        </w:rPr>
        <w:t xml:space="preserve">Limitation on Sale and Leaseback Transactions. </w:t>
      </w:r>
      <w:r>
        <w:rPr>
          <w:rFonts w:ascii="Arial" w:cs="Arial" w:eastAsia="Arial" w:hAnsi="Arial"/>
          <w:sz w:val="15"/>
          <w:szCs w:val="15"/>
          <w:color w:val="auto"/>
        </w:rPr>
        <w:t>Neither we nor any cable guarantor shall enter into any Sale and Leaseback Transaction involving any of such person’s assets, including the</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Stock of such person’s wholly-owned subsidiaries.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restriction in the foregoing paragraph shall not apply to any Sale and Leaseback Transaction if:</w:t>
      </w:r>
    </w:p>
    <w:p>
      <w:pPr>
        <w:spacing w:after="0" w:line="186" w:lineRule="exact"/>
        <w:rPr>
          <w:sz w:val="20"/>
          <w:szCs w:val="20"/>
          <w:color w:val="auto"/>
        </w:rPr>
      </w:pPr>
    </w:p>
    <w:p>
      <w:pPr>
        <w:ind w:left="820" w:hanging="463"/>
        <w:spacing w:after="0"/>
        <w:tabs>
          <w:tab w:leader="none" w:pos="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lease is for a period not in excess of three years, including renewal of rights;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lease secures or relates to industrial revenue or similar financing;</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transaction is solely between us and a cable guarantor or between or among cable guarantors; or</w:t>
      </w:r>
    </w:p>
    <w:p>
      <w:pPr>
        <w:spacing w:after="0" w:line="231" w:lineRule="exact"/>
        <w:rPr>
          <w:rFonts w:ascii="Arial" w:cs="Arial" w:eastAsia="Arial" w:hAnsi="Arial"/>
          <w:sz w:val="15"/>
          <w:szCs w:val="15"/>
          <w:color w:val="auto"/>
        </w:rPr>
      </w:pPr>
    </w:p>
    <w:p>
      <w:pPr>
        <w:ind w:left="820" w:hanging="463"/>
        <w:spacing w:after="0" w:line="268" w:lineRule="auto"/>
        <w:tabs>
          <w:tab w:leader="none" w:pos="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153" w:lineRule="exact"/>
        <w:rPr>
          <w:sz w:val="20"/>
          <w:szCs w:val="20"/>
          <w:color w:val="auto"/>
        </w:rPr>
      </w:pPr>
    </w:p>
    <w:p>
      <w:pPr>
        <w:ind w:left="1040" w:right="180" w:hanging="447"/>
        <w:spacing w:after="0" w:line="231"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5"/>
          <w:szCs w:val="15"/>
          <w:color w:val="auto"/>
        </w:rPr>
        <w:t>the retirement (or open market purchase) of senior debt securities, our other long-term Indebtedness ranking on a parity with or senior to the senior debt securities or long-term Indebtedness of a cable guarantor; or</w:t>
      </w:r>
    </w:p>
    <w:p>
      <w:pPr>
        <w:spacing w:after="0" w:line="195" w:lineRule="exact"/>
        <w:rPr>
          <w:rFonts w:ascii="Arial" w:cs="Arial" w:eastAsia="Arial" w:hAnsi="Arial"/>
          <w:sz w:val="18"/>
          <w:szCs w:val="18"/>
          <w:color w:val="auto"/>
        </w:rPr>
      </w:pPr>
    </w:p>
    <w:p>
      <w:pPr>
        <w:ind w:left="1040" w:right="140" w:hanging="447"/>
        <w:spacing w:after="0" w:line="231"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5"/>
          <w:szCs w:val="15"/>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8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This provision and the provision described under “—Limitation on Liens Securing Indebtedness” do not apply to any of our subsidiaries other than the cable guarantors.</w:t>
      </w:r>
    </w:p>
    <w:p>
      <w:pPr>
        <w:spacing w:after="0" w:line="205" w:lineRule="exact"/>
        <w:rPr>
          <w:sz w:val="20"/>
          <w:szCs w:val="20"/>
          <w:color w:val="auto"/>
        </w:rPr>
      </w:pPr>
    </w:p>
    <w:p>
      <w:pPr>
        <w:ind w:right="280" w:firstLine="269"/>
        <w:spacing w:after="0" w:line="261" w:lineRule="auto"/>
        <w:rPr>
          <w:sz w:val="20"/>
          <w:szCs w:val="20"/>
          <w:color w:val="auto"/>
        </w:rPr>
      </w:pPr>
      <w:r>
        <w:rPr>
          <w:rFonts w:ascii="Arial" w:cs="Arial" w:eastAsia="Arial" w:hAnsi="Arial"/>
          <w:sz w:val="15"/>
          <w:szCs w:val="15"/>
          <w:b w:val="1"/>
          <w:bCs w:val="1"/>
          <w:color w:val="auto"/>
        </w:rPr>
        <w:t xml:space="preserve">“Capitalized Lease” </w:t>
      </w:r>
      <w:r>
        <w:rPr>
          <w:rFonts w:ascii="Arial" w:cs="Arial" w:eastAsia="Arial" w:hAnsi="Arial"/>
          <w:sz w:val="15"/>
          <w:szCs w:val="15"/>
          <w:color w:val="auto"/>
        </w:rPr>
        <w:t>means, as applied to any person, any lease of any property (whether real, personal, or mixed) of which the discounted present value of the rental obligations of such</w:t>
      </w:r>
      <w:r>
        <w:rPr>
          <w:rFonts w:ascii="Arial" w:cs="Arial" w:eastAsia="Arial" w:hAnsi="Arial"/>
          <w:sz w:val="15"/>
          <w:szCs w:val="15"/>
          <w:b w:val="1"/>
          <w:bCs w:val="1"/>
          <w:color w:val="auto"/>
        </w:rPr>
        <w:t xml:space="preserve"> </w:t>
      </w:r>
      <w:r>
        <w:rPr>
          <w:rFonts w:ascii="Arial" w:cs="Arial" w:eastAsia="Arial" w:hAnsi="Arial"/>
          <w:sz w:val="15"/>
          <w:szCs w:val="15"/>
          <w:color w:val="auto"/>
        </w:rPr>
        <w:t>person as lessee, in conformity with GAAP, is required to be capitalized on the balance sheet of such person; and “Capitalized Lease Obligation” is defined to mean the rental obligations, as aforesaid, under such lease.</w:t>
      </w:r>
    </w:p>
    <w:p>
      <w:pPr>
        <w:spacing w:after="0" w:line="177" w:lineRule="exact"/>
        <w:rPr>
          <w:sz w:val="20"/>
          <w:szCs w:val="20"/>
          <w:color w:val="auto"/>
        </w:rPr>
      </w:pPr>
    </w:p>
    <w:p>
      <w:pPr>
        <w:ind w:right="280" w:firstLine="269"/>
        <w:spacing w:after="0" w:line="402" w:lineRule="auto"/>
        <w:rPr>
          <w:sz w:val="20"/>
          <w:szCs w:val="20"/>
          <w:color w:val="auto"/>
        </w:rPr>
      </w:pPr>
      <w:r>
        <w:rPr>
          <w:rFonts w:ascii="Arial" w:cs="Arial" w:eastAsia="Arial" w:hAnsi="Arial"/>
          <w:sz w:val="12"/>
          <w:szCs w:val="12"/>
          <w:b w:val="1"/>
          <w:bCs w:val="1"/>
          <w:color w:val="auto"/>
        </w:rPr>
        <w:t xml:space="preserve">“Capital Stock” </w:t>
      </w:r>
      <w:r>
        <w:rPr>
          <w:rFonts w:ascii="Arial" w:cs="Arial" w:eastAsia="Arial" w:hAnsi="Arial"/>
          <w:sz w:val="12"/>
          <w:szCs w:val="12"/>
          <w:color w:val="auto"/>
        </w:rPr>
        <w:t>means, with respect to any person, any and all shares, interests, participations, or other equivalents (however designated, whether voting or non-voting) of such person’s</w:t>
      </w:r>
      <w:r>
        <w:rPr>
          <w:rFonts w:ascii="Arial" w:cs="Arial" w:eastAsia="Arial" w:hAnsi="Arial"/>
          <w:sz w:val="12"/>
          <w:szCs w:val="12"/>
          <w:b w:val="1"/>
          <w:bCs w:val="1"/>
          <w:color w:val="auto"/>
        </w:rPr>
        <w:t xml:space="preserve"> </w:t>
      </w:r>
      <w:r>
        <w:rPr>
          <w:rFonts w:ascii="Arial" w:cs="Arial" w:eastAsia="Arial" w:hAnsi="Arial"/>
          <w:sz w:val="12"/>
          <w:szCs w:val="12"/>
          <w:color w:val="auto"/>
        </w:rPr>
        <w:t>capital stock or other ownership interests, whether now outstanding or issued after the date of hereof, including, without limitation, all common stock and preferred stock.</w:t>
      </w:r>
    </w:p>
    <w:p>
      <w:pPr>
        <w:spacing w:after="0" w:line="98" w:lineRule="exact"/>
        <w:rPr>
          <w:sz w:val="20"/>
          <w:szCs w:val="20"/>
          <w:color w:val="auto"/>
        </w:rPr>
      </w:pPr>
    </w:p>
    <w:p>
      <w:pPr>
        <w:ind w:right="180" w:firstLine="269"/>
        <w:spacing w:after="0" w:line="273" w:lineRule="auto"/>
        <w:rPr>
          <w:sz w:val="20"/>
          <w:szCs w:val="20"/>
          <w:color w:val="auto"/>
        </w:rPr>
      </w:pPr>
      <w:r>
        <w:rPr>
          <w:rFonts w:ascii="Arial" w:cs="Arial" w:eastAsia="Arial" w:hAnsi="Arial"/>
          <w:sz w:val="15"/>
          <w:szCs w:val="15"/>
          <w:b w:val="1"/>
          <w:bCs w:val="1"/>
          <w:color w:val="auto"/>
        </w:rPr>
        <w:t xml:space="preserve">“Currency Agreement” </w:t>
      </w:r>
      <w:r>
        <w:rPr>
          <w:rFonts w:ascii="Arial" w:cs="Arial" w:eastAsia="Arial" w:hAnsi="Arial"/>
          <w:sz w:val="15"/>
          <w:szCs w:val="15"/>
          <w:color w:val="auto"/>
        </w:rPr>
        <w:t>means any foreign exchange contract, currency swap agreement, or other similar agreement or arrangement designed to protect against the fluctuation in currency</w:t>
      </w:r>
      <w:r>
        <w:rPr>
          <w:rFonts w:ascii="Arial" w:cs="Arial" w:eastAsia="Arial" w:hAnsi="Arial"/>
          <w:sz w:val="15"/>
          <w:szCs w:val="15"/>
          <w:b w:val="1"/>
          <w:bCs w:val="1"/>
          <w:color w:val="auto"/>
        </w:rPr>
        <w:t xml:space="preserve"> </w:t>
      </w:r>
      <w:r>
        <w:rPr>
          <w:rFonts w:ascii="Arial" w:cs="Arial" w:eastAsia="Arial" w:hAnsi="Arial"/>
          <w:sz w:val="15"/>
          <w:szCs w:val="15"/>
          <w:color w:val="auto"/>
        </w:rPr>
        <w:t>values.</w:t>
      </w:r>
    </w:p>
    <w:p>
      <w:pPr>
        <w:spacing w:after="0" w:line="168" w:lineRule="exact"/>
        <w:rPr>
          <w:sz w:val="20"/>
          <w:szCs w:val="20"/>
          <w:color w:val="auto"/>
        </w:rPr>
      </w:pPr>
    </w:p>
    <w:p>
      <w:pPr>
        <w:ind w:right="120" w:firstLine="269"/>
        <w:spacing w:after="0" w:line="257" w:lineRule="auto"/>
        <w:rPr>
          <w:sz w:val="20"/>
          <w:szCs w:val="20"/>
          <w:color w:val="auto"/>
        </w:rPr>
      </w:pPr>
      <w:r>
        <w:rPr>
          <w:rFonts w:ascii="Arial" w:cs="Arial" w:eastAsia="Arial" w:hAnsi="Arial"/>
          <w:sz w:val="15"/>
          <w:szCs w:val="15"/>
          <w:b w:val="1"/>
          <w:bCs w:val="1"/>
          <w:color w:val="auto"/>
        </w:rPr>
        <w:t xml:space="preserve">“GAAP” </w:t>
      </w:r>
      <w:r>
        <w:rPr>
          <w:rFonts w:ascii="Arial" w:cs="Arial" w:eastAsia="Arial" w:hAnsi="Arial"/>
          <w:sz w:val="15"/>
          <w:szCs w:val="15"/>
          <w:color w:val="auto"/>
        </w:rPr>
        <w:t>means generally accepted accounting principles in the United States of America as in effect as of the date of determination, including, without limitation, those set forth in the</w:t>
      </w:r>
      <w:r>
        <w:rPr>
          <w:rFonts w:ascii="Arial" w:cs="Arial" w:eastAsia="Arial" w:hAnsi="Arial"/>
          <w:sz w:val="15"/>
          <w:szCs w:val="15"/>
          <w:b w:val="1"/>
          <w:bCs w:val="1"/>
          <w:color w:val="auto"/>
        </w:rPr>
        <w:t xml:space="preserve"> </w:t>
      </w:r>
      <w:r>
        <w:rPr>
          <w:rFonts w:ascii="Arial" w:cs="Arial" w:eastAsia="Arial" w:hAnsi="Arial"/>
          <w:sz w:val="15"/>
          <w:szCs w:val="15"/>
          <w:color w:val="auto"/>
        </w:rPr>
        <w:t>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81" w:lineRule="exact"/>
        <w:rPr>
          <w:sz w:val="20"/>
          <w:szCs w:val="20"/>
          <w:color w:val="auto"/>
        </w:rPr>
      </w:pPr>
    </w:p>
    <w:p>
      <w:pPr>
        <w:ind w:right="100" w:firstLine="269"/>
        <w:spacing w:after="0" w:line="273" w:lineRule="auto"/>
        <w:rPr>
          <w:sz w:val="20"/>
          <w:szCs w:val="20"/>
          <w:color w:val="auto"/>
        </w:rPr>
      </w:pPr>
      <w:r>
        <w:rPr>
          <w:rFonts w:ascii="Arial" w:cs="Arial" w:eastAsia="Arial" w:hAnsi="Arial"/>
          <w:sz w:val="15"/>
          <w:szCs w:val="15"/>
          <w:b w:val="1"/>
          <w:bCs w:val="1"/>
          <w:color w:val="auto"/>
        </w:rPr>
        <w:t xml:space="preserve">“Guarantee” </w:t>
      </w:r>
      <w:r>
        <w:rPr>
          <w:rFonts w:ascii="Arial" w:cs="Arial" w:eastAsia="Arial" w:hAnsi="Arial"/>
          <w:sz w:val="15"/>
          <w:szCs w:val="15"/>
          <w:color w:val="auto"/>
        </w:rPr>
        <w:t>means any obligation, contingent or otherwise, of any person directly or indirectly guaranteeing any Indebtedness or other obligation of any other person and, without limiting</w:t>
      </w:r>
      <w:r>
        <w:rPr>
          <w:rFonts w:ascii="Arial" w:cs="Arial" w:eastAsia="Arial" w:hAnsi="Arial"/>
          <w:sz w:val="15"/>
          <w:szCs w:val="15"/>
          <w:b w:val="1"/>
          <w:bCs w:val="1"/>
          <w:color w:val="auto"/>
        </w:rPr>
        <w:t xml:space="preserve"> </w:t>
      </w:r>
      <w:r>
        <w:rPr>
          <w:rFonts w:ascii="Arial" w:cs="Arial" w:eastAsia="Arial" w:hAnsi="Arial"/>
          <w:sz w:val="15"/>
          <w:szCs w:val="15"/>
          <w:color w:val="auto"/>
        </w:rPr>
        <w:t>the generality of the foregoing, any obligation, direct or indirect, contingent or otherwise, of such person:</w:t>
      </w:r>
    </w:p>
    <w:p>
      <w:pPr>
        <w:spacing w:after="0" w:line="150" w:lineRule="exact"/>
        <w:rPr>
          <w:sz w:val="20"/>
          <w:szCs w:val="20"/>
          <w:color w:val="auto"/>
        </w:rPr>
      </w:pPr>
    </w:p>
    <w:p>
      <w:pPr>
        <w:ind w:left="820" w:right="120" w:hanging="463"/>
        <w:spacing w:after="0" w:line="395" w:lineRule="auto"/>
        <w:tabs>
          <w:tab w:leader="none" w:pos="8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06" w:lineRule="exact"/>
        <w:rPr>
          <w:rFonts w:ascii="Arial" w:cs="Arial" w:eastAsia="Arial" w:hAnsi="Arial"/>
          <w:sz w:val="12"/>
          <w:szCs w:val="12"/>
          <w:color w:val="auto"/>
        </w:rPr>
      </w:pPr>
    </w:p>
    <w:p>
      <w:pPr>
        <w:ind w:left="820" w:hanging="463"/>
        <w:spacing w:after="0" w:line="268" w:lineRule="auto"/>
        <w:tabs>
          <w:tab w:leader="none" w:pos="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entered into for purposes of assuring in any other manner the obligee of such Indebtedness or other obligation of the payment thereof or to protect such obligee against loss in respect thereof (in whole or in part);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provided that the term “Guarantee” shall not include endorsements for collection or deposit in the ordinary course of business.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term “Guarantee” used as a verb has a corresponding meaning.</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 xml:space="preserve">“Indebtedness” </w:t>
      </w:r>
      <w:r>
        <w:rPr>
          <w:rFonts w:ascii="Arial" w:cs="Arial" w:eastAsia="Arial" w:hAnsi="Arial"/>
          <w:sz w:val="15"/>
          <w:szCs w:val="15"/>
          <w:color w:val="auto"/>
        </w:rPr>
        <w:t>means, with respect to any person at any date of determination (without duplication):</w:t>
      </w:r>
    </w:p>
    <w:p>
      <w:pPr>
        <w:spacing w:after="0" w:line="190" w:lineRule="exact"/>
        <w:rPr>
          <w:sz w:val="20"/>
          <w:szCs w:val="20"/>
          <w:color w:val="auto"/>
        </w:rPr>
      </w:pPr>
    </w:p>
    <w:p>
      <w:pPr>
        <w:ind w:left="820" w:hanging="463"/>
        <w:spacing w:after="0"/>
        <w:tabs>
          <w:tab w:leader="none" w:pos="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all indebtedness of such person for borrowed money;</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all obligations of such person evidenced by bonds, debentures, notes, or other similar instruments;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all obligations of such person in respect of letters of credit or other similar instruments (including reimbursement obligations with respect thereto);</w:t>
      </w:r>
    </w:p>
    <w:p>
      <w:pPr>
        <w:spacing w:after="0" w:line="231" w:lineRule="exact"/>
        <w:rPr>
          <w:rFonts w:ascii="Arial" w:cs="Arial" w:eastAsia="Arial" w:hAnsi="Arial"/>
          <w:sz w:val="15"/>
          <w:szCs w:val="15"/>
          <w:color w:val="auto"/>
        </w:rPr>
      </w:pPr>
    </w:p>
    <w:p>
      <w:pPr>
        <w:ind w:left="820" w:right="20" w:hanging="463"/>
        <w:spacing w:after="0" w:line="268" w:lineRule="auto"/>
        <w:tabs>
          <w:tab w:leader="none" w:pos="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all obligations of such person to pay the deferred and unpaid purchase price of property or services (but excluding trade accounts payable or accrued liabilities arising in the ordinary course of business);</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all obligations of such person as lessee under Capitalized Leases;</w:t>
      </w:r>
    </w:p>
    <w:p>
      <w:pPr>
        <w:spacing w:after="0" w:line="231" w:lineRule="exact"/>
        <w:rPr>
          <w:rFonts w:ascii="Arial" w:cs="Arial" w:eastAsia="Arial" w:hAnsi="Arial"/>
          <w:sz w:val="15"/>
          <w:szCs w:val="15"/>
          <w:color w:val="auto"/>
        </w:rPr>
      </w:pPr>
    </w:p>
    <w:p>
      <w:pPr>
        <w:ind w:left="820" w:right="360" w:hanging="463"/>
        <w:spacing w:after="0" w:line="268" w:lineRule="auto"/>
        <w:tabs>
          <w:tab w:leader="none" w:pos="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all Indebtedness of other persons secured by a Lien on any asset of such person, whether or not such Indebtedness is assumed by such person; provided that the amount of such Indebtedness shall be the lesser of:</w:t>
      </w:r>
    </w:p>
    <w:p>
      <w:pPr>
        <w:spacing w:after="0" w:line="132" w:lineRule="exact"/>
        <w:rPr>
          <w:sz w:val="20"/>
          <w:szCs w:val="20"/>
          <w:color w:val="auto"/>
        </w:rPr>
      </w:pPr>
    </w:p>
    <w:p>
      <w:pPr>
        <w:ind w:left="1040" w:hanging="447"/>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5"/>
          <w:szCs w:val="15"/>
          <w:color w:val="auto"/>
        </w:rPr>
        <w:t>the fair market value of such asset at such date of determination; and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39" w:lineRule="exact"/>
        <w:rPr>
          <w:sz w:val="20"/>
          <w:szCs w:val="20"/>
          <w:color w:val="auto"/>
        </w:rPr>
      </w:pPr>
    </w:p>
    <w:p>
      <w:pPr>
        <w:ind w:left="1040" w:hanging="447"/>
        <w:spacing w:after="0"/>
        <w:tabs>
          <w:tab w:leader="none" w:pos="1040" w:val="left"/>
        </w:tabs>
        <w:numPr>
          <w:ilvl w:val="1"/>
          <w:numId w:val="24"/>
        </w:numPr>
        <w:rPr>
          <w:rFonts w:ascii="Arial" w:cs="Arial" w:eastAsia="Arial" w:hAnsi="Arial"/>
          <w:sz w:val="18"/>
          <w:szCs w:val="18"/>
          <w:color w:val="auto"/>
        </w:rPr>
      </w:pPr>
      <w:r>
        <w:rPr>
          <w:rFonts w:ascii="Arial" w:cs="Arial" w:eastAsia="Arial" w:hAnsi="Arial"/>
          <w:sz w:val="15"/>
          <w:szCs w:val="15"/>
          <w:color w:val="auto"/>
        </w:rPr>
        <w:t>the amount of such Indebtedness;</w:t>
      </w:r>
    </w:p>
    <w:p>
      <w:pPr>
        <w:spacing w:after="0" w:line="195" w:lineRule="exact"/>
        <w:rPr>
          <w:rFonts w:ascii="Arial" w:cs="Arial" w:eastAsia="Arial" w:hAnsi="Arial"/>
          <w:sz w:val="18"/>
          <w:szCs w:val="18"/>
          <w:color w:val="auto"/>
        </w:rPr>
      </w:pPr>
    </w:p>
    <w:p>
      <w:pPr>
        <w:ind w:left="820" w:hanging="463"/>
        <w:spacing w:after="0"/>
        <w:tabs>
          <w:tab w:leader="none" w:pos="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 Indebtedness of other persons Guaranteed by such person to the extent such Indebtedness is Guaranteed by such person;</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to the extent not otherwise included in this definition, obligations under Currency Agreements and Interest Rate Agreements.</w:t>
      </w:r>
    </w:p>
    <w:p>
      <w:pPr>
        <w:spacing w:after="0" w:line="231" w:lineRule="exact"/>
        <w:rPr>
          <w:sz w:val="20"/>
          <w:szCs w:val="20"/>
          <w:color w:val="auto"/>
        </w:rPr>
      </w:pPr>
    </w:p>
    <w:p>
      <w:pPr>
        <w:ind w:right="560" w:firstLine="269"/>
        <w:spacing w:after="0" w:line="268" w:lineRule="auto"/>
        <w:rPr>
          <w:sz w:val="20"/>
          <w:szCs w:val="20"/>
          <w:color w:val="auto"/>
        </w:rPr>
      </w:pPr>
      <w:r>
        <w:rPr>
          <w:rFonts w:ascii="Arial" w:cs="Arial" w:eastAsia="Arial" w:hAnsi="Arial"/>
          <w:sz w:val="15"/>
          <w:szCs w:val="15"/>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53" w:lineRule="exact"/>
        <w:rPr>
          <w:sz w:val="20"/>
          <w:szCs w:val="20"/>
          <w:color w:val="auto"/>
        </w:rPr>
      </w:pPr>
    </w:p>
    <w:p>
      <w:pPr>
        <w:ind w:left="820" w:right="20" w:hanging="463"/>
        <w:spacing w:after="0" w:line="268" w:lineRule="auto"/>
        <w:tabs>
          <w:tab w:leader="none" w:pos="8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that Indebtedness shall not include any liability for federal, state, local, or other taxes.</w:t>
      </w:r>
    </w:p>
    <w:p>
      <w:pPr>
        <w:spacing w:after="0" w:line="227" w:lineRule="exact"/>
        <w:rPr>
          <w:sz w:val="20"/>
          <w:szCs w:val="20"/>
          <w:color w:val="auto"/>
        </w:rPr>
      </w:pPr>
    </w:p>
    <w:p>
      <w:pPr>
        <w:ind w:right="60" w:firstLine="269"/>
        <w:spacing w:after="0" w:line="278" w:lineRule="auto"/>
        <w:rPr>
          <w:sz w:val="20"/>
          <w:szCs w:val="20"/>
          <w:color w:val="auto"/>
        </w:rPr>
      </w:pPr>
      <w:r>
        <w:rPr>
          <w:rFonts w:ascii="Arial" w:cs="Arial" w:eastAsia="Arial" w:hAnsi="Arial"/>
          <w:sz w:val="14"/>
          <w:szCs w:val="14"/>
          <w:b w:val="1"/>
          <w:bCs w:val="1"/>
          <w:color w:val="auto"/>
        </w:rPr>
        <w:t xml:space="preserve">“Interest Rate Agreements” </w:t>
      </w:r>
      <w:r>
        <w:rPr>
          <w:rFonts w:ascii="Arial" w:cs="Arial" w:eastAsia="Arial" w:hAnsi="Arial"/>
          <w:sz w:val="14"/>
          <w:szCs w:val="14"/>
          <w:color w:val="auto"/>
        </w:rPr>
        <w:t>means any obligations of any person pursuant to any interest rate swaps, caps, collars, and similar arrangements providing protection against fluctuations in</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66" w:lineRule="exact"/>
        <w:rPr>
          <w:sz w:val="20"/>
          <w:szCs w:val="20"/>
          <w:color w:val="auto"/>
        </w:rPr>
      </w:pPr>
    </w:p>
    <w:p>
      <w:pPr>
        <w:ind w:firstLine="269"/>
        <w:spacing w:after="0" w:line="288" w:lineRule="auto"/>
        <w:rPr>
          <w:sz w:val="20"/>
          <w:szCs w:val="20"/>
          <w:color w:val="auto"/>
        </w:rPr>
      </w:pPr>
      <w:r>
        <w:rPr>
          <w:rFonts w:ascii="Arial" w:cs="Arial" w:eastAsia="Arial" w:hAnsi="Arial"/>
          <w:sz w:val="14"/>
          <w:szCs w:val="14"/>
          <w:b w:val="1"/>
          <w:bCs w:val="1"/>
          <w:color w:val="auto"/>
        </w:rPr>
        <w:t xml:space="preserve">“Lien” </w:t>
      </w:r>
      <w:r>
        <w:rPr>
          <w:rFonts w:ascii="Arial" w:cs="Arial" w:eastAsia="Arial" w:hAnsi="Arial"/>
          <w:sz w:val="14"/>
          <w:szCs w:val="14"/>
          <w:color w:val="auto"/>
        </w:rPr>
        <w:t>means, with respect to any asset, any mortgage, lien, pledge, charge, security interest or encumbrance of any kind, or any other type of preferential arrangement that has the practical</w:t>
      </w:r>
      <w:r>
        <w:rPr>
          <w:rFonts w:ascii="Arial" w:cs="Arial" w:eastAsia="Arial" w:hAnsi="Arial"/>
          <w:sz w:val="14"/>
          <w:szCs w:val="14"/>
          <w:b w:val="1"/>
          <w:bCs w:val="1"/>
          <w:color w:val="auto"/>
        </w:rPr>
        <w:t xml:space="preserve"> </w:t>
      </w:r>
      <w:r>
        <w:rPr>
          <w:rFonts w:ascii="Arial" w:cs="Arial" w:eastAsia="Arial" w:hAnsi="Arial"/>
          <w:sz w:val="14"/>
          <w:szCs w:val="14"/>
          <w:color w:val="auto"/>
        </w:rPr>
        <w:t>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 xml:space="preserve">“Permitted Liens” </w:t>
      </w:r>
      <w:r>
        <w:rPr>
          <w:rFonts w:ascii="Arial" w:cs="Arial" w:eastAsia="Arial" w:hAnsi="Arial"/>
          <w:sz w:val="15"/>
          <w:szCs w:val="15"/>
          <w:color w:val="auto"/>
        </w:rPr>
        <w:t>means:</w:t>
      </w:r>
    </w:p>
    <w:p>
      <w:pPr>
        <w:spacing w:after="0" w:line="190" w:lineRule="exact"/>
        <w:rPr>
          <w:sz w:val="20"/>
          <w:szCs w:val="20"/>
          <w:color w:val="auto"/>
        </w:rPr>
      </w:pPr>
    </w:p>
    <w:p>
      <w:pPr>
        <w:ind w:left="820" w:hanging="463"/>
        <w:spacing w:after="0"/>
        <w:tabs>
          <w:tab w:leader="none" w:pos="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Lien on any asset incurred prior to the date of the senior indenture;</w:t>
      </w:r>
    </w:p>
    <w:p>
      <w:pPr>
        <w:spacing w:after="0" w:line="231" w:lineRule="exact"/>
        <w:rPr>
          <w:rFonts w:ascii="Arial" w:cs="Arial" w:eastAsia="Arial" w:hAnsi="Arial"/>
          <w:sz w:val="15"/>
          <w:szCs w:val="15"/>
          <w:color w:val="auto"/>
        </w:rPr>
      </w:pPr>
    </w:p>
    <w:p>
      <w:pPr>
        <w:jc w:val="both"/>
        <w:ind w:left="820" w:right="120" w:hanging="463"/>
        <w:spacing w:after="0" w:line="255" w:lineRule="auto"/>
        <w:tabs>
          <w:tab w:leader="none" w:pos="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186" w:lineRule="exact"/>
        <w:rPr>
          <w:rFonts w:ascii="Arial" w:cs="Arial" w:eastAsia="Arial" w:hAnsi="Arial"/>
          <w:sz w:val="15"/>
          <w:szCs w:val="15"/>
          <w:color w:val="auto"/>
        </w:rPr>
      </w:pPr>
    </w:p>
    <w:p>
      <w:pPr>
        <w:ind w:left="820" w:hanging="463"/>
        <w:spacing w:after="0"/>
        <w:tabs>
          <w:tab w:leader="none" w:pos="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Lien on any assets in favor of us or any cable guarantor;</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any Lien on assets incurred in connection with the issuance of tax-exempt governmental obligations (including, without limitation, industrial revenue bonds and similar financing);</w:t>
      </w:r>
    </w:p>
    <w:p>
      <w:pPr>
        <w:spacing w:after="0" w:line="265" w:lineRule="exact"/>
        <w:rPr>
          <w:rFonts w:ascii="Arial" w:cs="Arial" w:eastAsia="Arial" w:hAnsi="Arial"/>
          <w:sz w:val="12"/>
          <w:szCs w:val="12"/>
          <w:color w:val="auto"/>
        </w:rPr>
      </w:pPr>
    </w:p>
    <w:p>
      <w:pPr>
        <w:ind w:left="820" w:right="140" w:hanging="463"/>
        <w:spacing w:after="0" w:line="268" w:lineRule="auto"/>
        <w:tabs>
          <w:tab w:leader="none" w:pos="8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175" w:lineRule="exact"/>
        <w:rPr>
          <w:rFonts w:ascii="Arial" w:cs="Arial" w:eastAsia="Arial" w:hAnsi="Arial"/>
          <w:sz w:val="15"/>
          <w:szCs w:val="15"/>
          <w:color w:val="auto"/>
        </w:rPr>
      </w:pPr>
    </w:p>
    <w:p>
      <w:pPr>
        <w:ind w:left="820" w:right="100" w:hanging="463"/>
        <w:spacing w:after="0" w:line="395" w:lineRule="auto"/>
        <w:tabs>
          <w:tab w:leader="none" w:pos="8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ind w:right="220" w:firstLine="269"/>
        <w:spacing w:after="0" w:line="288" w:lineRule="auto"/>
        <w:rPr>
          <w:sz w:val="20"/>
          <w:szCs w:val="20"/>
          <w:color w:val="auto"/>
        </w:rPr>
      </w:pPr>
      <w:r>
        <w:rPr>
          <w:rFonts w:ascii="Arial" w:cs="Arial" w:eastAsia="Arial" w:hAnsi="Arial"/>
          <w:sz w:val="14"/>
          <w:szCs w:val="14"/>
          <w:b w:val="1"/>
          <w:bCs w:val="1"/>
          <w:color w:val="auto"/>
        </w:rPr>
        <w:t xml:space="preserve">“Sale and Leaseback Transaction” </w:t>
      </w:r>
      <w:r>
        <w:rPr>
          <w:rFonts w:ascii="Arial" w:cs="Arial" w:eastAsia="Arial" w:hAnsi="Arial"/>
          <w:sz w:val="14"/>
          <w:szCs w:val="14"/>
          <w:color w:val="auto"/>
        </w:rPr>
        <w:t>means any direct or indirect arrangement with any person or to which any such person is a party, providing for the leasing to us or a cable guarantor of</w:t>
      </w:r>
      <w:r>
        <w:rPr>
          <w:rFonts w:ascii="Arial" w:cs="Arial" w:eastAsia="Arial" w:hAnsi="Arial"/>
          <w:sz w:val="14"/>
          <w:szCs w:val="14"/>
          <w:b w:val="1"/>
          <w:bCs w:val="1"/>
          <w:color w:val="auto"/>
        </w:rPr>
        <w:t xml:space="preserve"> </w:t>
      </w:r>
      <w:r>
        <w:rPr>
          <w:rFonts w:ascii="Arial" w:cs="Arial" w:eastAsia="Arial" w:hAnsi="Arial"/>
          <w:sz w:val="14"/>
          <w:szCs w:val="14"/>
          <w:color w:val="auto"/>
        </w:rPr>
        <w:t>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64" w:lineRule="exact"/>
        <w:rPr>
          <w:sz w:val="20"/>
          <w:szCs w:val="20"/>
          <w:color w:val="auto"/>
        </w:rPr>
      </w:pPr>
    </w:p>
    <w:p>
      <w:pPr>
        <w:jc w:val="both"/>
        <w:ind w:right="120" w:firstLine="269"/>
        <w:spacing w:after="0" w:line="353" w:lineRule="auto"/>
        <w:rPr>
          <w:sz w:val="20"/>
          <w:szCs w:val="20"/>
          <w:color w:val="auto"/>
        </w:rPr>
      </w:pPr>
      <w:r>
        <w:rPr>
          <w:rFonts w:ascii="Arial" w:cs="Arial" w:eastAsia="Arial" w:hAnsi="Arial"/>
          <w:sz w:val="12"/>
          <w:szCs w:val="12"/>
          <w:i w:val="1"/>
          <w:iCs w:val="1"/>
          <w:color w:val="auto"/>
        </w:rPr>
        <w:t xml:space="preserve">Financial Information. </w:t>
      </w:r>
      <w:r>
        <w:rPr>
          <w:rFonts w:ascii="Arial" w:cs="Arial" w:eastAsia="Arial" w:hAnsi="Arial"/>
          <w:sz w:val="12"/>
          <w:szCs w:val="12"/>
          <w:color w:val="auto"/>
        </w:rPr>
        <w:t>We will file, whether or not required to do so under applicable law, with the trustee, within 15 days after being required to file the same under the Securities Exchange</w:t>
      </w:r>
      <w:r>
        <w:rPr>
          <w:rFonts w:ascii="Arial" w:cs="Arial" w:eastAsia="Arial" w:hAnsi="Arial"/>
          <w:sz w:val="12"/>
          <w:szCs w:val="12"/>
          <w:i w:val="1"/>
          <w:iCs w:val="1"/>
          <w:color w:val="auto"/>
        </w:rPr>
        <w:t xml:space="preserve"> </w:t>
      </w:r>
      <w:r>
        <w:rPr>
          <w:rFonts w:ascii="Arial" w:cs="Arial" w:eastAsia="Arial" w:hAnsi="Arial"/>
          <w:sz w:val="12"/>
          <w:szCs w:val="12"/>
          <w:color w:val="auto"/>
        </w:rPr>
        <w:t>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15-day period.</w:t>
      </w:r>
    </w:p>
    <w:p>
      <w:pPr>
        <w:spacing w:after="0" w:line="131" w:lineRule="exact"/>
        <w:rPr>
          <w:sz w:val="20"/>
          <w:szCs w:val="20"/>
          <w:color w:val="auto"/>
        </w:rPr>
      </w:pPr>
    </w:p>
    <w:p>
      <w:pPr>
        <w:ind w:firstLine="269"/>
        <w:spacing w:after="0" w:line="339" w:lineRule="auto"/>
        <w:rPr>
          <w:sz w:val="20"/>
          <w:szCs w:val="20"/>
          <w:color w:val="auto"/>
        </w:rPr>
      </w:pPr>
      <w:r>
        <w:rPr>
          <w:rFonts w:ascii="Arial" w:cs="Arial" w:eastAsia="Arial" w:hAnsi="Arial"/>
          <w:sz w:val="12"/>
          <w:szCs w:val="12"/>
          <w:i w:val="1"/>
          <w:iCs w:val="1"/>
          <w:color w:val="auto"/>
        </w:rPr>
        <w:t xml:space="preserve">Consolidation, Merger and Sale of Assets. </w:t>
      </w:r>
      <w:r>
        <w:rPr>
          <w:rFonts w:ascii="Arial" w:cs="Arial" w:eastAsia="Arial" w:hAnsi="Arial"/>
          <w:sz w:val="12"/>
          <w:szCs w:val="12"/>
          <w:color w:val="auto"/>
        </w:rPr>
        <w:t>The senior indenture restricts our ability to consolidate with, merge with or into, or sell, convey, transfer, lease, or otherwise dispose of all or</w:t>
      </w:r>
      <w:r>
        <w:rPr>
          <w:rFonts w:ascii="Arial" w:cs="Arial" w:eastAsia="Arial" w:hAnsi="Arial"/>
          <w:sz w:val="12"/>
          <w:szCs w:val="12"/>
          <w:i w:val="1"/>
          <w:iCs w:val="1"/>
          <w:color w:val="auto"/>
        </w:rPr>
        <w:t xml:space="preserve"> </w:t>
      </w:r>
      <w:r>
        <w:rPr>
          <w:rFonts w:ascii="Arial" w:cs="Arial" w:eastAsia="Arial" w:hAnsi="Arial"/>
          <w:sz w:val="12"/>
          <w:szCs w:val="12"/>
          <w:color w:val="auto"/>
        </w:rPr>
        <w:t>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or permit any person to merge with or into such party unless:</w:t>
      </w:r>
    </w:p>
    <w:p>
      <w:pPr>
        <w:spacing w:after="0" w:line="117" w:lineRule="exact"/>
        <w:rPr>
          <w:sz w:val="20"/>
          <w:szCs w:val="20"/>
          <w:color w:val="auto"/>
        </w:rPr>
      </w:pPr>
    </w:p>
    <w:p>
      <w:pPr>
        <w:ind w:left="820" w:right="80" w:hanging="463"/>
        <w:spacing w:after="0" w:line="286" w:lineRule="auto"/>
        <w:tabs>
          <w:tab w:leader="none" w:pos="8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are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164" w:lineRule="exact"/>
        <w:rPr>
          <w:rFonts w:ascii="Arial" w:cs="Arial" w:eastAsia="Arial" w:hAnsi="Arial"/>
          <w:sz w:val="14"/>
          <w:szCs w:val="14"/>
          <w:color w:val="auto"/>
        </w:rPr>
      </w:pPr>
    </w:p>
    <w:p>
      <w:pPr>
        <w:ind w:left="820" w:hanging="463"/>
        <w:spacing w:after="0"/>
        <w:tabs>
          <w:tab w:leader="none" w:pos="8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immediately after giving effect to such transaction, no default or event of default shall have occurred and be continuing; and</w:t>
      </w:r>
    </w:p>
    <w:p>
      <w:pPr>
        <w:spacing w:after="0" w:line="231" w:lineRule="exact"/>
        <w:rPr>
          <w:rFonts w:ascii="Arial" w:cs="Arial" w:eastAsia="Arial" w:hAnsi="Arial"/>
          <w:sz w:val="15"/>
          <w:szCs w:val="15"/>
          <w:color w:val="auto"/>
        </w:rPr>
      </w:pPr>
    </w:p>
    <w:p>
      <w:pPr>
        <w:ind w:left="820" w:right="20" w:hanging="463"/>
        <w:spacing w:after="0" w:line="304" w:lineRule="auto"/>
        <w:tabs>
          <w:tab w:leader="none" w:pos="8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30" w:lineRule="exact"/>
        <w:rPr>
          <w:sz w:val="20"/>
          <w:szCs w:val="20"/>
          <w:color w:val="auto"/>
        </w:rPr>
      </w:pPr>
    </w:p>
    <w:p>
      <w:pPr>
        <w:ind w:right="100"/>
        <w:spacing w:after="0" w:line="395" w:lineRule="auto"/>
        <w:rPr>
          <w:sz w:val="20"/>
          <w:szCs w:val="20"/>
          <w:color w:val="auto"/>
        </w:rPr>
      </w:pPr>
      <w:r>
        <w:rPr>
          <w:rFonts w:ascii="Arial" w:cs="Arial" w:eastAsia="Arial" w:hAnsi="Arial"/>
          <w:sz w:val="12"/>
          <w:szCs w:val="12"/>
          <w:i w:val="1"/>
          <w:iCs w:val="1"/>
          <w:color w:val="auto"/>
        </w:rPr>
        <w:t>provided, however</w:t>
      </w:r>
      <w:r>
        <w:rPr>
          <w:rFonts w:ascii="Arial" w:cs="Arial" w:eastAsia="Arial" w:hAnsi="Arial"/>
          <w:sz w:val="12"/>
          <w:szCs w:val="12"/>
          <w:color w:val="auto"/>
        </w:rPr>
        <w:t>, that the foregoing limitations will not apply if, in the good faith determination of our board of directors set forth in a board resolution, the principal purpose of such transaction</w:t>
      </w:r>
      <w:r>
        <w:rPr>
          <w:rFonts w:ascii="Arial" w:cs="Arial" w:eastAsia="Arial" w:hAnsi="Arial"/>
          <w:sz w:val="12"/>
          <w:szCs w:val="12"/>
          <w:i w:val="1"/>
          <w:iCs w:val="1"/>
          <w:color w:val="auto"/>
        </w:rPr>
        <w:t xml:space="preserve"> </w:t>
      </w:r>
      <w:r>
        <w:rPr>
          <w:rFonts w:ascii="Arial" w:cs="Arial" w:eastAsia="Arial" w:hAnsi="Arial"/>
          <w:sz w:val="12"/>
          <w:szCs w:val="12"/>
          <w:color w:val="auto"/>
        </w:rPr>
        <w:t>is to change the state of incorporation of such party; and provided further that any such transaction shall not have as one of its purposes the evasion of the foregoing limitations.</w:t>
      </w:r>
    </w:p>
    <w:p>
      <w:pPr>
        <w:spacing w:after="0" w:line="106" w:lineRule="exact"/>
        <w:rPr>
          <w:sz w:val="20"/>
          <w:szCs w:val="20"/>
          <w:color w:val="auto"/>
        </w:rPr>
      </w:pPr>
    </w:p>
    <w:p>
      <w:pPr>
        <w:ind w:right="180" w:firstLine="269"/>
        <w:spacing w:after="0" w:line="268" w:lineRule="auto"/>
        <w:rPr>
          <w:sz w:val="20"/>
          <w:szCs w:val="20"/>
          <w:color w:val="auto"/>
        </w:rPr>
      </w:pPr>
      <w:r>
        <w:rPr>
          <w:rFonts w:ascii="Arial" w:cs="Arial" w:eastAsia="Arial" w:hAnsi="Arial"/>
          <w:sz w:val="15"/>
          <w:szCs w:val="15"/>
          <w:color w:val="auto"/>
        </w:rPr>
        <w:t>Upon any express assumption of our obligations as described above, we will be released and discharged from all obligations and covenants under the senior indenture and all the senior debt securities.</w:t>
      </w:r>
    </w:p>
    <w:p>
      <w:pPr>
        <w:spacing w:after="0" w:line="175" w:lineRule="exact"/>
        <w:rPr>
          <w:sz w:val="20"/>
          <w:szCs w:val="20"/>
          <w:color w:val="auto"/>
        </w:rPr>
      </w:pPr>
    </w:p>
    <w:p>
      <w:pPr>
        <w:ind w:right="480" w:firstLine="269"/>
        <w:spacing w:after="0" w:line="258" w:lineRule="auto"/>
        <w:rPr>
          <w:sz w:val="20"/>
          <w:szCs w:val="20"/>
          <w:color w:val="auto"/>
        </w:rPr>
      </w:pPr>
      <w:r>
        <w:rPr>
          <w:rFonts w:ascii="Arial" w:cs="Arial" w:eastAsia="Arial" w:hAnsi="Arial"/>
          <w:sz w:val="15"/>
          <w:szCs w:val="15"/>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36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Events of Default</w:t>
      </w:r>
    </w:p>
    <w:p>
      <w:pPr>
        <w:spacing w:after="0" w:line="209" w:lineRule="exact"/>
        <w:rPr>
          <w:sz w:val="20"/>
          <w:szCs w:val="20"/>
          <w:color w:val="auto"/>
        </w:rPr>
      </w:pPr>
    </w:p>
    <w:p>
      <w:pPr>
        <w:ind w:right="540" w:firstLine="269"/>
        <w:spacing w:after="0" w:line="268" w:lineRule="auto"/>
        <w:rPr>
          <w:sz w:val="20"/>
          <w:szCs w:val="20"/>
          <w:color w:val="auto"/>
        </w:rPr>
      </w:pPr>
      <w:r>
        <w:rPr>
          <w:rFonts w:ascii="Arial" w:cs="Arial" w:eastAsia="Arial" w:hAnsi="Arial"/>
          <w:sz w:val="15"/>
          <w:szCs w:val="15"/>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8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An event of default for a series of senior debt securities is defined under the senior indenture as being:</w:t>
      </w:r>
    </w:p>
    <w:p>
      <w:pPr>
        <w:spacing w:after="0" w:line="209" w:lineRule="exact"/>
        <w:rPr>
          <w:sz w:val="20"/>
          <w:szCs w:val="20"/>
          <w:color w:val="auto"/>
        </w:rPr>
      </w:pPr>
    </w:p>
    <w:p>
      <w:pPr>
        <w:ind w:right="740" w:firstLine="279"/>
        <w:spacing w:after="0" w:line="268" w:lineRule="auto"/>
        <w:tabs>
          <w:tab w:leader="none" w:pos="475" w:val="left"/>
        </w:tabs>
        <w:numPr>
          <w:ilvl w:val="0"/>
          <w:numId w:val="28"/>
        </w:numPr>
        <w:rPr>
          <w:rFonts w:ascii="Arial" w:cs="Arial" w:eastAsia="Arial" w:hAnsi="Arial"/>
          <w:sz w:val="15"/>
          <w:szCs w:val="15"/>
          <w:color w:val="auto"/>
        </w:rPr>
      </w:pPr>
      <w:r>
        <w:rPr>
          <w:rFonts w:ascii="Arial" w:cs="Arial" w:eastAsia="Arial" w:hAnsi="Arial"/>
          <w:sz w:val="15"/>
          <w:szCs w:val="15"/>
          <w:color w:val="auto"/>
        </w:rPr>
        <w:t>a default by any Obligor in the payment of principal or premium on the senior debt securities of such series when the same becomes due and payable whether at maturity, upon acceleration, redemption or otherwise;</w:t>
      </w:r>
    </w:p>
    <w:p>
      <w:pPr>
        <w:spacing w:after="0" w:line="175" w:lineRule="exact"/>
        <w:rPr>
          <w:rFonts w:ascii="Arial" w:cs="Arial" w:eastAsia="Arial" w:hAnsi="Arial"/>
          <w:sz w:val="15"/>
          <w:szCs w:val="15"/>
          <w:color w:val="auto"/>
        </w:rPr>
      </w:pPr>
    </w:p>
    <w:p>
      <w:pPr>
        <w:ind w:left="480" w:hanging="201"/>
        <w:spacing w:after="0"/>
        <w:tabs>
          <w:tab w:leader="none" w:pos="4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 default by any Obligor in the payment of interest on the senior debt securities of such series when the same becomes due and payable, if that default continues for a period of 30 days;</w:t>
      </w:r>
    </w:p>
    <w:p>
      <w:pPr>
        <w:spacing w:after="0" w:line="243" w:lineRule="exact"/>
        <w:rPr>
          <w:rFonts w:ascii="Arial" w:cs="Arial" w:eastAsia="Arial" w:hAnsi="Arial"/>
          <w:sz w:val="12"/>
          <w:szCs w:val="12"/>
          <w:color w:val="auto"/>
        </w:rPr>
      </w:pPr>
    </w:p>
    <w:p>
      <w:pPr>
        <w:ind w:right="140" w:firstLine="279"/>
        <w:spacing w:after="0" w:line="258" w:lineRule="auto"/>
        <w:tabs>
          <w:tab w:leader="none" w:pos="475"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default by any Obligor in the performance of or breach by any Obligor of any of its other covenants or agreements in the senior indenture applicable to all the senior debt securities or applicable to the senior debt securities of any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83" w:lineRule="exact"/>
        <w:rPr>
          <w:rFonts w:ascii="Arial" w:cs="Arial" w:eastAsia="Arial" w:hAnsi="Arial"/>
          <w:sz w:val="15"/>
          <w:szCs w:val="15"/>
          <w:color w:val="auto"/>
        </w:rPr>
      </w:pPr>
    </w:p>
    <w:p>
      <w:pPr>
        <w:ind w:left="480" w:hanging="201"/>
        <w:spacing w:after="0"/>
        <w:tabs>
          <w:tab w:leader="none" w:pos="4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any cable guarantee is not (or is claimed by any cable guarantor not to be) in full force and effect;</w:t>
      </w:r>
    </w:p>
    <w:p>
      <w:pPr>
        <w:spacing w:after="0" w:line="208" w:lineRule="exact"/>
        <w:rPr>
          <w:rFonts w:ascii="Arial" w:cs="Arial" w:eastAsia="Arial" w:hAnsi="Arial"/>
          <w:sz w:val="15"/>
          <w:szCs w:val="15"/>
          <w:color w:val="auto"/>
        </w:rPr>
      </w:pPr>
    </w:p>
    <w:p>
      <w:pPr>
        <w:ind w:left="480" w:hanging="201"/>
        <w:spacing w:after="0"/>
        <w:tabs>
          <w:tab w:leader="none" w:pos="4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 court having jurisdiction enters a decree or order for:</w:t>
      </w:r>
    </w:p>
    <w:p>
      <w:pPr>
        <w:spacing w:after="0" w:line="186" w:lineRule="exact"/>
        <w:rPr>
          <w:rFonts w:ascii="Arial" w:cs="Arial" w:eastAsia="Arial" w:hAnsi="Arial"/>
          <w:sz w:val="15"/>
          <w:szCs w:val="15"/>
          <w:color w:val="auto"/>
        </w:rPr>
      </w:pPr>
    </w:p>
    <w:p>
      <w:pPr>
        <w:ind w:left="1160" w:hanging="455"/>
        <w:spacing w:after="0"/>
        <w:tabs>
          <w:tab w:leader="none" w:pos="1160" w:val="left"/>
        </w:tabs>
        <w:numPr>
          <w:ilvl w:val="1"/>
          <w:numId w:val="28"/>
        </w:numPr>
        <w:rPr>
          <w:rFonts w:ascii="Arial" w:cs="Arial" w:eastAsia="Arial" w:hAnsi="Arial"/>
          <w:sz w:val="15"/>
          <w:szCs w:val="15"/>
          <w:color w:val="auto"/>
        </w:rPr>
      </w:pPr>
      <w:r>
        <w:rPr>
          <w:rFonts w:ascii="Arial" w:cs="Arial" w:eastAsia="Arial" w:hAnsi="Arial"/>
          <w:sz w:val="15"/>
          <w:szCs w:val="15"/>
          <w:color w:val="auto"/>
        </w:rPr>
        <w:t>relief in respect of any Obligor in an involuntary case under any applicable bankruptcy, insolvency, or other similar law now or hereafter in effect;</w:t>
      </w:r>
    </w:p>
    <w:p>
      <w:pPr>
        <w:spacing w:after="0" w:line="231" w:lineRule="exact"/>
        <w:rPr>
          <w:rFonts w:ascii="Arial" w:cs="Arial" w:eastAsia="Arial" w:hAnsi="Arial"/>
          <w:sz w:val="15"/>
          <w:szCs w:val="15"/>
          <w:color w:val="auto"/>
        </w:rPr>
      </w:pPr>
    </w:p>
    <w:p>
      <w:pPr>
        <w:ind w:left="1160" w:hanging="455"/>
        <w:spacing w:after="0"/>
        <w:tabs>
          <w:tab w:leader="none" w:pos="1160" w:val="left"/>
        </w:tabs>
        <w:numPr>
          <w:ilvl w:val="1"/>
          <w:numId w:val="28"/>
        </w:numPr>
        <w:rPr>
          <w:rFonts w:ascii="Arial" w:cs="Arial" w:eastAsia="Arial" w:hAnsi="Arial"/>
          <w:sz w:val="12"/>
          <w:szCs w:val="12"/>
          <w:color w:val="auto"/>
        </w:rPr>
      </w:pPr>
      <w:r>
        <w:rPr>
          <w:rFonts w:ascii="Arial" w:cs="Arial" w:eastAsia="Arial" w:hAnsi="Arial"/>
          <w:sz w:val="12"/>
          <w:szCs w:val="12"/>
          <w:color w:val="auto"/>
        </w:rPr>
        <w:t>appointment of a receiver, liquidator, assignee, custodian, trustee, sequestrator or similar official of any Obligor for any substantial part of such party’s property and assets; or</w:t>
      </w:r>
    </w:p>
    <w:p>
      <w:pPr>
        <w:spacing w:after="0" w:line="265" w:lineRule="exact"/>
        <w:rPr>
          <w:rFonts w:ascii="Arial" w:cs="Arial" w:eastAsia="Arial" w:hAnsi="Arial"/>
          <w:sz w:val="12"/>
          <w:szCs w:val="12"/>
          <w:color w:val="auto"/>
        </w:rPr>
      </w:pPr>
    </w:p>
    <w:p>
      <w:pPr>
        <w:ind w:left="1160" w:hanging="455"/>
        <w:spacing w:after="0"/>
        <w:tabs>
          <w:tab w:leader="none" w:pos="1160" w:val="left"/>
        </w:tabs>
        <w:numPr>
          <w:ilvl w:val="1"/>
          <w:numId w:val="28"/>
        </w:numPr>
        <w:rPr>
          <w:rFonts w:ascii="Arial" w:cs="Arial" w:eastAsia="Arial" w:hAnsi="Arial"/>
          <w:sz w:val="15"/>
          <w:szCs w:val="15"/>
          <w:color w:val="auto"/>
        </w:rPr>
      </w:pPr>
      <w:r>
        <w:rPr>
          <w:rFonts w:ascii="Arial" w:cs="Arial" w:eastAsia="Arial" w:hAnsi="Arial"/>
          <w:sz w:val="15"/>
          <w:szCs w:val="15"/>
          <w:color w:val="auto"/>
        </w:rPr>
        <w:t>the winding up or liquidation of any Obligor’s affairs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and such decree or order shall remain unstayed and in effect for a period of 180 consecutive days; or</w:t>
      </w:r>
    </w:p>
    <w:p>
      <w:pPr>
        <w:spacing w:after="0" w:line="209" w:lineRule="exact"/>
        <w:rPr>
          <w:sz w:val="20"/>
          <w:szCs w:val="20"/>
          <w:color w:val="auto"/>
        </w:rPr>
      </w:pPr>
    </w:p>
    <w:p>
      <w:pPr>
        <w:ind w:left="480" w:hanging="201"/>
        <w:spacing w:after="0"/>
        <w:tabs>
          <w:tab w:leader="none" w:pos="4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any Obligor:</w:t>
      </w:r>
    </w:p>
    <w:p>
      <w:pPr>
        <w:spacing w:after="0" w:line="186" w:lineRule="exact"/>
        <w:rPr>
          <w:rFonts w:ascii="Arial" w:cs="Arial" w:eastAsia="Arial" w:hAnsi="Arial"/>
          <w:sz w:val="15"/>
          <w:szCs w:val="15"/>
          <w:color w:val="auto"/>
        </w:rPr>
      </w:pPr>
    </w:p>
    <w:p>
      <w:pPr>
        <w:ind w:left="1160" w:right="320" w:hanging="455"/>
        <w:spacing w:after="0" w:line="268" w:lineRule="auto"/>
        <w:tabs>
          <w:tab w:leader="none" w:pos="11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commences a voluntary case under any applicable bankruptcy, insolvency, or other similar law now or hereafter in effect, or consent to the entry of an order for relief in an involuntary case under any such law;</w:t>
      </w:r>
    </w:p>
    <w:p>
      <w:pPr>
        <w:spacing w:after="0" w:line="175" w:lineRule="exact"/>
        <w:rPr>
          <w:rFonts w:ascii="Arial" w:cs="Arial" w:eastAsia="Arial" w:hAnsi="Arial"/>
          <w:sz w:val="15"/>
          <w:szCs w:val="15"/>
          <w:color w:val="auto"/>
        </w:rPr>
      </w:pPr>
    </w:p>
    <w:p>
      <w:pPr>
        <w:ind w:left="1160" w:hanging="455"/>
        <w:spacing w:after="0" w:line="268" w:lineRule="auto"/>
        <w:tabs>
          <w:tab w:leader="none" w:pos="11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consents to the appointment of or taking possession by a receiver, liquidator, assignee, custodian, trustee, sequestrator, or similar official of such party or for any substantial part of such party’s property; or</w:t>
      </w:r>
    </w:p>
    <w:p>
      <w:pPr>
        <w:spacing w:after="0" w:line="175" w:lineRule="exact"/>
        <w:rPr>
          <w:rFonts w:ascii="Arial" w:cs="Arial" w:eastAsia="Arial" w:hAnsi="Arial"/>
          <w:sz w:val="15"/>
          <w:szCs w:val="15"/>
          <w:color w:val="auto"/>
        </w:rPr>
      </w:pPr>
    </w:p>
    <w:p>
      <w:pPr>
        <w:ind w:left="1160" w:hanging="455"/>
        <w:spacing w:after="0"/>
        <w:tabs>
          <w:tab w:leader="none" w:pos="11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effects any general assignment for the benefit of creditors.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default under any Obligor’s other indebtedness is not a default under the senior indenture.</w:t>
      </w:r>
    </w:p>
    <w:p>
      <w:pPr>
        <w:spacing w:after="0" w:line="209" w:lineRule="exact"/>
        <w:rPr>
          <w:sz w:val="20"/>
          <w:szCs w:val="20"/>
          <w:color w:val="auto"/>
        </w:rPr>
      </w:pPr>
    </w:p>
    <w:p>
      <w:pPr>
        <w:ind w:right="60" w:firstLine="269"/>
        <w:spacing w:after="0" w:line="325" w:lineRule="auto"/>
        <w:rPr>
          <w:sz w:val="20"/>
          <w:szCs w:val="20"/>
          <w:color w:val="auto"/>
        </w:rPr>
      </w:pPr>
      <w:r>
        <w:rPr>
          <w:rFonts w:ascii="Arial" w:cs="Arial" w:eastAsia="Arial" w:hAnsi="Arial"/>
          <w:sz w:val="12"/>
          <w:szCs w:val="12"/>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and the trustee at the request of such holders shall, declare the principal amount of and accrued interest, if any, on such senior debt securities to be immediately due and payable. The amount due upon acceleration shall include only the original issue price of the senior debt securities and accrued to the date of acceleration and accrued interest, if any. Upon a declaration of acceleration, such principal amount of and accrued interest, if any, on such senior debt securities shall be immediately due and payable. 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w:t>
      </w:r>
    </w:p>
    <w:p>
      <w:pPr>
        <w:spacing w:after="0" w:line="150" w:lineRule="exact"/>
        <w:rPr>
          <w:sz w:val="20"/>
          <w:szCs w:val="20"/>
          <w:color w:val="auto"/>
        </w:rPr>
      </w:pPr>
    </w:p>
    <w:p>
      <w:pPr>
        <w:ind w:firstLine="269"/>
        <w:spacing w:after="0" w:line="268" w:lineRule="auto"/>
        <w:rPr>
          <w:sz w:val="20"/>
          <w:szCs w:val="20"/>
          <w:color w:val="auto"/>
        </w:rPr>
      </w:pPr>
      <w:r>
        <w:rPr>
          <w:rFonts w:ascii="Arial" w:cs="Arial" w:eastAsia="Arial" w:hAnsi="Arial"/>
          <w:sz w:val="15"/>
          <w:szCs w:val="15"/>
          <w:color w:val="auto"/>
        </w:rPr>
        <w:t>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173" w:lineRule="exact"/>
        <w:rPr>
          <w:sz w:val="20"/>
          <w:szCs w:val="20"/>
          <w:color w:val="auto"/>
        </w:rPr>
      </w:pPr>
    </w:p>
    <w:p>
      <w:pPr>
        <w:ind w:right="20" w:firstLine="269"/>
        <w:spacing w:after="0" w:line="276" w:lineRule="auto"/>
        <w:rPr>
          <w:sz w:val="20"/>
          <w:szCs w:val="20"/>
          <w:color w:val="auto"/>
        </w:rPr>
      </w:pPr>
      <w:r>
        <w:rPr>
          <w:rFonts w:ascii="Arial" w:cs="Arial" w:eastAsia="Arial" w:hAnsi="Arial"/>
          <w:sz w:val="14"/>
          <w:szCs w:val="14"/>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151" w:lineRule="exact"/>
        <w:rPr>
          <w:sz w:val="20"/>
          <w:szCs w:val="20"/>
          <w:color w:val="auto"/>
        </w:rPr>
      </w:pPr>
    </w:p>
    <w:p>
      <w:pPr>
        <w:ind w:left="820" w:hanging="463"/>
        <w:spacing w:after="0"/>
        <w:tabs>
          <w:tab w:leader="none" w:pos="8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holder gives the trustee written notice of a continuing event of default;</w:t>
      </w:r>
    </w:p>
    <w:p>
      <w:pPr>
        <w:spacing w:after="0" w:line="231" w:lineRule="exact"/>
        <w:rPr>
          <w:rFonts w:ascii="Arial" w:cs="Arial" w:eastAsia="Arial" w:hAnsi="Arial"/>
          <w:sz w:val="15"/>
          <w:szCs w:val="15"/>
          <w:color w:val="auto"/>
        </w:rPr>
      </w:pPr>
    </w:p>
    <w:p>
      <w:pPr>
        <w:ind w:left="820" w:right="80" w:hanging="463"/>
        <w:spacing w:after="0" w:line="268" w:lineRule="auto"/>
        <w:tabs>
          <w:tab w:leader="none" w:pos="8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holders of at least 25% in aggregate principal amount of such series of senior debt securities make a written request to the trustee to pursue the remedy in respect of such event of default;</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requesting holder or holders offer the trustee indemnity satisfactory to the trustee against any costs, liability, or expense;</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trustee does not comply with the request within 60 days after receipt of the request and the offer of indemnity; and</w:t>
      </w:r>
    </w:p>
    <w:p>
      <w:pPr>
        <w:spacing w:after="0" w:line="231" w:lineRule="exact"/>
        <w:rPr>
          <w:rFonts w:ascii="Arial" w:cs="Arial" w:eastAsia="Arial" w:hAnsi="Arial"/>
          <w:sz w:val="15"/>
          <w:szCs w:val="15"/>
          <w:color w:val="auto"/>
        </w:rPr>
      </w:pPr>
    </w:p>
    <w:p>
      <w:pPr>
        <w:ind w:left="820" w:right="160" w:hanging="463"/>
        <w:spacing w:after="0" w:line="268" w:lineRule="auto"/>
        <w:tabs>
          <w:tab w:leader="none" w:pos="8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during such 60-day period, the holders of a majority in aggregate principal amount of such series of senior debt securities do not give the trustee a direction that is inconsistent with the request.</w:t>
      </w:r>
    </w:p>
    <w:p>
      <w:pPr>
        <w:spacing w:after="0" w:line="175" w:lineRule="exact"/>
        <w:rPr>
          <w:sz w:val="20"/>
          <w:szCs w:val="20"/>
          <w:color w:val="auto"/>
        </w:rPr>
      </w:pPr>
    </w:p>
    <w:p>
      <w:pPr>
        <w:ind w:right="140" w:firstLine="269"/>
        <w:spacing w:after="0" w:line="395" w:lineRule="auto"/>
        <w:rPr>
          <w:sz w:val="20"/>
          <w:szCs w:val="20"/>
          <w:color w:val="auto"/>
        </w:rPr>
      </w:pPr>
      <w:r>
        <w:rPr>
          <w:rFonts w:ascii="Arial" w:cs="Arial" w:eastAsia="Arial" w:hAnsi="Arial"/>
          <w:sz w:val="12"/>
          <w:szCs w:val="12"/>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w:t>
      </w:r>
    </w:p>
    <w:p>
      <w:pPr>
        <w:spacing w:after="0" w:line="106" w:lineRule="exact"/>
        <w:rPr>
          <w:sz w:val="20"/>
          <w:szCs w:val="20"/>
          <w:color w:val="auto"/>
        </w:rPr>
      </w:pPr>
    </w:p>
    <w:p>
      <w:pPr>
        <w:ind w:right="280" w:firstLine="269"/>
        <w:spacing w:after="0" w:line="395" w:lineRule="auto"/>
        <w:rPr>
          <w:sz w:val="20"/>
          <w:szCs w:val="20"/>
          <w:color w:val="auto"/>
        </w:rPr>
      </w:pPr>
      <w:r>
        <w:rPr>
          <w:rFonts w:ascii="Arial" w:cs="Arial" w:eastAsia="Arial" w:hAnsi="Arial"/>
          <w:sz w:val="12"/>
          <w:szCs w:val="12"/>
          <w:color w:val="auto"/>
        </w:rPr>
        <w:t>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28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Discharge and Defeasance</w:t>
      </w:r>
    </w:p>
    <w:p>
      <w:pPr>
        <w:spacing w:after="0" w:line="209" w:lineRule="exact"/>
        <w:rPr>
          <w:sz w:val="20"/>
          <w:szCs w:val="20"/>
          <w:color w:val="auto"/>
        </w:rPr>
      </w:pPr>
    </w:p>
    <w:p>
      <w:pPr>
        <w:ind w:right="100" w:firstLine="269"/>
        <w:spacing w:after="0" w:line="268" w:lineRule="auto"/>
        <w:rPr>
          <w:sz w:val="20"/>
          <w:szCs w:val="20"/>
          <w:color w:val="auto"/>
        </w:rPr>
      </w:pPr>
      <w:r>
        <w:rPr>
          <w:rFonts w:ascii="Arial" w:cs="Arial" w:eastAsia="Arial" w:hAnsi="Arial"/>
          <w:sz w:val="15"/>
          <w:szCs w:val="15"/>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153" w:lineRule="exact"/>
        <w:rPr>
          <w:sz w:val="20"/>
          <w:szCs w:val="20"/>
          <w:color w:val="auto"/>
        </w:rPr>
      </w:pPr>
    </w:p>
    <w:p>
      <w:pPr>
        <w:ind w:left="820" w:right="60" w:hanging="463"/>
        <w:spacing w:after="0" w:line="268" w:lineRule="auto"/>
        <w:tabs>
          <w:tab w:leader="none" w:pos="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820" w:right="80" w:hanging="463"/>
        <w:spacing w:after="0" w:line="268" w:lineRule="auto"/>
        <w:tabs>
          <w:tab w:leader="none" w:pos="8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153" w:lineRule="exact"/>
        <w:rPr>
          <w:sz w:val="20"/>
          <w:szCs w:val="20"/>
          <w:color w:val="auto"/>
        </w:rPr>
      </w:pPr>
    </w:p>
    <w:p>
      <w:pPr>
        <w:ind w:left="1040" w:hanging="447"/>
        <w:spacing w:after="0" w:line="262"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4"/>
          <w:szCs w:val="14"/>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182" w:lineRule="exact"/>
        <w:rPr>
          <w:rFonts w:ascii="Arial" w:cs="Arial" w:eastAsia="Arial" w:hAnsi="Arial"/>
          <w:sz w:val="17"/>
          <w:szCs w:val="17"/>
          <w:color w:val="auto"/>
        </w:rPr>
      </w:pPr>
    </w:p>
    <w:p>
      <w:pPr>
        <w:ind w:left="1040" w:right="320" w:hanging="447"/>
        <w:spacing w:after="0" w:line="253"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4"/>
          <w:szCs w:val="14"/>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85" w:lineRule="exact"/>
        <w:rPr>
          <w:sz w:val="20"/>
          <w:szCs w:val="20"/>
          <w:color w:val="auto"/>
        </w:rPr>
      </w:pPr>
    </w:p>
    <w:p>
      <w:pPr>
        <w:ind w:right="40" w:firstLine="269"/>
        <w:spacing w:after="0" w:line="325" w:lineRule="auto"/>
        <w:rPr>
          <w:sz w:val="20"/>
          <w:szCs w:val="20"/>
          <w:color w:val="auto"/>
        </w:rPr>
      </w:pPr>
      <w:r>
        <w:rPr>
          <w:rFonts w:ascii="Arial" w:cs="Arial" w:eastAsia="Arial" w:hAnsi="Arial"/>
          <w:sz w:val="12"/>
          <w:szCs w:val="12"/>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deemed appropriate by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senior indenture also provides that, except as otherwise provided in this paragraph, we:</w:t>
      </w:r>
    </w:p>
    <w:p>
      <w:pPr>
        <w:spacing w:after="0" w:line="186" w:lineRule="exact"/>
        <w:rPr>
          <w:sz w:val="20"/>
          <w:szCs w:val="20"/>
          <w:color w:val="auto"/>
        </w:rPr>
      </w:pPr>
    </w:p>
    <w:p>
      <w:pPr>
        <w:ind w:left="820" w:right="20" w:hanging="463"/>
        <w:spacing w:after="0" w:line="268" w:lineRule="auto"/>
        <w:tabs>
          <w:tab w:leader="none" w:pos="8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175" w:lineRule="exact"/>
        <w:rPr>
          <w:rFonts w:ascii="Arial" w:cs="Arial" w:eastAsia="Arial" w:hAnsi="Arial"/>
          <w:sz w:val="15"/>
          <w:szCs w:val="15"/>
          <w:color w:val="auto"/>
        </w:rPr>
      </w:pPr>
    </w:p>
    <w:p>
      <w:pPr>
        <w:ind w:left="820" w:right="340" w:hanging="463"/>
        <w:spacing w:after="0" w:line="395" w:lineRule="auto"/>
        <w:tabs>
          <w:tab w:leader="none" w:pos="8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provided that the following conditions shall have been satisfied:</w:t>
      </w:r>
    </w:p>
    <w:p>
      <w:pPr>
        <w:spacing w:after="0" w:line="186" w:lineRule="exact"/>
        <w:rPr>
          <w:sz w:val="20"/>
          <w:szCs w:val="20"/>
          <w:color w:val="auto"/>
        </w:rPr>
      </w:pPr>
    </w:p>
    <w:p>
      <w:pPr>
        <w:ind w:left="820" w:hanging="463"/>
        <w:spacing w:after="0" w:line="253" w:lineRule="auto"/>
        <w:tabs>
          <w:tab w:leader="none" w:pos="8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820" w:right="60" w:hanging="463"/>
        <w:spacing w:after="0" w:line="268" w:lineRule="auto"/>
        <w:tabs>
          <w:tab w:leader="none" w:pos="8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 default or event of default with respect to the senior debt securities of such series shall have occurred and be continuing on the date of such deposit;</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shall have delivered to the trustee:</w:t>
      </w:r>
    </w:p>
    <w:p>
      <w:pPr>
        <w:spacing w:after="0" w:line="209" w:lineRule="exact"/>
        <w:rPr>
          <w:sz w:val="20"/>
          <w:szCs w:val="20"/>
          <w:color w:val="auto"/>
        </w:rPr>
      </w:pPr>
    </w:p>
    <w:p>
      <w:pPr>
        <w:ind w:left="1040" w:right="120" w:hanging="447"/>
        <w:spacing w:after="0" w:line="261" w:lineRule="auto"/>
        <w:tabs>
          <w:tab w:leader="none" w:pos="1040" w:val="left"/>
        </w:tabs>
        <w:numPr>
          <w:ilvl w:val="1"/>
          <w:numId w:val="37"/>
        </w:numPr>
        <w:rPr>
          <w:rFonts w:ascii="Arial" w:cs="Arial" w:eastAsia="Arial" w:hAnsi="Arial"/>
          <w:sz w:val="17"/>
          <w:szCs w:val="17"/>
          <w:color w:val="auto"/>
        </w:rPr>
      </w:pPr>
      <w:r>
        <w:rPr>
          <w:rFonts w:ascii="Arial" w:cs="Arial" w:eastAsia="Arial" w:hAnsi="Arial"/>
          <w:sz w:val="14"/>
          <w:szCs w:val="14"/>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81" w:lineRule="exact"/>
        <w:rPr>
          <w:rFonts w:ascii="Arial" w:cs="Arial" w:eastAsia="Arial" w:hAnsi="Arial"/>
          <w:sz w:val="17"/>
          <w:szCs w:val="17"/>
          <w:color w:val="auto"/>
        </w:rPr>
      </w:pPr>
    </w:p>
    <w:p>
      <w:pPr>
        <w:ind w:left="1040" w:right="480" w:hanging="447"/>
        <w:spacing w:after="0" w:line="231"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5"/>
          <w:szCs w:val="15"/>
          <w:color w:val="auto"/>
        </w:rPr>
        <w:t>an opinion of counsel that the holders of the senior debt securities of such series have a valid security interest in the trust funds subject to no prior liens under the Uniform Commercial Code; and</w:t>
      </w:r>
    </w:p>
    <w:p>
      <w:pPr>
        <w:spacing w:after="0" w:line="172" w:lineRule="exact"/>
        <w:rPr>
          <w:rFonts w:ascii="Arial" w:cs="Arial" w:eastAsia="Arial" w:hAnsi="Arial"/>
          <w:sz w:val="18"/>
          <w:szCs w:val="18"/>
          <w:color w:val="auto"/>
        </w:rPr>
      </w:pPr>
    </w:p>
    <w:p>
      <w:pPr>
        <w:ind w:left="820" w:right="80" w:hanging="463"/>
        <w:spacing w:after="0" w:line="268" w:lineRule="auto"/>
        <w:tabs>
          <w:tab w:leader="none" w:pos="8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175" w:lineRule="exact"/>
        <w:rPr>
          <w:sz w:val="20"/>
          <w:szCs w:val="20"/>
          <w:color w:val="auto"/>
        </w:rPr>
      </w:pPr>
    </w:p>
    <w:p>
      <w:pPr>
        <w:ind w:firstLine="269"/>
        <w:spacing w:after="0" w:line="332" w:lineRule="auto"/>
        <w:rPr>
          <w:sz w:val="20"/>
          <w:szCs w:val="20"/>
          <w:color w:val="auto"/>
        </w:rPr>
      </w:pPr>
      <w:r>
        <w:rPr>
          <w:rFonts w:ascii="Arial" w:cs="Arial" w:eastAsia="Arial" w:hAnsi="Arial"/>
          <w:sz w:val="12"/>
          <w:szCs w:val="12"/>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32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Modification and Waiver</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and the trustee may amend or supplement the senior indenture or the senior debt securities without notice to or the consent of any holder:</w:t>
      </w:r>
    </w:p>
    <w:p>
      <w:pPr>
        <w:spacing w:after="0" w:line="186" w:lineRule="exact"/>
        <w:rPr>
          <w:sz w:val="20"/>
          <w:szCs w:val="20"/>
          <w:color w:val="auto"/>
        </w:rPr>
      </w:pPr>
    </w:p>
    <w:p>
      <w:pPr>
        <w:ind w:left="820" w:right="240" w:hanging="463"/>
        <w:spacing w:after="0" w:line="268" w:lineRule="auto"/>
        <w:tabs>
          <w:tab w:leader="none" w:pos="8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cure any ambiguity, defect, or inconsistency in the senior indenture; provided that such amendments or supplements shall not adversely affect the interests of the holders in any material respect;</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comply with the provisions described under “— Certain Covenants — Consolidation, Merger and Sale of Assets;”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comply with any requirements of the SEC in connection with the qualification of the senior indenture under the Trust Indenture Act;</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evidence and provide for the acceptance of appointment hereunder by a successor trustee;</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establish the form or forms or terms of the senior debt securities as permitted by the senior indenture;</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provide for uncertificated notes and to make all appropriate changes for such purpose;</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make any change that does not adversely affect the rights of any holder;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820" w:hanging="463"/>
        <w:spacing w:after="0" w:line="268" w:lineRule="auto"/>
        <w:tabs>
          <w:tab w:leader="none" w:pos="8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to make any change so long as no senior debt securities are outstanding.</w:t>
      </w:r>
    </w:p>
    <w:p>
      <w:pPr>
        <w:spacing w:after="0" w:line="231" w:lineRule="exact"/>
        <w:rPr>
          <w:sz w:val="20"/>
          <w:szCs w:val="20"/>
          <w:color w:val="auto"/>
        </w:rPr>
      </w:pPr>
    </w:p>
    <w:p>
      <w:pPr>
        <w:ind w:right="20" w:firstLine="269"/>
        <w:spacing w:after="0" w:line="279" w:lineRule="auto"/>
        <w:rPr>
          <w:sz w:val="20"/>
          <w:szCs w:val="20"/>
          <w:color w:val="auto"/>
        </w:rPr>
      </w:pPr>
      <w:r>
        <w:rPr>
          <w:rFonts w:ascii="Arial" w:cs="Arial" w:eastAsia="Arial" w:hAnsi="Arial"/>
          <w:sz w:val="14"/>
          <w:szCs w:val="14"/>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148" w:lineRule="exact"/>
        <w:rPr>
          <w:sz w:val="20"/>
          <w:szCs w:val="20"/>
          <w:color w:val="auto"/>
        </w:rPr>
      </w:pPr>
    </w:p>
    <w:p>
      <w:pPr>
        <w:ind w:left="820" w:hanging="463"/>
        <w:spacing w:after="0"/>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the stated maturity of the principal of, or any installment of interest on, the senior debt securities of the affected series;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reduces the principal amount of, or premium, if any, or interest on, the senior debt securities of the affected series;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the place or currency of payment of principal of, or premium, if any, or interest on, the senior debt securities of the affected series;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the provisions for calculating the optional redemption price, including the definitions relating thereto;</w:t>
      </w:r>
    </w:p>
    <w:p>
      <w:pPr>
        <w:spacing w:after="0" w:line="231" w:lineRule="exact"/>
        <w:rPr>
          <w:rFonts w:ascii="Arial" w:cs="Arial" w:eastAsia="Arial" w:hAnsi="Arial"/>
          <w:sz w:val="15"/>
          <w:szCs w:val="15"/>
          <w:color w:val="auto"/>
        </w:rPr>
      </w:pPr>
    </w:p>
    <w:p>
      <w:pPr>
        <w:ind w:left="820" w:right="180" w:hanging="463"/>
        <w:spacing w:after="0" w:line="268" w:lineRule="auto"/>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175" w:lineRule="exact"/>
        <w:rPr>
          <w:rFonts w:ascii="Arial" w:cs="Arial" w:eastAsia="Arial" w:hAnsi="Arial"/>
          <w:sz w:val="15"/>
          <w:szCs w:val="15"/>
          <w:color w:val="auto"/>
        </w:rPr>
      </w:pPr>
    </w:p>
    <w:p>
      <w:pPr>
        <w:ind w:left="820" w:right="380" w:hanging="463"/>
        <w:spacing w:after="0" w:line="268" w:lineRule="auto"/>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waives a default in the payment of principal of, premium, if any, or interest on the senior debt securities; or</w:t>
      </w:r>
    </w:p>
    <w:p>
      <w:pPr>
        <w:spacing w:after="0" w:line="231" w:lineRule="exact"/>
        <w:rPr>
          <w:rFonts w:ascii="Arial" w:cs="Arial" w:eastAsia="Arial" w:hAnsi="Arial"/>
          <w:sz w:val="15"/>
          <w:szCs w:val="15"/>
          <w:color w:val="auto"/>
        </w:rPr>
      </w:pPr>
    </w:p>
    <w:p>
      <w:pPr>
        <w:ind w:left="820" w:right="360" w:hanging="463"/>
        <w:spacing w:after="0" w:line="268" w:lineRule="auto"/>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w:t>
      </w:r>
    </w:p>
    <w:p>
      <w:pPr>
        <w:spacing w:after="0" w:line="175" w:lineRule="exact"/>
        <w:rPr>
          <w:sz w:val="20"/>
          <w:szCs w:val="20"/>
          <w:color w:val="auto"/>
        </w:rPr>
      </w:pPr>
    </w:p>
    <w:p>
      <w:pPr>
        <w:ind w:right="20" w:firstLine="269"/>
        <w:spacing w:after="0" w:line="255" w:lineRule="auto"/>
        <w:rPr>
          <w:sz w:val="20"/>
          <w:szCs w:val="20"/>
          <w:color w:val="auto"/>
        </w:rPr>
      </w:pPr>
      <w:r>
        <w:rPr>
          <w:rFonts w:ascii="Arial" w:cs="Arial" w:eastAsia="Arial" w:hAnsi="Arial"/>
          <w:sz w:val="15"/>
          <w:szCs w:val="15"/>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No Personal Liability of Incorporators, Stockholders, Officers, Directors, or Employees</w:t>
      </w:r>
    </w:p>
    <w:p>
      <w:pPr>
        <w:spacing w:after="0" w:line="209" w:lineRule="exact"/>
        <w:rPr>
          <w:sz w:val="20"/>
          <w:szCs w:val="20"/>
          <w:color w:val="auto"/>
        </w:rPr>
      </w:pPr>
    </w:p>
    <w:p>
      <w:pPr>
        <w:ind w:right="80" w:firstLine="269"/>
        <w:spacing w:after="0" w:line="279" w:lineRule="auto"/>
        <w:rPr>
          <w:sz w:val="20"/>
          <w:szCs w:val="20"/>
          <w:color w:val="auto"/>
        </w:rPr>
      </w:pPr>
      <w:r>
        <w:rPr>
          <w:rFonts w:ascii="Arial" w:cs="Arial" w:eastAsia="Arial" w:hAnsi="Arial"/>
          <w:sz w:val="14"/>
          <w:szCs w:val="14"/>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Concerning the Trustee</w:t>
      </w:r>
    </w:p>
    <w:p>
      <w:pPr>
        <w:spacing w:after="0" w:line="209" w:lineRule="exact"/>
        <w:rPr>
          <w:sz w:val="20"/>
          <w:szCs w:val="20"/>
          <w:color w:val="auto"/>
        </w:rPr>
      </w:pPr>
    </w:p>
    <w:p>
      <w:pPr>
        <w:ind w:right="20" w:firstLine="269"/>
        <w:spacing w:after="0" w:line="258" w:lineRule="auto"/>
        <w:rPr>
          <w:sz w:val="20"/>
          <w:szCs w:val="20"/>
          <w:color w:val="auto"/>
        </w:rPr>
      </w:pPr>
      <w:r>
        <w:rPr>
          <w:rFonts w:ascii="Arial" w:cs="Arial" w:eastAsia="Arial" w:hAnsi="Arial"/>
          <w:sz w:val="15"/>
          <w:szCs w:val="15"/>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Governing Law</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senior indenture and the debt securities will be governed by, and construed in accordance with, the internal laws of the State of New York.</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The Trustees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may have normal banking relationships with the trustee under the senior indenture in the ordinary course of business.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Terms of the Subordinated Debt Securities</w:t>
      </w:r>
    </w:p>
    <w:p>
      <w:pPr>
        <w:spacing w:after="0" w:line="213" w:lineRule="exact"/>
        <w:rPr>
          <w:sz w:val="20"/>
          <w:szCs w:val="20"/>
          <w:color w:val="auto"/>
        </w:rPr>
      </w:pPr>
    </w:p>
    <w:p>
      <w:pPr>
        <w:jc w:val="both"/>
        <w:ind w:right="200" w:firstLine="269"/>
        <w:spacing w:after="0" w:line="258" w:lineRule="auto"/>
        <w:rPr>
          <w:sz w:val="20"/>
          <w:szCs w:val="20"/>
          <w:color w:val="auto"/>
        </w:rPr>
      </w:pPr>
      <w:r>
        <w:rPr>
          <w:rFonts w:ascii="Arial" w:cs="Arial" w:eastAsia="Arial" w:hAnsi="Arial"/>
          <w:sz w:val="15"/>
          <w:szCs w:val="15"/>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Subordination</w:t>
      </w:r>
    </w:p>
    <w:p>
      <w:pPr>
        <w:spacing w:after="0" w:line="209" w:lineRule="exact"/>
        <w:rPr>
          <w:sz w:val="20"/>
          <w:szCs w:val="20"/>
          <w:color w:val="auto"/>
        </w:rPr>
      </w:pPr>
    </w:p>
    <w:p>
      <w:pPr>
        <w:ind w:firstLine="269"/>
        <w:spacing w:after="0" w:line="328" w:lineRule="auto"/>
        <w:rPr>
          <w:sz w:val="20"/>
          <w:szCs w:val="20"/>
          <w:color w:val="auto"/>
        </w:rPr>
      </w:pPr>
      <w:r>
        <w:rPr>
          <w:rFonts w:ascii="Arial" w:cs="Arial" w:eastAsia="Arial" w:hAnsi="Arial"/>
          <w:sz w:val="12"/>
          <w:szCs w:val="12"/>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subordination provisions also apply in the same way to each cable guarantor with respect to the Senior Indebtedness of such cable guarantor.</w:t>
      </w:r>
    </w:p>
    <w:p>
      <w:pPr>
        <w:spacing w:after="0" w:line="209" w:lineRule="exact"/>
        <w:rPr>
          <w:sz w:val="20"/>
          <w:szCs w:val="20"/>
          <w:color w:val="auto"/>
        </w:rPr>
      </w:pPr>
    </w:p>
    <w:p>
      <w:pPr>
        <w:ind w:right="380" w:firstLine="269"/>
        <w:spacing w:after="0" w:line="268" w:lineRule="auto"/>
        <w:rPr>
          <w:sz w:val="20"/>
          <w:szCs w:val="20"/>
          <w:color w:val="auto"/>
        </w:rPr>
      </w:pPr>
      <w:r>
        <w:rPr>
          <w:rFonts w:ascii="Arial" w:cs="Arial" w:eastAsia="Arial" w:hAnsi="Arial"/>
          <w:sz w:val="15"/>
          <w:szCs w:val="15"/>
          <w:color w:val="auto"/>
        </w:rPr>
        <w:t>The term “Senior Indebtedness” of a person means with respect to such person the principal of, premium, if any, interest on, and any other payment due pursuant to any of the following, whether outstanding today or incurred by that person in the future:</w:t>
      </w:r>
    </w:p>
    <w:p>
      <w:pPr>
        <w:spacing w:after="0" w:line="153" w:lineRule="exact"/>
        <w:rPr>
          <w:sz w:val="20"/>
          <w:szCs w:val="20"/>
          <w:color w:val="auto"/>
        </w:rPr>
      </w:pPr>
    </w:p>
    <w:p>
      <w:pPr>
        <w:ind w:left="820" w:right="320" w:hanging="463"/>
        <w:spacing w:after="0" w:line="395" w:lineRule="auto"/>
        <w:tabs>
          <w:tab w:leader="none" w:pos="8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106" w:lineRule="exact"/>
        <w:rPr>
          <w:rFonts w:ascii="Arial" w:cs="Arial" w:eastAsia="Arial" w:hAnsi="Arial"/>
          <w:sz w:val="12"/>
          <w:szCs w:val="12"/>
          <w:color w:val="auto"/>
        </w:rPr>
      </w:pPr>
    </w:p>
    <w:p>
      <w:pPr>
        <w:ind w:left="820" w:hanging="463"/>
        <w:spacing w:after="0"/>
        <w:tabs>
          <w:tab w:leader="none" w:pos="8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all of the indebtedness of that person evidenced by notes, debentures, bonds or other securities sold by that person for money;</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all of the lease obligations which are capitalized on the books of that person in accordance with generally accepted accounting principles;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820" w:right="260" w:hanging="463"/>
        <w:spacing w:after="0" w:line="395" w:lineRule="auto"/>
        <w:tabs>
          <w:tab w:leader="none" w:pos="8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all indebtedness of others of the kinds described in the first two bullet points above and all lease obligations of others of the kind described in the third bullet point above that the person, in any manner, assume or guarantee or that the person in effect guarantees through an agreement to purchase, whether that agreement is contingent or otherwise; and</w:t>
      </w:r>
    </w:p>
    <w:p>
      <w:pPr>
        <w:spacing w:after="0" w:line="106" w:lineRule="exact"/>
        <w:rPr>
          <w:rFonts w:ascii="Arial" w:cs="Arial" w:eastAsia="Arial" w:hAnsi="Arial"/>
          <w:sz w:val="12"/>
          <w:szCs w:val="12"/>
          <w:color w:val="auto"/>
        </w:rPr>
      </w:pPr>
    </w:p>
    <w:p>
      <w:pPr>
        <w:ind w:left="820" w:right="300" w:hanging="463"/>
        <w:spacing w:after="0" w:line="268" w:lineRule="auto"/>
        <w:tabs>
          <w:tab w:leader="none" w:pos="8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53" w:lineRule="exact"/>
        <w:rPr>
          <w:sz w:val="20"/>
          <w:szCs w:val="20"/>
          <w:color w:val="auto"/>
        </w:rPr>
      </w:pPr>
    </w:p>
    <w:p>
      <w:pPr>
        <w:jc w:val="both"/>
        <w:ind w:right="160"/>
        <w:spacing w:after="0" w:line="279" w:lineRule="auto"/>
        <w:rPr>
          <w:sz w:val="20"/>
          <w:szCs w:val="20"/>
          <w:color w:val="auto"/>
        </w:rPr>
      </w:pPr>
      <w:r>
        <w:rPr>
          <w:rFonts w:ascii="Arial" w:cs="Arial" w:eastAsia="Arial" w:hAnsi="Arial"/>
          <w:sz w:val="14"/>
          <w:szCs w:val="14"/>
          <w:i w:val="1"/>
          <w:iCs w:val="1"/>
          <w:color w:val="auto"/>
        </w:rPr>
        <w:t>unless</w:t>
      </w:r>
      <w:r>
        <w:rPr>
          <w:rFonts w:ascii="Arial" w:cs="Arial" w:eastAsia="Arial" w:hAnsi="Arial"/>
          <w:sz w:val="14"/>
          <w:szCs w:val="14"/>
          <w:color w:val="auto"/>
        </w:rPr>
        <w:t>, in the case of any particular indebtedness, lease, renewal, extension or refunding, the instrument or lease creating or evidencing it or the assumption or guarantee relating to it expressly</w:t>
      </w:r>
      <w:r>
        <w:rPr>
          <w:rFonts w:ascii="Arial" w:cs="Arial" w:eastAsia="Arial" w:hAnsi="Arial"/>
          <w:sz w:val="14"/>
          <w:szCs w:val="14"/>
          <w:i w:val="1"/>
          <w:iCs w:val="1"/>
          <w:color w:val="auto"/>
        </w:rPr>
        <w:t xml:space="preserve"> </w:t>
      </w:r>
      <w:r>
        <w:rPr>
          <w:rFonts w:ascii="Arial" w:cs="Arial" w:eastAsia="Arial" w:hAnsi="Arial"/>
          <w:sz w:val="14"/>
          <w:szCs w:val="14"/>
          <w:color w:val="auto"/>
        </w:rPr>
        <w:t>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Convertible Debt Securities</w:t>
      </w:r>
    </w:p>
    <w:p>
      <w:pPr>
        <w:spacing w:after="0" w:line="213" w:lineRule="exact"/>
        <w:rPr>
          <w:sz w:val="20"/>
          <w:szCs w:val="20"/>
          <w:color w:val="auto"/>
        </w:rPr>
      </w:pPr>
    </w:p>
    <w:p>
      <w:pPr>
        <w:jc w:val="both"/>
        <w:ind w:right="60" w:firstLine="269"/>
        <w:spacing w:after="0" w:line="353" w:lineRule="auto"/>
        <w:rPr>
          <w:sz w:val="20"/>
          <w:szCs w:val="20"/>
          <w:color w:val="auto"/>
        </w:rPr>
      </w:pPr>
      <w:r>
        <w:rPr>
          <w:rFonts w:ascii="Arial" w:cs="Arial" w:eastAsia="Arial" w:hAnsi="Arial"/>
          <w:sz w:val="12"/>
          <w:szCs w:val="12"/>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Unless otherwise indicated in the prospectus supplement, the following provisions will apply to debt securities being offered that may be exchanged for or converted into capital stock:</w:t>
      </w:r>
    </w:p>
    <w:p>
      <w:pPr>
        <w:spacing w:after="0" w:line="243" w:lineRule="exact"/>
        <w:rPr>
          <w:sz w:val="20"/>
          <w:szCs w:val="20"/>
          <w:color w:val="auto"/>
        </w:rPr>
      </w:pPr>
    </w:p>
    <w:p>
      <w:pPr>
        <w:jc w:val="both"/>
        <w:ind w:right="280" w:firstLine="269"/>
        <w:spacing w:after="0" w:line="353" w:lineRule="auto"/>
        <w:rPr>
          <w:sz w:val="20"/>
          <w:szCs w:val="20"/>
          <w:color w:val="auto"/>
        </w:rPr>
      </w:pPr>
      <w:r>
        <w:rPr>
          <w:rFonts w:ascii="Arial" w:cs="Arial" w:eastAsia="Arial" w:hAnsi="Arial"/>
          <w:sz w:val="12"/>
          <w:szCs w:val="12"/>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131" w:lineRule="exact"/>
        <w:rPr>
          <w:sz w:val="20"/>
          <w:szCs w:val="20"/>
          <w:color w:val="auto"/>
        </w:rPr>
      </w:pPr>
    </w:p>
    <w:p>
      <w:pPr>
        <w:ind w:right="140" w:firstLine="269"/>
        <w:spacing w:after="0" w:line="286" w:lineRule="auto"/>
        <w:rPr>
          <w:sz w:val="20"/>
          <w:szCs w:val="20"/>
          <w:color w:val="auto"/>
        </w:rPr>
      </w:pPr>
      <w:r>
        <w:rPr>
          <w:rFonts w:ascii="Arial" w:cs="Arial" w:eastAsia="Arial" w:hAnsi="Arial"/>
          <w:sz w:val="14"/>
          <w:szCs w:val="14"/>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65" w:lineRule="exact"/>
        <w:rPr>
          <w:sz w:val="20"/>
          <w:szCs w:val="20"/>
          <w:color w:val="auto"/>
        </w:rPr>
      </w:pPr>
    </w:p>
    <w:p>
      <w:pPr>
        <w:ind w:right="140" w:firstLine="269"/>
        <w:spacing w:after="0" w:line="268" w:lineRule="auto"/>
        <w:rPr>
          <w:sz w:val="20"/>
          <w:szCs w:val="20"/>
          <w:color w:val="auto"/>
        </w:rPr>
      </w:pPr>
      <w:r>
        <w:rPr>
          <w:rFonts w:ascii="Arial" w:cs="Arial" w:eastAsia="Arial" w:hAnsi="Arial"/>
          <w:sz w:val="15"/>
          <w:szCs w:val="15"/>
          <w:color w:val="auto"/>
        </w:rPr>
        <w:t>Unless the terms of the specific debt securities being offered provide otherwise, in certain events, the conversion rate will be subject to adjustment as set forth in the indentures. Such events include:</w:t>
      </w:r>
    </w:p>
    <w:p>
      <w:pPr>
        <w:spacing w:after="0" w:line="153" w:lineRule="exact"/>
        <w:rPr>
          <w:sz w:val="20"/>
          <w:szCs w:val="20"/>
          <w:color w:val="auto"/>
        </w:rPr>
      </w:pPr>
    </w:p>
    <w:p>
      <w:pPr>
        <w:ind w:left="820" w:hanging="463"/>
        <w:spacing w:after="0"/>
        <w:tabs>
          <w:tab w:leader="none" w:pos="8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issuance of shares of any class of capital stock of ours as a dividend on the class of capital stock into which the debt securities of such series are convertible;</w:t>
      </w:r>
    </w:p>
    <w:p>
      <w:pPr>
        <w:spacing w:after="0" w:line="242" w:lineRule="exact"/>
        <w:rPr>
          <w:rFonts w:ascii="Arial" w:cs="Arial" w:eastAsia="Arial" w:hAnsi="Arial"/>
          <w:sz w:val="14"/>
          <w:szCs w:val="14"/>
          <w:color w:val="auto"/>
        </w:rPr>
      </w:pPr>
    </w:p>
    <w:p>
      <w:pPr>
        <w:ind w:left="820" w:hanging="463"/>
        <w:spacing w:after="0"/>
        <w:tabs>
          <w:tab w:leader="none" w:pos="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subdivisions, combinations and reclassifications of the class of capital stock into which debt securities of such series are convertible;</w:t>
      </w:r>
    </w:p>
    <w:p>
      <w:pPr>
        <w:spacing w:after="0" w:line="231" w:lineRule="exact"/>
        <w:rPr>
          <w:rFonts w:ascii="Arial" w:cs="Arial" w:eastAsia="Arial" w:hAnsi="Arial"/>
          <w:sz w:val="15"/>
          <w:szCs w:val="15"/>
          <w:color w:val="auto"/>
        </w:rPr>
      </w:pPr>
    </w:p>
    <w:p>
      <w:pPr>
        <w:ind w:left="820" w:hanging="463"/>
        <w:spacing w:after="0" w:line="395" w:lineRule="auto"/>
        <w:tabs>
          <w:tab w:leader="none" w:pos="8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820" w:right="300" w:hanging="463"/>
        <w:spacing w:after="0" w:line="268" w:lineRule="auto"/>
        <w:tabs>
          <w:tab w:leader="none" w:pos="8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distributions of cash in excess of certain threshold amounts.</w:t>
      </w:r>
    </w:p>
    <w:p>
      <w:pPr>
        <w:spacing w:after="0" w:line="231" w:lineRule="exact"/>
        <w:rPr>
          <w:sz w:val="20"/>
          <w:szCs w:val="20"/>
          <w:color w:val="auto"/>
        </w:rPr>
      </w:pPr>
    </w:p>
    <w:p>
      <w:pPr>
        <w:ind w:right="160" w:firstLine="269"/>
        <w:spacing w:after="0" w:line="268" w:lineRule="auto"/>
        <w:rPr>
          <w:sz w:val="20"/>
          <w:szCs w:val="20"/>
          <w:color w:val="auto"/>
        </w:rPr>
      </w:pPr>
      <w:r>
        <w:rPr>
          <w:rFonts w:ascii="Arial" w:cs="Arial" w:eastAsia="Arial" w:hAnsi="Arial"/>
          <w:sz w:val="15"/>
          <w:szCs w:val="15"/>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175" w:lineRule="exact"/>
        <w:rPr>
          <w:sz w:val="20"/>
          <w:szCs w:val="20"/>
          <w:color w:val="auto"/>
        </w:rPr>
      </w:pPr>
    </w:p>
    <w:p>
      <w:pPr>
        <w:ind w:firstLine="269"/>
        <w:spacing w:after="0" w:line="255" w:lineRule="auto"/>
        <w:rPr>
          <w:sz w:val="20"/>
          <w:szCs w:val="20"/>
          <w:color w:val="auto"/>
        </w:rPr>
      </w:pPr>
      <w:r>
        <w:rPr>
          <w:rFonts w:ascii="Arial" w:cs="Arial" w:eastAsia="Arial" w:hAnsi="Arial"/>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DESCRIPTION OF WARRANTS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213" w:lineRule="exact"/>
        <w:rPr>
          <w:sz w:val="20"/>
          <w:szCs w:val="20"/>
          <w:color w:val="auto"/>
        </w:rPr>
      </w:pPr>
    </w:p>
    <w:p>
      <w:pPr>
        <w:ind w:right="140" w:firstLine="269"/>
        <w:spacing w:after="0" w:line="339" w:lineRule="auto"/>
        <w:rPr>
          <w:sz w:val="20"/>
          <w:szCs w:val="20"/>
          <w:color w:val="auto"/>
        </w:rPr>
      </w:pPr>
      <w:r>
        <w:rPr>
          <w:rFonts w:ascii="Arial" w:cs="Arial" w:eastAsia="Arial" w:hAnsi="Arial"/>
          <w:sz w:val="12"/>
          <w:szCs w:val="12"/>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applicable prospectus supplement will describe the following terms of any warrants in respect of which this prospectus is being delivered:</w:t>
      </w:r>
    </w:p>
    <w:p>
      <w:pPr>
        <w:spacing w:after="0" w:line="186" w:lineRule="exact"/>
        <w:rPr>
          <w:sz w:val="20"/>
          <w:szCs w:val="20"/>
          <w:color w:val="auto"/>
        </w:rPr>
      </w:pPr>
    </w:p>
    <w:p>
      <w:pPr>
        <w:ind w:left="820" w:hanging="463"/>
        <w:spacing w:after="0"/>
        <w:tabs>
          <w:tab w:leader="none" w:pos="8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title of such warrants;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aggregate number of such warrants;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price or prices at which such warrants will be issued;</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currency or currencies, including composite currencies, in which the price of such warrants may be payable;</w:t>
      </w:r>
    </w:p>
    <w:p>
      <w:pPr>
        <w:spacing w:after="0" w:line="231" w:lineRule="exact"/>
        <w:rPr>
          <w:rFonts w:ascii="Arial" w:cs="Arial" w:eastAsia="Arial" w:hAnsi="Arial"/>
          <w:sz w:val="15"/>
          <w:szCs w:val="15"/>
          <w:color w:val="auto"/>
        </w:rPr>
      </w:pPr>
    </w:p>
    <w:p>
      <w:pPr>
        <w:ind w:left="820" w:right="60" w:hanging="463"/>
        <w:spacing w:after="0" w:line="268" w:lineRule="auto"/>
        <w:tabs>
          <w:tab w:leader="none" w:pos="8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securities or other rights,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price at which and the currency or currencies, including composite currencies, in which the securities purchasable upon exercise of such warrants may be purchased;</w:t>
      </w:r>
    </w:p>
    <w:p>
      <w:pPr>
        <w:spacing w:after="0" w:line="242" w:lineRule="exact"/>
        <w:rPr>
          <w:rFonts w:ascii="Arial" w:cs="Arial" w:eastAsia="Arial" w:hAnsi="Arial"/>
          <w:sz w:val="14"/>
          <w:szCs w:val="14"/>
          <w:color w:val="auto"/>
        </w:rPr>
      </w:pPr>
    </w:p>
    <w:p>
      <w:pPr>
        <w:ind w:left="820" w:hanging="463"/>
        <w:spacing w:after="0"/>
        <w:tabs>
          <w:tab w:leader="none" w:pos="8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date on which the right to exercise such warrants shall commence and the date on which such right shall expire;</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if applicable, the minimum or maximum amount of such warrants which may be exercised at any one time;</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if applicable, the designation and terms of the securities with which such warrants are issued and the number of such warrants issued with each such security;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820" w:hanging="463"/>
        <w:spacing w:after="0"/>
        <w:tabs>
          <w:tab w:leader="none" w:pos="8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if applicable, the date on and after which such warrants and the related securities will be separately transferable;</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information with respect to book-entry procedures, if any;</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if applicable, a discussion of certain United States Federal income tax considerations;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if applicable, the identity of any of our cable subsidiaries guaranteeing our obligations with respect to such warrants; and</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any other terms of such warrants, including terms, procedures and limitations relating to the exchange and exercise of such warrants.</w:t>
      </w:r>
    </w:p>
    <w:p>
      <w:pPr>
        <w:spacing w:after="0" w:line="204" w:lineRule="exact"/>
        <w:rPr>
          <w:rFonts w:ascii="Arial" w:cs="Arial" w:eastAsia="Arial" w:hAnsi="Arial"/>
          <w:sz w:val="15"/>
          <w:szCs w:val="15"/>
          <w:color w:val="auto"/>
        </w:rPr>
      </w:pPr>
    </w:p>
    <w:p>
      <w:pPr>
        <w:ind w:left="4220"/>
        <w:spacing w:after="0"/>
        <w:rPr>
          <w:rFonts w:ascii="Arial" w:cs="Arial" w:eastAsia="Arial" w:hAnsi="Arial"/>
          <w:sz w:val="15"/>
          <w:szCs w:val="15"/>
          <w:color w:val="auto"/>
        </w:rPr>
      </w:pPr>
      <w:r>
        <w:rPr>
          <w:rFonts w:ascii="Arial" w:cs="Arial" w:eastAsia="Arial" w:hAnsi="Arial"/>
          <w:sz w:val="15"/>
          <w:szCs w:val="15"/>
          <w:b w:val="1"/>
          <w:bCs w:val="1"/>
          <w:color w:val="auto"/>
        </w:rPr>
        <w:t>DESCRIPTION OF PURCHASE CONTRACTS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may issue purchase contracts for the purchase or sale of:</w:t>
      </w:r>
    </w:p>
    <w:p>
      <w:pPr>
        <w:spacing w:after="0" w:line="186" w:lineRule="exact"/>
        <w:rPr>
          <w:sz w:val="20"/>
          <w:szCs w:val="20"/>
          <w:color w:val="auto"/>
        </w:rPr>
      </w:pPr>
    </w:p>
    <w:p>
      <w:pPr>
        <w:ind w:left="820" w:right="40" w:hanging="463"/>
        <w:spacing w:after="0" w:line="268" w:lineRule="auto"/>
        <w:tabs>
          <w:tab w:leader="none" w:pos="8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securities or securities of an entity unaffiliated or affiliated with us, a basket of such securities, an index or indices of such securities or any combination of the above as specified in the applicable prospectus supplement;</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currencies or composite currencies; or</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commodities.</w:t>
      </w:r>
    </w:p>
    <w:p>
      <w:pPr>
        <w:spacing w:after="0" w:line="231" w:lineRule="exact"/>
        <w:rPr>
          <w:sz w:val="20"/>
          <w:szCs w:val="20"/>
          <w:color w:val="auto"/>
        </w:rPr>
      </w:pPr>
    </w:p>
    <w:p>
      <w:pPr>
        <w:ind w:firstLine="269"/>
        <w:spacing w:after="0" w:line="332" w:lineRule="auto"/>
        <w:rPr>
          <w:sz w:val="20"/>
          <w:szCs w:val="20"/>
          <w:color w:val="auto"/>
        </w:rPr>
      </w:pPr>
      <w:r>
        <w:rPr>
          <w:rFonts w:ascii="Arial" w:cs="Arial" w:eastAsia="Arial" w:hAnsi="Arial"/>
          <w:sz w:val="12"/>
          <w:szCs w:val="12"/>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any acceleration, cancellation or termination provisions or other provisions relating to the settlement of a purchase contract and, if applicable, the identity of any of our cable subsidiaries guaranteeing our obligations with respect to such purchase contracts.</w:t>
      </w:r>
    </w:p>
    <w:p>
      <w:pPr>
        <w:spacing w:after="0" w:line="144" w:lineRule="exact"/>
        <w:rPr>
          <w:sz w:val="20"/>
          <w:szCs w:val="20"/>
          <w:color w:val="auto"/>
        </w:rPr>
      </w:pPr>
    </w:p>
    <w:p>
      <w:pPr>
        <w:ind w:right="80" w:firstLine="269"/>
        <w:spacing w:after="0" w:line="268" w:lineRule="auto"/>
        <w:rPr>
          <w:sz w:val="20"/>
          <w:szCs w:val="20"/>
          <w:color w:val="auto"/>
        </w:rPr>
      </w:pPr>
      <w:r>
        <w:rPr>
          <w:rFonts w:ascii="Arial" w:cs="Arial" w:eastAsia="Arial" w:hAnsi="Arial"/>
          <w:sz w:val="15"/>
          <w:szCs w:val="15"/>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DESCRIPTION OF UNITS</w:t>
      </w:r>
    </w:p>
    <w:p>
      <w:pPr>
        <w:spacing w:after="0" w:line="213" w:lineRule="exact"/>
        <w:rPr>
          <w:sz w:val="20"/>
          <w:szCs w:val="20"/>
          <w:color w:val="auto"/>
        </w:rPr>
      </w:pPr>
    </w:p>
    <w:p>
      <w:pPr>
        <w:ind w:right="440" w:firstLine="269"/>
        <w:spacing w:after="0" w:line="268" w:lineRule="auto"/>
        <w:rPr>
          <w:sz w:val="20"/>
          <w:szCs w:val="20"/>
          <w:color w:val="auto"/>
        </w:rPr>
      </w:pPr>
      <w:r>
        <w:rPr>
          <w:rFonts w:ascii="Arial" w:cs="Arial" w:eastAsia="Arial" w:hAnsi="Arial"/>
          <w:sz w:val="15"/>
          <w:szCs w:val="15"/>
          <w:color w:val="auto"/>
        </w:rPr>
        <w:t>As specified in the applicable prospectus supplement, units will consist of one or more purchase contracts, warrants, debt securities, preferred stock, Class A Common Stock or Class A Special Common Stock or any combination thereof. Reference is made to the applicable prospectus supplement for:</w:t>
      </w:r>
    </w:p>
    <w:p>
      <w:pPr>
        <w:spacing w:after="0" w:line="153" w:lineRule="exact"/>
        <w:rPr>
          <w:sz w:val="20"/>
          <w:szCs w:val="20"/>
          <w:color w:val="auto"/>
        </w:rPr>
      </w:pPr>
    </w:p>
    <w:p>
      <w:pPr>
        <w:ind w:left="820" w:right="20" w:hanging="463"/>
        <w:spacing w:after="0" w:line="395" w:lineRule="auto"/>
        <w:tabs>
          <w:tab w:leader="none" w:pos="8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all terms of the units and of the purchase contracts, warrants, debt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106" w:lineRule="exact"/>
        <w:rPr>
          <w:rFonts w:ascii="Arial" w:cs="Arial" w:eastAsia="Arial" w:hAnsi="Arial"/>
          <w:sz w:val="12"/>
          <w:szCs w:val="12"/>
          <w:color w:val="auto"/>
        </w:rPr>
      </w:pPr>
    </w:p>
    <w:p>
      <w:pPr>
        <w:ind w:left="820" w:hanging="463"/>
        <w:spacing w:after="0"/>
        <w:tabs>
          <w:tab w:leader="none" w:pos="8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description of the terms of any unit agreement governing the units;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if applicable, a description of any guarantee by any of our subsidiaries of our obligations under the units; and</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description of the provisions for the payment, settlement, transfer or exchange of the units.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GLOBAL SECURITIES</w:t>
      </w:r>
    </w:p>
    <w:p>
      <w:pPr>
        <w:spacing w:after="0" w:line="213" w:lineRule="exact"/>
        <w:rPr>
          <w:sz w:val="20"/>
          <w:szCs w:val="20"/>
          <w:color w:val="auto"/>
        </w:rPr>
      </w:pPr>
    </w:p>
    <w:p>
      <w:pPr>
        <w:ind w:firstLine="269"/>
        <w:spacing w:after="0" w:line="274" w:lineRule="auto"/>
        <w:rPr>
          <w:sz w:val="20"/>
          <w:szCs w:val="20"/>
          <w:color w:val="auto"/>
        </w:rPr>
      </w:pPr>
      <w:r>
        <w:rPr>
          <w:rFonts w:ascii="Arial" w:cs="Arial" w:eastAsia="Arial" w:hAnsi="Arial"/>
          <w:sz w:val="14"/>
          <w:szCs w:val="14"/>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75" w:lineRule="exact"/>
        <w:rPr>
          <w:sz w:val="20"/>
          <w:szCs w:val="20"/>
          <w:color w:val="auto"/>
        </w:rPr>
      </w:pPr>
    </w:p>
    <w:p>
      <w:pPr>
        <w:ind w:right="380" w:firstLine="269"/>
        <w:spacing w:after="0" w:line="268" w:lineRule="auto"/>
        <w:rPr>
          <w:sz w:val="20"/>
          <w:szCs w:val="20"/>
          <w:color w:val="auto"/>
        </w:rPr>
      </w:pPr>
      <w:r>
        <w:rPr>
          <w:rFonts w:ascii="Arial" w:cs="Arial" w:eastAsia="Arial" w:hAnsi="Arial"/>
          <w:sz w:val="15"/>
          <w:szCs w:val="15"/>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75" w:lineRule="exact"/>
        <w:rPr>
          <w:sz w:val="20"/>
          <w:szCs w:val="20"/>
          <w:color w:val="auto"/>
        </w:rPr>
      </w:pPr>
    </w:p>
    <w:p>
      <w:pPr>
        <w:ind w:right="120" w:firstLine="269"/>
        <w:spacing w:after="0" w:line="328" w:lineRule="auto"/>
        <w:rPr>
          <w:sz w:val="20"/>
          <w:szCs w:val="20"/>
          <w:color w:val="auto"/>
        </w:rPr>
      </w:pPr>
      <w:r>
        <w:rPr>
          <w:rFonts w:ascii="Arial" w:cs="Arial" w:eastAsia="Arial" w:hAnsi="Arial"/>
          <w:sz w:val="12"/>
          <w:szCs w:val="12"/>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326" w:lineRule="exact"/>
        <w:rPr>
          <w:sz w:val="20"/>
          <w:szCs w:val="20"/>
          <w:color w:val="auto"/>
        </w:rPr>
      </w:pPr>
    </w:p>
    <w:p>
      <w:pPr>
        <w:ind w:right="80" w:firstLine="269"/>
        <w:spacing w:after="0" w:line="322" w:lineRule="auto"/>
        <w:rPr>
          <w:sz w:val="20"/>
          <w:szCs w:val="20"/>
          <w:color w:val="auto"/>
        </w:rPr>
      </w:pPr>
      <w:r>
        <w:rPr>
          <w:rFonts w:ascii="Arial" w:cs="Arial" w:eastAsia="Arial" w:hAnsi="Arial"/>
          <w:sz w:val="12"/>
          <w:szCs w:val="12"/>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330" w:lineRule="exact"/>
        <w:rPr>
          <w:sz w:val="20"/>
          <w:szCs w:val="20"/>
          <w:color w:val="auto"/>
        </w:rPr>
      </w:pPr>
    </w:p>
    <w:p>
      <w:pPr>
        <w:ind w:firstLine="269"/>
        <w:spacing w:after="0" w:line="286" w:lineRule="auto"/>
        <w:rPr>
          <w:sz w:val="20"/>
          <w:szCs w:val="20"/>
          <w:color w:val="auto"/>
        </w:rPr>
      </w:pPr>
      <w:r>
        <w:rPr>
          <w:rFonts w:ascii="Arial" w:cs="Arial" w:eastAsia="Arial" w:hAnsi="Arial"/>
          <w:sz w:val="14"/>
          <w:szCs w:val="14"/>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75" w:lineRule="exact"/>
        <w:rPr>
          <w:sz w:val="20"/>
          <w:szCs w:val="20"/>
          <w:color w:val="auto"/>
        </w:rPr>
      </w:pPr>
    </w:p>
    <w:p>
      <w:pPr>
        <w:ind w:right="120" w:firstLine="269"/>
        <w:spacing w:after="0" w:line="254" w:lineRule="auto"/>
        <w:rPr>
          <w:sz w:val="20"/>
          <w:szCs w:val="20"/>
          <w:color w:val="auto"/>
        </w:rPr>
      </w:pPr>
      <w:r>
        <w:rPr>
          <w:rFonts w:ascii="Arial" w:cs="Arial" w:eastAsia="Arial" w:hAnsi="Arial"/>
          <w:sz w:val="15"/>
          <w:szCs w:val="15"/>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6" w:lineRule="exact"/>
        <w:rPr>
          <w:sz w:val="20"/>
          <w:szCs w:val="20"/>
          <w:color w:val="auto"/>
        </w:rPr>
      </w:pPr>
    </w:p>
    <w:p>
      <w:pPr>
        <w:ind w:firstLine="269"/>
        <w:spacing w:after="0" w:line="328" w:lineRule="auto"/>
        <w:rPr>
          <w:sz w:val="20"/>
          <w:szCs w:val="20"/>
          <w:color w:val="auto"/>
        </w:rPr>
      </w:pPr>
      <w:r>
        <w:rPr>
          <w:rFonts w:ascii="Arial" w:cs="Arial" w:eastAsia="Arial" w:hAnsi="Arial"/>
          <w:sz w:val="12"/>
          <w:szCs w:val="12"/>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DESCRIPTION OF PREFERRED STOCK</w:t>
      </w:r>
    </w:p>
    <w:p>
      <w:pPr>
        <w:spacing w:after="0" w:line="213" w:lineRule="exact"/>
        <w:rPr>
          <w:sz w:val="20"/>
          <w:szCs w:val="20"/>
          <w:color w:val="auto"/>
        </w:rPr>
      </w:pPr>
    </w:p>
    <w:p>
      <w:pPr>
        <w:ind w:right="140" w:firstLine="269"/>
        <w:spacing w:after="0" w:line="255" w:lineRule="auto"/>
        <w:rPr>
          <w:sz w:val="20"/>
          <w:szCs w:val="20"/>
          <w:color w:val="auto"/>
        </w:rPr>
      </w:pPr>
      <w:r>
        <w:rPr>
          <w:rFonts w:ascii="Arial" w:cs="Arial" w:eastAsia="Arial" w:hAnsi="Arial"/>
          <w:sz w:val="15"/>
          <w:szCs w:val="15"/>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186" w:lineRule="exact"/>
        <w:rPr>
          <w:sz w:val="20"/>
          <w:szCs w:val="20"/>
          <w:color w:val="auto"/>
        </w:rPr>
      </w:pPr>
    </w:p>
    <w:p>
      <w:pPr>
        <w:ind w:right="520" w:firstLine="269"/>
        <w:spacing w:after="0" w:line="268" w:lineRule="auto"/>
        <w:rPr>
          <w:sz w:val="20"/>
          <w:szCs w:val="20"/>
          <w:color w:val="auto"/>
        </w:rPr>
      </w:pPr>
      <w:r>
        <w:rPr>
          <w:rFonts w:ascii="Arial" w:cs="Arial" w:eastAsia="Arial" w:hAnsi="Arial"/>
          <w:sz w:val="15"/>
          <w:szCs w:val="15"/>
          <w:color w:val="auto"/>
        </w:rPr>
        <w:t>The applicable prospectus supplement will describe the following terms to the extent that they may apply to an issuance of preferred stock in respect of which this prospectus is being delivered:</w:t>
      </w:r>
    </w:p>
    <w:p>
      <w:pPr>
        <w:spacing w:after="0" w:line="153" w:lineRule="exact"/>
        <w:rPr>
          <w:sz w:val="20"/>
          <w:szCs w:val="20"/>
          <w:color w:val="auto"/>
        </w:rPr>
      </w:pPr>
    </w:p>
    <w:p>
      <w:pPr>
        <w:ind w:left="820" w:hanging="463"/>
        <w:spacing w:after="0"/>
        <w:tabs>
          <w:tab w:leader="none" w:pos="8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specific designation, number of shares, seniority and purchase price;</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liquidation preference per share;</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date of maturity;</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redemption, repayment or sinking fund provisions;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dividend rate or rates and the dates on which any such dividends will be payable (or the method by which such rates or dates will be determined);</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voting rights;</w:t>
      </w:r>
    </w:p>
    <w:p>
      <w:pPr>
        <w:spacing w:after="0" w:line="231" w:lineRule="exact"/>
        <w:rPr>
          <w:rFonts w:ascii="Arial" w:cs="Arial" w:eastAsia="Arial" w:hAnsi="Arial"/>
          <w:sz w:val="15"/>
          <w:szCs w:val="15"/>
          <w:color w:val="auto"/>
        </w:rPr>
      </w:pPr>
    </w:p>
    <w:p>
      <w:pPr>
        <w:ind w:left="820" w:right="160" w:hanging="463"/>
        <w:spacing w:after="0" w:line="268" w:lineRule="auto"/>
        <w:tabs>
          <w:tab w:leader="none" w:pos="8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if other than the currency of the United States of America, the currency or currencies including composite currencies in which such preferred stock is denominated and/or in which payments will or may be payable;</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method by which amounts in respect of such preferred stock may be calculated and any commodities, currencies or indices, or value, rate or price, relevant to such calculation;</w:t>
      </w:r>
    </w:p>
    <w:p>
      <w:pPr>
        <w:spacing w:after="0" w:line="265" w:lineRule="exact"/>
        <w:rPr>
          <w:rFonts w:ascii="Arial" w:cs="Arial" w:eastAsia="Arial" w:hAnsi="Arial"/>
          <w:sz w:val="12"/>
          <w:szCs w:val="12"/>
          <w:color w:val="auto"/>
        </w:rPr>
      </w:pPr>
    </w:p>
    <w:p>
      <w:pPr>
        <w:ind w:left="820" w:right="460" w:hanging="463"/>
        <w:spacing w:after="0" w:line="268" w:lineRule="auto"/>
        <w:tabs>
          <w:tab w:leader="none" w:pos="8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whether the preferred stock is convertible or exchangeable and, if so, the securities or rights into which such preferred stock is convertible or exchangeable, and the terms and conditions upon</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820"/>
        <w:spacing w:after="0"/>
        <w:rPr>
          <w:sz w:val="20"/>
          <w:szCs w:val="20"/>
          <w:color w:val="auto"/>
        </w:rPr>
      </w:pPr>
      <w:r>
        <w:rPr>
          <w:rFonts w:ascii="Arial" w:cs="Arial" w:eastAsia="Arial" w:hAnsi="Arial"/>
          <w:sz w:val="12"/>
          <w:szCs w:val="12"/>
          <w:color w:val="auto"/>
        </w:rPr>
        <w:t>which such conversions or exchanges will be effected including the initial conversion or exchange prices or rates, the conversion or exchange period and any other related provisions;</w:t>
      </w:r>
    </w:p>
    <w:p>
      <w:pPr>
        <w:spacing w:after="0" w:line="266" w:lineRule="exact"/>
        <w:rPr>
          <w:sz w:val="20"/>
          <w:szCs w:val="20"/>
          <w:color w:val="auto"/>
        </w:rPr>
      </w:pPr>
    </w:p>
    <w:p>
      <w:pPr>
        <w:ind w:left="820" w:hanging="463"/>
        <w:spacing w:after="0"/>
        <w:tabs>
          <w:tab w:leader="none" w:pos="8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place or places where dividends and other payments on the preferred stock will be payable; and</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any additional voting, dividend, liquidation, redemption and other rights, preferences, privileges, limitations and restrictions.</w:t>
      </w:r>
    </w:p>
    <w:p>
      <w:pPr>
        <w:spacing w:after="0" w:line="231" w:lineRule="exact"/>
        <w:rPr>
          <w:sz w:val="20"/>
          <w:szCs w:val="20"/>
          <w:color w:val="auto"/>
        </w:rPr>
      </w:pPr>
    </w:p>
    <w:p>
      <w:pPr>
        <w:ind w:right="120" w:firstLine="269"/>
        <w:spacing w:after="0" w:line="258" w:lineRule="auto"/>
        <w:rPr>
          <w:sz w:val="20"/>
          <w:szCs w:val="20"/>
          <w:color w:val="auto"/>
        </w:rPr>
      </w:pPr>
      <w:r>
        <w:rPr>
          <w:rFonts w:ascii="Arial" w:cs="Arial" w:eastAsia="Arial" w:hAnsi="Arial"/>
          <w:sz w:val="15"/>
          <w:szCs w:val="15"/>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184" w:lineRule="exact"/>
        <w:rPr>
          <w:sz w:val="20"/>
          <w:szCs w:val="20"/>
          <w:color w:val="auto"/>
        </w:rPr>
      </w:pPr>
    </w:p>
    <w:p>
      <w:pPr>
        <w:ind w:firstLine="269"/>
        <w:spacing w:after="0" w:line="268" w:lineRule="auto"/>
        <w:rPr>
          <w:sz w:val="20"/>
          <w:szCs w:val="20"/>
          <w:color w:val="auto"/>
        </w:rPr>
      </w:pPr>
      <w:r>
        <w:rPr>
          <w:rFonts w:ascii="Arial" w:cs="Arial" w:eastAsia="Arial" w:hAnsi="Arial"/>
          <w:sz w:val="15"/>
          <w:szCs w:val="15"/>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DESCRIPTION OF DEPOSITARY SHARES</w:t>
      </w:r>
    </w:p>
    <w:p>
      <w:pPr>
        <w:spacing w:after="0" w:line="213" w:lineRule="exact"/>
        <w:rPr>
          <w:sz w:val="20"/>
          <w:szCs w:val="20"/>
          <w:color w:val="auto"/>
        </w:rPr>
      </w:pPr>
    </w:p>
    <w:p>
      <w:pPr>
        <w:ind w:right="260" w:firstLine="269"/>
        <w:spacing w:after="0" w:line="395" w:lineRule="auto"/>
        <w:rPr>
          <w:sz w:val="20"/>
          <w:szCs w:val="20"/>
          <w:color w:val="auto"/>
        </w:rPr>
      </w:pPr>
      <w:r>
        <w:rPr>
          <w:rFonts w:ascii="Arial" w:cs="Arial" w:eastAsia="Arial" w:hAnsi="Arial"/>
          <w:sz w:val="12"/>
          <w:szCs w:val="12"/>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213" w:lineRule="exact"/>
        <w:rPr>
          <w:sz w:val="20"/>
          <w:szCs w:val="20"/>
          <w:color w:val="auto"/>
        </w:rPr>
      </w:pPr>
    </w:p>
    <w:p>
      <w:pPr>
        <w:ind w:right="100" w:firstLine="269"/>
        <w:spacing w:after="0" w:line="254" w:lineRule="auto"/>
        <w:rPr>
          <w:sz w:val="20"/>
          <w:szCs w:val="20"/>
          <w:color w:val="auto"/>
        </w:rPr>
      </w:pPr>
      <w:r>
        <w:rPr>
          <w:rFonts w:ascii="Arial" w:cs="Arial" w:eastAsia="Arial" w:hAnsi="Arial"/>
          <w:sz w:val="15"/>
          <w:szCs w:val="15"/>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86" w:lineRule="exact"/>
        <w:rPr>
          <w:sz w:val="20"/>
          <w:szCs w:val="20"/>
          <w:color w:val="auto"/>
        </w:rPr>
      </w:pPr>
    </w:p>
    <w:p>
      <w:pPr>
        <w:ind w:right="520" w:firstLine="269"/>
        <w:spacing w:after="0" w:line="268" w:lineRule="auto"/>
        <w:rPr>
          <w:sz w:val="20"/>
          <w:szCs w:val="20"/>
          <w:color w:val="auto"/>
        </w:rPr>
      </w:pPr>
      <w:r>
        <w:rPr>
          <w:rFonts w:ascii="Arial" w:cs="Arial" w:eastAsia="Arial" w:hAnsi="Arial"/>
          <w:sz w:val="15"/>
          <w:szCs w:val="15"/>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Unless otherwise specified in the prospectus supplement, a holder of depositary shares is not entitled to receive the shares of preferred stock underlying the depositary shares.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 and Other Distributions</w:t>
      </w:r>
    </w:p>
    <w:p>
      <w:pPr>
        <w:spacing w:after="0" w:line="213" w:lineRule="exact"/>
        <w:rPr>
          <w:sz w:val="20"/>
          <w:szCs w:val="20"/>
          <w:color w:val="auto"/>
        </w:rPr>
      </w:pPr>
    </w:p>
    <w:p>
      <w:pPr>
        <w:ind w:right="320" w:firstLine="269"/>
        <w:spacing w:after="0" w:line="268" w:lineRule="auto"/>
        <w:rPr>
          <w:sz w:val="20"/>
          <w:szCs w:val="20"/>
          <w:color w:val="auto"/>
        </w:rPr>
      </w:pPr>
      <w:r>
        <w:rPr>
          <w:rFonts w:ascii="Arial" w:cs="Arial" w:eastAsia="Arial" w:hAnsi="Arial"/>
          <w:sz w:val="15"/>
          <w:szCs w:val="15"/>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75" w:lineRule="exact"/>
        <w:rPr>
          <w:sz w:val="20"/>
          <w:szCs w:val="20"/>
          <w:color w:val="auto"/>
        </w:rPr>
      </w:pPr>
    </w:p>
    <w:p>
      <w:pPr>
        <w:ind w:right="120" w:firstLine="269"/>
        <w:spacing w:after="0" w:line="258" w:lineRule="auto"/>
        <w:rPr>
          <w:sz w:val="20"/>
          <w:szCs w:val="20"/>
          <w:color w:val="auto"/>
        </w:rPr>
      </w:pPr>
      <w:r>
        <w:rPr>
          <w:rFonts w:ascii="Arial" w:cs="Arial" w:eastAsia="Arial" w:hAnsi="Arial"/>
          <w:sz w:val="15"/>
          <w:szCs w:val="15"/>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 The deposit agreement also contains provisions relating to the manner in which any subscription or similar rights offered by us to holders of preferred stock shall be made available to holders of depositary shares.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Conversion and Exchange</w:t>
      </w:r>
    </w:p>
    <w:p>
      <w:pPr>
        <w:spacing w:after="0" w:line="213" w:lineRule="exact"/>
        <w:rPr>
          <w:sz w:val="20"/>
          <w:szCs w:val="20"/>
          <w:color w:val="auto"/>
        </w:rPr>
      </w:pPr>
    </w:p>
    <w:p>
      <w:pPr>
        <w:ind w:right="300" w:firstLine="269"/>
        <w:spacing w:after="0" w:line="268" w:lineRule="auto"/>
        <w:rPr>
          <w:sz w:val="20"/>
          <w:szCs w:val="20"/>
          <w:color w:val="auto"/>
        </w:rPr>
      </w:pPr>
      <w:r>
        <w:rPr>
          <w:rFonts w:ascii="Arial" w:cs="Arial" w:eastAsia="Arial" w:hAnsi="Arial"/>
          <w:sz w:val="15"/>
          <w:szCs w:val="15"/>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Redemption of Depositary Shares</w:t>
      </w:r>
    </w:p>
    <w:p>
      <w:pPr>
        <w:spacing w:after="0" w:line="213" w:lineRule="exact"/>
        <w:rPr>
          <w:sz w:val="20"/>
          <w:szCs w:val="20"/>
          <w:color w:val="auto"/>
        </w:rPr>
      </w:pPr>
    </w:p>
    <w:p>
      <w:pPr>
        <w:ind w:right="60" w:firstLine="269"/>
        <w:spacing w:after="0" w:line="254" w:lineRule="auto"/>
        <w:rPr>
          <w:sz w:val="20"/>
          <w:szCs w:val="20"/>
          <w:color w:val="auto"/>
        </w:rPr>
      </w:pPr>
      <w:r>
        <w:rPr>
          <w:rFonts w:ascii="Arial" w:cs="Arial" w:eastAsia="Arial" w:hAnsi="Arial"/>
          <w:sz w:val="15"/>
          <w:szCs w:val="15"/>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186" w:lineRule="exact"/>
        <w:rPr>
          <w:sz w:val="20"/>
          <w:szCs w:val="20"/>
          <w:color w:val="auto"/>
        </w:rPr>
      </w:pPr>
    </w:p>
    <w:p>
      <w:pPr>
        <w:ind w:right="100" w:firstLine="269"/>
        <w:spacing w:after="0" w:line="258" w:lineRule="auto"/>
        <w:rPr>
          <w:sz w:val="20"/>
          <w:szCs w:val="20"/>
          <w:color w:val="auto"/>
        </w:rPr>
      </w:pPr>
      <w:r>
        <w:rPr>
          <w:rFonts w:ascii="Arial" w:cs="Arial" w:eastAsia="Arial" w:hAnsi="Arial"/>
          <w:sz w:val="15"/>
          <w:szCs w:val="15"/>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w:t>
      </w:r>
    </w:p>
    <w:p>
      <w:pPr>
        <w:spacing w:after="0" w:line="213" w:lineRule="exact"/>
        <w:rPr>
          <w:sz w:val="20"/>
          <w:szCs w:val="20"/>
          <w:color w:val="auto"/>
        </w:rPr>
      </w:pPr>
    </w:p>
    <w:p>
      <w:pPr>
        <w:ind w:right="40" w:firstLine="269"/>
        <w:spacing w:after="0" w:line="332" w:lineRule="auto"/>
        <w:rPr>
          <w:sz w:val="20"/>
          <w:szCs w:val="20"/>
          <w:color w:val="auto"/>
        </w:rPr>
      </w:pPr>
      <w:r>
        <w:rPr>
          <w:rFonts w:ascii="Arial" w:cs="Arial" w:eastAsia="Arial" w:hAnsi="Arial"/>
          <w:sz w:val="12"/>
          <w:szCs w:val="12"/>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of the Deposit Agreement</w:t>
      </w:r>
    </w:p>
    <w:p>
      <w:pPr>
        <w:spacing w:after="0" w:line="213" w:lineRule="exact"/>
        <w:rPr>
          <w:sz w:val="20"/>
          <w:szCs w:val="20"/>
          <w:color w:val="auto"/>
        </w:rPr>
      </w:pPr>
    </w:p>
    <w:p>
      <w:pPr>
        <w:ind w:firstLine="269"/>
        <w:spacing w:after="0" w:line="258" w:lineRule="auto"/>
        <w:rPr>
          <w:sz w:val="20"/>
          <w:szCs w:val="20"/>
          <w:color w:val="auto"/>
        </w:rPr>
      </w:pPr>
      <w:r>
        <w:rPr>
          <w:rFonts w:ascii="Arial" w:cs="Arial" w:eastAsia="Arial" w:hAnsi="Arial"/>
          <w:sz w:val="15"/>
          <w:szCs w:val="15"/>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Charges of Depositary</w:t>
      </w:r>
    </w:p>
    <w:p>
      <w:pPr>
        <w:spacing w:after="0" w:line="213" w:lineRule="exact"/>
        <w:rPr>
          <w:sz w:val="20"/>
          <w:szCs w:val="20"/>
          <w:color w:val="auto"/>
        </w:rPr>
      </w:pPr>
    </w:p>
    <w:p>
      <w:pPr>
        <w:ind w:right="20" w:firstLine="269"/>
        <w:spacing w:after="0" w:line="258" w:lineRule="auto"/>
        <w:rPr>
          <w:sz w:val="20"/>
          <w:szCs w:val="20"/>
          <w:color w:val="auto"/>
        </w:rPr>
      </w:pPr>
      <w:r>
        <w:rPr>
          <w:rFonts w:ascii="Arial" w:cs="Arial" w:eastAsia="Arial" w:hAnsi="Arial"/>
          <w:sz w:val="15"/>
          <w:szCs w:val="15"/>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Miscellaneous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or at our option, the depositary, will forward to the holders of depositary shares all reports and communications from us which we are required to furnish to the holders of preferred stock.</w:t>
      </w:r>
    </w:p>
    <w:p>
      <w:pPr>
        <w:spacing w:after="0" w:line="243" w:lineRule="exact"/>
        <w:rPr>
          <w:sz w:val="20"/>
          <w:szCs w:val="20"/>
          <w:color w:val="auto"/>
        </w:rPr>
      </w:pPr>
    </w:p>
    <w:p>
      <w:pPr>
        <w:ind w:firstLine="269"/>
        <w:spacing w:after="0" w:line="254" w:lineRule="auto"/>
        <w:rPr>
          <w:sz w:val="20"/>
          <w:szCs w:val="20"/>
          <w:color w:val="auto"/>
        </w:rPr>
      </w:pPr>
      <w:r>
        <w:rPr>
          <w:rFonts w:ascii="Arial" w:cs="Arial" w:eastAsia="Arial" w:hAnsi="Arial"/>
          <w:sz w:val="15"/>
          <w:szCs w:val="15"/>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Resignation and Removal of Depositary; Termination of the Deposit Agreement</w:t>
      </w:r>
    </w:p>
    <w:p>
      <w:pPr>
        <w:spacing w:after="0" w:line="213" w:lineRule="exact"/>
        <w:rPr>
          <w:sz w:val="20"/>
          <w:szCs w:val="20"/>
          <w:color w:val="auto"/>
        </w:rPr>
      </w:pPr>
    </w:p>
    <w:p>
      <w:pPr>
        <w:ind w:right="40" w:firstLine="269"/>
        <w:spacing w:after="0" w:line="272" w:lineRule="auto"/>
        <w:rPr>
          <w:sz w:val="20"/>
          <w:szCs w:val="20"/>
          <w:color w:val="auto"/>
        </w:rPr>
      </w:pPr>
      <w:r>
        <w:rPr>
          <w:rFonts w:ascii="Arial" w:cs="Arial" w:eastAsia="Arial" w:hAnsi="Arial"/>
          <w:sz w:val="14"/>
          <w:szCs w:val="14"/>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DESCRIPTION OF COMMON STOCK</w:t>
      </w:r>
    </w:p>
    <w:p>
      <w:pPr>
        <w:spacing w:after="0" w:line="213" w:lineRule="exact"/>
        <w:rPr>
          <w:sz w:val="20"/>
          <w:szCs w:val="20"/>
          <w:color w:val="auto"/>
        </w:rPr>
      </w:pPr>
    </w:p>
    <w:p>
      <w:pPr>
        <w:ind w:right="40" w:firstLine="269"/>
        <w:spacing w:after="0" w:line="268" w:lineRule="auto"/>
        <w:rPr>
          <w:sz w:val="20"/>
          <w:szCs w:val="20"/>
          <w:color w:val="auto"/>
        </w:rPr>
      </w:pPr>
      <w:r>
        <w:rPr>
          <w:rFonts w:ascii="Arial" w:cs="Arial" w:eastAsia="Arial" w:hAnsi="Arial"/>
          <w:sz w:val="15"/>
          <w:szCs w:val="15"/>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75" w:lineRule="exact"/>
        <w:rPr>
          <w:sz w:val="20"/>
          <w:szCs w:val="20"/>
          <w:color w:val="auto"/>
        </w:rPr>
      </w:pPr>
    </w:p>
    <w:p>
      <w:pPr>
        <w:ind w:right="20" w:firstLine="269"/>
        <w:spacing w:after="0" w:line="255" w:lineRule="auto"/>
        <w:rPr>
          <w:sz w:val="20"/>
          <w:szCs w:val="20"/>
          <w:color w:val="auto"/>
        </w:rPr>
      </w:pPr>
      <w:r>
        <w:rPr>
          <w:rFonts w:ascii="Arial" w:cs="Arial" w:eastAsia="Arial" w:hAnsi="Arial"/>
          <w:sz w:val="15"/>
          <w:szCs w:val="15"/>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 At the close of business on December 31, 2002 there were outstanding 1.355 billion shares of Class A Common Stock, 883.3 million shares of Class A Special Common Stock and 9.4 million shares of Class B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213" w:lineRule="exact"/>
        <w:rPr>
          <w:sz w:val="20"/>
          <w:szCs w:val="20"/>
          <w:color w:val="auto"/>
        </w:rPr>
      </w:pPr>
    </w:p>
    <w:p>
      <w:pPr>
        <w:ind w:right="140" w:firstLine="269"/>
        <w:spacing w:after="0" w:line="258" w:lineRule="auto"/>
        <w:rPr>
          <w:sz w:val="20"/>
          <w:szCs w:val="20"/>
          <w:color w:val="auto"/>
        </w:rPr>
      </w:pPr>
      <w:r>
        <w:rPr>
          <w:rFonts w:ascii="Arial" w:cs="Arial" w:eastAsia="Arial" w:hAnsi="Arial"/>
          <w:sz w:val="15"/>
          <w:szCs w:val="15"/>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184" w:lineRule="exact"/>
        <w:rPr>
          <w:sz w:val="20"/>
          <w:szCs w:val="20"/>
          <w:color w:val="auto"/>
        </w:rPr>
      </w:pPr>
    </w:p>
    <w:p>
      <w:pPr>
        <w:jc w:val="both"/>
        <w:ind w:firstLine="269"/>
        <w:spacing w:after="0" w:line="258" w:lineRule="auto"/>
        <w:rPr>
          <w:sz w:val="20"/>
          <w:szCs w:val="20"/>
          <w:color w:val="auto"/>
        </w:rPr>
      </w:pPr>
      <w:r>
        <w:rPr>
          <w:rFonts w:ascii="Arial" w:cs="Arial" w:eastAsia="Arial" w:hAnsi="Arial"/>
          <w:sz w:val="15"/>
          <w:szCs w:val="15"/>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therefore. However, stock dividends on, or stock splits of, any class of common stock will not be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do not intend to pay dividends on our common stock for the foreseeable future.</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Rights</w:t>
      </w:r>
    </w:p>
    <w:p>
      <w:pPr>
        <w:spacing w:after="0" w:line="213" w:lineRule="exact"/>
        <w:rPr>
          <w:sz w:val="20"/>
          <w:szCs w:val="20"/>
          <w:color w:val="auto"/>
        </w:rPr>
      </w:pPr>
    </w:p>
    <w:p>
      <w:pPr>
        <w:ind w:right="200" w:firstLine="269"/>
        <w:spacing w:after="0" w:line="268" w:lineRule="auto"/>
        <w:rPr>
          <w:sz w:val="20"/>
          <w:szCs w:val="20"/>
          <w:color w:val="auto"/>
        </w:rPr>
      </w:pPr>
      <w:r>
        <w:rPr>
          <w:rFonts w:ascii="Arial" w:cs="Arial" w:eastAsia="Arial" w:hAnsi="Arial"/>
          <w:sz w:val="15"/>
          <w:szCs w:val="15"/>
          <w:color w:val="auto"/>
        </w:rPr>
        <w:t>Except as required by law, holders of our Class A Special Common Stock are not be entitled to vote. When holders of our Class A Special Common Stock are entitled to vote by applicable law, each share of our Class A Special Common Stock has the same number of votes as each share of our Class A Common Stock.</w:t>
      </w:r>
    </w:p>
    <w:p>
      <w:pPr>
        <w:spacing w:after="0" w:line="175" w:lineRule="exact"/>
        <w:rPr>
          <w:sz w:val="20"/>
          <w:szCs w:val="20"/>
          <w:color w:val="auto"/>
        </w:rPr>
      </w:pPr>
    </w:p>
    <w:p>
      <w:pPr>
        <w:ind w:right="260" w:firstLine="269"/>
        <w:spacing w:after="0" w:line="268" w:lineRule="auto"/>
        <w:rPr>
          <w:sz w:val="20"/>
          <w:szCs w:val="20"/>
          <w:color w:val="auto"/>
        </w:rPr>
      </w:pPr>
      <w:r>
        <w:rPr>
          <w:rFonts w:ascii="Arial" w:cs="Arial" w:eastAsia="Arial" w:hAnsi="Arial"/>
          <w:sz w:val="15"/>
          <w:szCs w:val="15"/>
          <w:color w:val="auto"/>
        </w:rPr>
        <w:t>On all matters submitted for a vote of holders of all classes of our voting stock, holders of our Class A Common Stock in the aggregate hold 66 2/3% of the aggregate voting power of our capital stock as of completion of the Broadband acquisition.</w:t>
      </w:r>
    </w:p>
    <w:p>
      <w:pPr>
        <w:spacing w:after="0" w:line="175" w:lineRule="exact"/>
        <w:rPr>
          <w:sz w:val="20"/>
          <w:szCs w:val="20"/>
          <w:color w:val="auto"/>
        </w:rPr>
      </w:pPr>
    </w:p>
    <w:p>
      <w:pPr>
        <w:ind w:right="20" w:firstLine="269"/>
        <w:spacing w:after="0" w:line="323" w:lineRule="auto"/>
        <w:rPr>
          <w:sz w:val="20"/>
          <w:szCs w:val="20"/>
          <w:color w:val="auto"/>
        </w:rPr>
      </w:pPr>
      <w:r>
        <w:rPr>
          <w:rFonts w:ascii="Arial" w:cs="Arial" w:eastAsia="Arial" w:hAnsi="Arial"/>
          <w:sz w:val="12"/>
          <w:szCs w:val="12"/>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 (2) 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 1/3%, subject to reduction as described below.</w:t>
      </w:r>
    </w:p>
    <w:p>
      <w:pPr>
        <w:spacing w:after="0" w:line="151" w:lineRule="exact"/>
        <w:rPr>
          <w:sz w:val="20"/>
          <w:szCs w:val="20"/>
          <w:color w:val="auto"/>
        </w:rPr>
      </w:pPr>
    </w:p>
    <w:p>
      <w:pPr>
        <w:ind w:firstLine="269"/>
        <w:spacing w:after="0" w:line="274" w:lineRule="auto"/>
        <w:rPr>
          <w:sz w:val="20"/>
          <w:szCs w:val="20"/>
          <w:color w:val="auto"/>
        </w:rPr>
      </w:pPr>
      <w:r>
        <w:rPr>
          <w:rFonts w:ascii="Arial" w:cs="Arial" w:eastAsia="Arial" w:hAnsi="Arial"/>
          <w:sz w:val="14"/>
          <w:szCs w:val="14"/>
          <w:color w:val="auto"/>
        </w:rPr>
        <w:t>If the number of shares of our Class A Common Stock or our Class B Common Stock outstanding is reduced for any reason (</w:t>
      </w:r>
      <w:r>
        <w:rPr>
          <w:rFonts w:ascii="Arial" w:cs="Arial" w:eastAsia="Arial" w:hAnsi="Arial"/>
          <w:sz w:val="14"/>
          <w:szCs w:val="14"/>
          <w:i w:val="1"/>
          <w:iCs w:val="1"/>
          <w:color w:val="auto"/>
        </w:rPr>
        <w:t>e.g.</w:t>
      </w:r>
      <w:r>
        <w:rPr>
          <w:rFonts w:ascii="Arial" w:cs="Arial" w:eastAsia="Arial" w:hAnsi="Arial"/>
          <w:sz w:val="14"/>
          <w:szCs w:val="14"/>
          <w:color w:val="auto"/>
        </w:rPr>
        <w:t>, by repurchase or, in the case of our Class B Common Stock only, conversion), the aggregate voting power of the applicable class of our capital stock will be proportionately reduced. If additional shares of our Class A Common Stock or our Class B Common Stock are issued, the relative aggregate voting power of the two classes of our common stock will change (based on the principle that each share of our Class B Common Stock will be entitled to 15 times the vote of each share of our Class A Common Stock) to the extent such issuance is disproportionate as between the relative number of shares of the two classes outstanding prior to the issuance, but the combined aggregate voting power of the two classes of stock will remain constant at approximately 38 47/100% (except to the extent there has been a reduction in the aggregate voting power of either class of stock as described in the preceding sentence).</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Subject to the next sentence, on all matters submitted for a vote of holders of one or more classes of our voting stock, holders of our Class B Common Stock in the aggregate will hold</w:t>
      </w:r>
    </w:p>
    <w:p>
      <w:pPr>
        <w:spacing w:after="0" w:line="48"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33 1/3%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Each share of our Class B Common Stock has 15 votes.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Approval Rights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Except as required by law, holders of Class A Special Common Stock and Class A Common Stock have no specific approval rights over any corporate actions.</w:t>
      </w:r>
    </w:p>
    <w:p>
      <w:pPr>
        <w:spacing w:after="0" w:line="209" w:lineRule="exact"/>
        <w:rPr>
          <w:sz w:val="20"/>
          <w:szCs w:val="20"/>
          <w:color w:val="auto"/>
        </w:rPr>
      </w:pPr>
    </w:p>
    <w:p>
      <w:pPr>
        <w:ind w:right="40" w:firstLine="269"/>
        <w:spacing w:after="0" w:line="273" w:lineRule="auto"/>
        <w:rPr>
          <w:sz w:val="20"/>
          <w:szCs w:val="20"/>
          <w:color w:val="auto"/>
        </w:rPr>
      </w:pPr>
      <w:r>
        <w:rPr>
          <w:rFonts w:ascii="Arial" w:cs="Arial" w:eastAsia="Arial" w:hAnsi="Arial"/>
          <w:sz w:val="14"/>
          <w:szCs w:val="14"/>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Shareholder</w:t>
      </w:r>
    </w:p>
    <w:p>
      <w:pPr>
        <w:spacing w:after="0" w:line="213" w:lineRule="exact"/>
        <w:rPr>
          <w:sz w:val="20"/>
          <w:szCs w:val="20"/>
          <w:color w:val="auto"/>
        </w:rPr>
      </w:pPr>
    </w:p>
    <w:p>
      <w:pPr>
        <w:ind w:firstLine="269"/>
        <w:spacing w:after="0" w:line="276" w:lineRule="auto"/>
        <w:rPr>
          <w:sz w:val="20"/>
          <w:szCs w:val="20"/>
          <w:color w:val="auto"/>
        </w:rPr>
      </w:pPr>
      <w:r>
        <w:rPr>
          <w:rFonts w:ascii="Arial" w:cs="Arial" w:eastAsia="Arial" w:hAnsi="Arial"/>
          <w:sz w:val="14"/>
          <w:szCs w:val="14"/>
          <w:color w:val="auto"/>
        </w:rPr>
        <w:t>Brian L. Roberts, our President and CEO, through his control of BRCC Holdings LLC and certain trusts, which own all outstanding shares of our Class B Common Stock, holds a nondilutable 33 1/3%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December 31, 2002, if BRCC Holdings LLC, the trusts and Mr. Roberts were to convert the Class B Common Stock which they are deemed to beneficially own into Class A Common Stock, Mr. Roberts would beneficially own 9,445,731 shares of Class A Common Stock, which is approximately 0.7% of the Class A Common Stock that would be outstanding after the conversion.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Conversion of Class B Common Stock</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Class B Common Stock is convertible share for share into either the Class A Common Stock or the Class A Special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Preference on Liquidation</w:t>
      </w:r>
    </w:p>
    <w:p>
      <w:pPr>
        <w:spacing w:after="0" w:line="213" w:lineRule="exact"/>
        <w:rPr>
          <w:sz w:val="20"/>
          <w:szCs w:val="20"/>
          <w:color w:val="auto"/>
        </w:rPr>
      </w:pPr>
    </w:p>
    <w:p>
      <w:pPr>
        <w:jc w:val="both"/>
        <w:ind w:right="60" w:firstLine="269"/>
        <w:spacing w:after="0" w:line="258" w:lineRule="auto"/>
        <w:rPr>
          <w:sz w:val="20"/>
          <w:szCs w:val="20"/>
          <w:color w:val="auto"/>
        </w:rPr>
      </w:pPr>
      <w:r>
        <w:rPr>
          <w:rFonts w:ascii="Arial" w:cs="Arial" w:eastAsia="Arial" w:hAnsi="Arial"/>
          <w:sz w:val="15"/>
          <w:szCs w:val="15"/>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Mergers, Consolidations, Etc.</w:t>
      </w:r>
    </w:p>
    <w:p>
      <w:pPr>
        <w:spacing w:after="0" w:line="213" w:lineRule="exact"/>
        <w:rPr>
          <w:sz w:val="20"/>
          <w:szCs w:val="20"/>
          <w:color w:val="auto"/>
        </w:rPr>
      </w:pPr>
    </w:p>
    <w:p>
      <w:pPr>
        <w:jc w:val="both"/>
        <w:ind w:right="80" w:firstLine="269"/>
        <w:spacing w:after="0" w:line="255" w:lineRule="auto"/>
        <w:rPr>
          <w:sz w:val="20"/>
          <w:szCs w:val="20"/>
          <w:color w:val="auto"/>
        </w:rPr>
      </w:pPr>
      <w:r>
        <w:rPr>
          <w:rFonts w:ascii="Arial" w:cs="Arial" w:eastAsia="Arial" w:hAnsi="Arial"/>
          <w:sz w:val="15"/>
          <w:szCs w:val="15"/>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Miscellaneous</w:t>
      </w:r>
    </w:p>
    <w:p>
      <w:pPr>
        <w:spacing w:after="0" w:line="213" w:lineRule="exact"/>
        <w:rPr>
          <w:sz w:val="20"/>
          <w:szCs w:val="20"/>
          <w:color w:val="auto"/>
        </w:rPr>
      </w:pPr>
    </w:p>
    <w:p>
      <w:pPr>
        <w:ind w:right="20" w:firstLine="269"/>
        <w:spacing w:after="0" w:line="268" w:lineRule="auto"/>
        <w:rPr>
          <w:sz w:val="20"/>
          <w:szCs w:val="20"/>
          <w:color w:val="auto"/>
        </w:rPr>
      </w:pPr>
      <w:r>
        <w:rPr>
          <w:rFonts w:ascii="Arial" w:cs="Arial" w:eastAsia="Arial" w:hAnsi="Arial"/>
          <w:sz w:val="15"/>
          <w:szCs w:val="15"/>
          <w:color w:val="auto"/>
        </w:rPr>
        <w:t>The holders of Class A Common Stock, Class A Special Common Stock and Class B Common Stock do not have any preemptive rights. All shares of Class A Common Stock, Class A Special Common Stock</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right="80"/>
        <w:spacing w:after="0" w:line="258" w:lineRule="auto"/>
        <w:rPr>
          <w:sz w:val="20"/>
          <w:szCs w:val="20"/>
          <w:color w:val="auto"/>
        </w:rPr>
      </w:pPr>
      <w:r>
        <w:rPr>
          <w:rFonts w:ascii="Arial" w:cs="Arial" w:eastAsia="Arial" w:hAnsi="Arial"/>
          <w:sz w:val="15"/>
          <w:szCs w:val="15"/>
          <w:color w:val="auto"/>
        </w:rPr>
        <w:t>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84" w:lineRule="exact"/>
        <w:rPr>
          <w:sz w:val="20"/>
          <w:szCs w:val="20"/>
          <w:color w:val="auto"/>
        </w:rPr>
      </w:pPr>
    </w:p>
    <w:p>
      <w:pPr>
        <w:ind w:right="320" w:firstLine="269"/>
        <w:spacing w:after="0" w:line="268" w:lineRule="auto"/>
        <w:rPr>
          <w:sz w:val="20"/>
          <w:szCs w:val="20"/>
          <w:color w:val="auto"/>
        </w:rPr>
      </w:pPr>
      <w:r>
        <w:rPr>
          <w:rFonts w:ascii="Arial" w:cs="Arial" w:eastAsia="Arial" w:hAnsi="Arial"/>
          <w:sz w:val="15"/>
          <w:szCs w:val="15"/>
          <w:color w:val="auto"/>
        </w:rPr>
        <w:t>The transfer agent and registrar for our Class A Special Common Stock and Class A Common Stock is Equiserve, 525 Washington Blvd., Jersey City, New Jersey 07310. Their telephone number is (888) 883-8903.</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DESCRIPTION OF SHAREHOLDER RIGHTS PLAN</w:t>
      </w:r>
    </w:p>
    <w:p>
      <w:pPr>
        <w:spacing w:after="0" w:line="213" w:lineRule="exact"/>
        <w:rPr>
          <w:sz w:val="20"/>
          <w:szCs w:val="20"/>
          <w:color w:val="auto"/>
        </w:rPr>
      </w:pPr>
    </w:p>
    <w:p>
      <w:pPr>
        <w:ind w:right="340" w:firstLine="269"/>
        <w:spacing w:after="0" w:line="304" w:lineRule="auto"/>
        <w:rPr>
          <w:sz w:val="20"/>
          <w:szCs w:val="20"/>
          <w:color w:val="auto"/>
        </w:rPr>
      </w:pPr>
      <w:r>
        <w:rPr>
          <w:rFonts w:ascii="Arial" w:cs="Arial" w:eastAsia="Arial" w:hAnsi="Arial"/>
          <w:sz w:val="14"/>
          <w:szCs w:val="14"/>
          <w:color w:val="auto"/>
        </w:rPr>
        <w:t>The following description of the material terms of a rights agreement with respect to a shareholder rights plan which we entered into in connection with the completion of the Broadband acquisition is qualified by reference to the terms of the rights agreement, which is included as an exhibit to the registration statement of which this prospectus is a part.</w:t>
      </w:r>
    </w:p>
    <w:p>
      <w:pPr>
        <w:spacing w:after="0" w:line="153" w:lineRule="exact"/>
        <w:rPr>
          <w:sz w:val="20"/>
          <w:szCs w:val="20"/>
          <w:color w:val="auto"/>
        </w:rPr>
      </w:pPr>
    </w:p>
    <w:p>
      <w:pPr>
        <w:ind w:firstLine="269"/>
        <w:spacing w:after="0" w:line="255" w:lineRule="auto"/>
        <w:rPr>
          <w:sz w:val="20"/>
          <w:szCs w:val="20"/>
          <w:color w:val="auto"/>
        </w:rPr>
      </w:pPr>
      <w:r>
        <w:rPr>
          <w:rFonts w:ascii="Arial" w:cs="Arial" w:eastAsia="Arial" w:hAnsi="Arial"/>
          <w:sz w:val="15"/>
          <w:szCs w:val="15"/>
          <w:b w:val="1"/>
          <w:bCs w:val="1"/>
          <w:i w:val="1"/>
          <w:iCs w:val="1"/>
          <w:color w:val="auto"/>
        </w:rPr>
        <w:t xml:space="preserve">The Rights. </w:t>
      </w:r>
      <w:r>
        <w:rPr>
          <w:rFonts w:ascii="Arial" w:cs="Arial" w:eastAsia="Arial" w:hAnsi="Arial"/>
          <w:sz w:val="15"/>
          <w:szCs w:val="15"/>
          <w:color w:val="auto"/>
        </w:rPr>
        <w:t>Pursuant to the rights agreement, our board declared on November 18, 2002 a dividend of one preferred stock purchase right (the “Rights”) for each outstanding share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Rights holders have no rights as a shareholder of the Company, including the right to vote or to receive dividends.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rights agreement includes antidilution provisions designed to prevent efforts to diminish the effectiveness of the Rights.</w:t>
      </w:r>
    </w:p>
    <w:p>
      <w:pPr>
        <w:spacing w:after="0" w:line="209" w:lineRule="exact"/>
        <w:rPr>
          <w:sz w:val="20"/>
          <w:szCs w:val="20"/>
          <w:color w:val="auto"/>
        </w:rPr>
      </w:pPr>
    </w:p>
    <w:p>
      <w:pPr>
        <w:ind w:right="40" w:firstLine="269"/>
        <w:spacing w:after="0" w:line="276" w:lineRule="auto"/>
        <w:rPr>
          <w:sz w:val="20"/>
          <w:szCs w:val="20"/>
          <w:color w:val="auto"/>
        </w:rPr>
      </w:pPr>
      <w:r>
        <w:rPr>
          <w:rFonts w:ascii="Arial" w:cs="Arial" w:eastAsia="Arial" w:hAnsi="Arial"/>
          <w:sz w:val="14"/>
          <w:szCs w:val="14"/>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73" w:lineRule="exact"/>
        <w:rPr>
          <w:sz w:val="20"/>
          <w:szCs w:val="20"/>
          <w:color w:val="auto"/>
        </w:rPr>
      </w:pPr>
    </w:p>
    <w:p>
      <w:pPr>
        <w:ind w:right="20" w:firstLine="269"/>
        <w:spacing w:after="0" w:line="255" w:lineRule="auto"/>
        <w:rPr>
          <w:sz w:val="20"/>
          <w:szCs w:val="20"/>
          <w:color w:val="auto"/>
        </w:rPr>
      </w:pPr>
      <w:r>
        <w:rPr>
          <w:rFonts w:ascii="Arial" w:cs="Arial" w:eastAsia="Arial" w:hAnsi="Arial"/>
          <w:sz w:val="15"/>
          <w:szCs w:val="15"/>
          <w:b w:val="1"/>
          <w:bCs w:val="1"/>
          <w:i w:val="1"/>
          <w:iCs w:val="1"/>
          <w:color w:val="auto"/>
        </w:rPr>
        <w:t xml:space="preserve">Transferability. </w:t>
      </w:r>
      <w:r>
        <w:rPr>
          <w:rFonts w:ascii="Arial" w:cs="Arial" w:eastAsia="Arial" w:hAnsi="Arial"/>
          <w:sz w:val="15"/>
          <w:szCs w:val="15"/>
          <w:color w:val="auto"/>
        </w:rPr>
        <w:t>Prior to the Distribution Date, (1) the Rights will be evidenced by the certificates of the relevant underlying common stock and the registered holders of the common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86" w:lineRule="exact"/>
        <w:rPr>
          <w:sz w:val="20"/>
          <w:szCs w:val="20"/>
          <w:color w:val="auto"/>
        </w:rPr>
      </w:pPr>
    </w:p>
    <w:p>
      <w:pPr>
        <w:ind w:right="480" w:firstLine="269"/>
        <w:spacing w:after="0" w:line="395" w:lineRule="auto"/>
        <w:rPr>
          <w:sz w:val="20"/>
          <w:szCs w:val="20"/>
          <w:color w:val="auto"/>
        </w:rPr>
      </w:pPr>
      <w:r>
        <w:rPr>
          <w:rFonts w:ascii="Arial" w:cs="Arial" w:eastAsia="Arial" w:hAnsi="Arial"/>
          <w:sz w:val="12"/>
          <w:szCs w:val="12"/>
          <w:b w:val="1"/>
          <w:bCs w:val="1"/>
          <w:i w:val="1"/>
          <w:iCs w:val="1"/>
          <w:color w:val="auto"/>
        </w:rPr>
        <w:t xml:space="preserve">Exercisability. </w:t>
      </w:r>
      <w:r>
        <w:rPr>
          <w:rFonts w:ascii="Arial" w:cs="Arial" w:eastAsia="Arial" w:hAnsi="Arial"/>
          <w:sz w:val="12"/>
          <w:szCs w:val="12"/>
          <w:color w:val="auto"/>
        </w:rPr>
        <w:t>The Rights will not be exercisable prior to the Distribution Date. After the Distribution Date, but prior to the occurrence of an event described below under “—‘Flip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Feature” or “—‘Flip Over’ Feature,” each Right will be exercisable to purchase for $125 one one-thousandth of a share of our Series A Participating Cumulative Preferred Stock.</w:t>
      </w:r>
    </w:p>
    <w:p>
      <w:pPr>
        <w:spacing w:after="0" w:line="106" w:lineRule="exact"/>
        <w:rPr>
          <w:sz w:val="20"/>
          <w:szCs w:val="20"/>
          <w:color w:val="auto"/>
        </w:rPr>
      </w:pPr>
    </w:p>
    <w:p>
      <w:pPr>
        <w:ind w:right="100" w:firstLine="269"/>
        <w:spacing w:after="0" w:line="268" w:lineRule="auto"/>
        <w:rPr>
          <w:sz w:val="20"/>
          <w:szCs w:val="20"/>
          <w:color w:val="auto"/>
        </w:rPr>
      </w:pPr>
      <w:r>
        <w:rPr>
          <w:rFonts w:ascii="Arial" w:cs="Arial" w:eastAsia="Arial" w:hAnsi="Arial"/>
          <w:sz w:val="15"/>
          <w:szCs w:val="15"/>
          <w:b w:val="1"/>
          <w:bCs w:val="1"/>
          <w:i w:val="1"/>
          <w:iCs w:val="1"/>
          <w:color w:val="auto"/>
        </w:rPr>
        <w:t xml:space="preserve">“Flip In” Feature. </w:t>
      </w:r>
      <w:r>
        <w:rPr>
          <w:rFonts w:ascii="Arial" w:cs="Arial" w:eastAsia="Arial" w:hAnsi="Arial"/>
          <w:sz w:val="15"/>
          <w:szCs w:val="15"/>
          <w:color w:val="auto"/>
        </w:rPr>
        <w:t>If any person becomes an Acquiring Person, each holder of a Right, except for the Acquiring Person or certain affiliated persons, will have the right to acquire, instead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one one-thousandth of a share of our Series A Participating Cumulative Preferred Stock, a number of shares of our</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right="60"/>
        <w:spacing w:after="0" w:line="258" w:lineRule="auto"/>
        <w:rPr>
          <w:sz w:val="20"/>
          <w:szCs w:val="20"/>
          <w:color w:val="auto"/>
        </w:rPr>
      </w:pPr>
      <w:r>
        <w:rPr>
          <w:rFonts w:ascii="Arial" w:cs="Arial" w:eastAsia="Arial" w:hAnsi="Arial"/>
          <w:sz w:val="15"/>
          <w:szCs w:val="15"/>
          <w:color w:val="auto"/>
        </w:rPr>
        <w:t>Class A common stock, in each case having a market value equal to twice the exercise price of the Right. For example, if an initial purchase price of $125 were in effect on the date that the flip in feature of the Rights were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84" w:lineRule="exact"/>
        <w:rPr>
          <w:sz w:val="20"/>
          <w:szCs w:val="20"/>
          <w:color w:val="auto"/>
        </w:rPr>
      </w:pPr>
    </w:p>
    <w:p>
      <w:pPr>
        <w:ind w:right="100" w:firstLine="269"/>
        <w:spacing w:after="0" w:line="279" w:lineRule="auto"/>
        <w:rPr>
          <w:sz w:val="20"/>
          <w:szCs w:val="20"/>
          <w:color w:val="auto"/>
        </w:rPr>
      </w:pPr>
      <w:r>
        <w:rPr>
          <w:rFonts w:ascii="Arial" w:cs="Arial" w:eastAsia="Arial" w:hAnsi="Arial"/>
          <w:sz w:val="14"/>
          <w:szCs w:val="14"/>
          <w:b w:val="1"/>
          <w:bCs w:val="1"/>
          <w:i w:val="1"/>
          <w:iCs w:val="1"/>
          <w:color w:val="auto"/>
        </w:rPr>
        <w:t xml:space="preserve">“Exchange” Feature. </w:t>
      </w:r>
      <w:r>
        <w:rPr>
          <w:rFonts w:ascii="Arial" w:cs="Arial" w:eastAsia="Arial" w:hAnsi="Arial"/>
          <w:sz w:val="14"/>
          <w:szCs w:val="14"/>
          <w:color w:val="auto"/>
        </w:rPr>
        <w:t>At any time after a person becomes an Acquiring Person (but before any person becomes the beneficial owner of our voting capital stock representing 50% or more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71" w:lineRule="exact"/>
        <w:rPr>
          <w:sz w:val="20"/>
          <w:szCs w:val="20"/>
          <w:color w:val="auto"/>
        </w:rPr>
      </w:pPr>
    </w:p>
    <w:p>
      <w:pPr>
        <w:ind w:right="80" w:firstLine="269"/>
        <w:spacing w:after="0" w:line="255" w:lineRule="auto"/>
        <w:rPr>
          <w:sz w:val="20"/>
          <w:szCs w:val="20"/>
          <w:color w:val="auto"/>
        </w:rPr>
      </w:pPr>
      <w:r>
        <w:rPr>
          <w:rFonts w:ascii="Arial" w:cs="Arial" w:eastAsia="Arial" w:hAnsi="Arial"/>
          <w:sz w:val="15"/>
          <w:szCs w:val="15"/>
          <w:b w:val="1"/>
          <w:bCs w:val="1"/>
          <w:i w:val="1"/>
          <w:iCs w:val="1"/>
          <w:color w:val="auto"/>
        </w:rPr>
        <w:t xml:space="preserve">“Flip Over” Feature. </w:t>
      </w:r>
      <w:r>
        <w:rPr>
          <w:rFonts w:ascii="Arial" w:cs="Arial" w:eastAsia="Arial" w:hAnsi="Arial"/>
          <w:sz w:val="15"/>
          <w:szCs w:val="15"/>
          <w:color w:val="auto"/>
        </w:rPr>
        <w:t>If, after a person becomes an Acquiring Person, (1) we are involved in a merger or other business combination in which we are not the surviving corporation or any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86" w:lineRule="exact"/>
        <w:rPr>
          <w:sz w:val="20"/>
          <w:szCs w:val="20"/>
          <w:color w:val="auto"/>
        </w:rPr>
      </w:pPr>
    </w:p>
    <w:p>
      <w:pPr>
        <w:ind w:right="20" w:firstLine="269"/>
        <w:spacing w:after="0" w:line="304" w:lineRule="auto"/>
        <w:rPr>
          <w:sz w:val="20"/>
          <w:szCs w:val="20"/>
          <w:color w:val="auto"/>
        </w:rPr>
      </w:pPr>
      <w:r>
        <w:rPr>
          <w:rFonts w:ascii="Arial" w:cs="Arial" w:eastAsia="Arial" w:hAnsi="Arial"/>
          <w:sz w:val="14"/>
          <w:szCs w:val="14"/>
          <w:b w:val="1"/>
          <w:bCs w:val="1"/>
          <w:i w:val="1"/>
          <w:iCs w:val="1"/>
          <w:color w:val="auto"/>
        </w:rPr>
        <w:t xml:space="preserve">Redemption of Rights. </w:t>
      </w:r>
      <w:r>
        <w:rPr>
          <w:rFonts w:ascii="Arial" w:cs="Arial" w:eastAsia="Arial" w:hAnsi="Arial"/>
          <w:sz w:val="14"/>
          <w:szCs w:val="14"/>
          <w:color w:val="auto"/>
        </w:rPr>
        <w:t>Our Board may redeem all of the Rights at a price of $0.001 per Right at any time prior to the time that any person becomes an Acquiring Person. The right to exercise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will terminate upon redemption, and at that time, holders of the Rights will have the right to receive only the redemption price for each Right they hold.</w:t>
      </w:r>
    </w:p>
    <w:p>
      <w:pPr>
        <w:spacing w:after="0" w:line="153" w:lineRule="exact"/>
        <w:rPr>
          <w:sz w:val="20"/>
          <w:szCs w:val="20"/>
          <w:color w:val="auto"/>
        </w:rPr>
      </w:pPr>
    </w:p>
    <w:p>
      <w:pPr>
        <w:ind w:right="300" w:firstLine="269"/>
        <w:spacing w:after="0" w:line="258"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 longer redeemable, the rights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 xml:space="preserve">Expiration of Rights. </w:t>
      </w:r>
      <w:r>
        <w:rPr>
          <w:rFonts w:ascii="Arial" w:cs="Arial" w:eastAsia="Arial" w:hAnsi="Arial"/>
          <w:sz w:val="15"/>
          <w:szCs w:val="15"/>
          <w:color w:val="auto"/>
        </w:rPr>
        <w:t>If not previously exercised or redeemed, the Rights will expire on November 18, 2012, unless earlier exchanged.</w:t>
      </w:r>
    </w:p>
    <w:p>
      <w:pPr>
        <w:spacing w:after="0" w:line="209" w:lineRule="exact"/>
        <w:rPr>
          <w:sz w:val="20"/>
          <w:szCs w:val="20"/>
          <w:color w:val="auto"/>
        </w:rPr>
      </w:pPr>
    </w:p>
    <w:p>
      <w:pPr>
        <w:jc w:val="both"/>
        <w:ind w:right="20" w:firstLine="269"/>
        <w:spacing w:after="0" w:line="258" w:lineRule="auto"/>
        <w:rPr>
          <w:sz w:val="20"/>
          <w:szCs w:val="20"/>
          <w:color w:val="auto"/>
        </w:rPr>
      </w:pPr>
      <w:r>
        <w:rPr>
          <w:rFonts w:ascii="Arial" w:cs="Arial" w:eastAsia="Arial" w:hAnsi="Arial"/>
          <w:sz w:val="15"/>
          <w:szCs w:val="15"/>
          <w:b w:val="1"/>
          <w:bCs w:val="1"/>
          <w:i w:val="1"/>
          <w:iCs w:val="1"/>
          <w:color w:val="auto"/>
        </w:rPr>
        <w:t xml:space="preserve">Anti-Takeover Effects. </w:t>
      </w:r>
      <w:r>
        <w:rPr>
          <w:rFonts w:ascii="Arial" w:cs="Arial" w:eastAsia="Arial" w:hAnsi="Arial"/>
          <w:sz w:val="15"/>
          <w:szCs w:val="15"/>
          <w:color w:val="auto"/>
        </w:rPr>
        <w:t>The Rights have certain anti-takeover effects. The Rights may cause substantial dilution to a person that attempts to acquire us without a condition to such an offer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84" w:lineRule="exact"/>
        <w:rPr>
          <w:sz w:val="20"/>
          <w:szCs w:val="20"/>
          <w:color w:val="auto"/>
        </w:rPr>
      </w:pPr>
    </w:p>
    <w:p>
      <w:pPr>
        <w:ind w:right="40" w:firstLine="269"/>
        <w:spacing w:after="0" w:line="268" w:lineRule="auto"/>
        <w:rPr>
          <w:sz w:val="20"/>
          <w:szCs w:val="20"/>
          <w:color w:val="auto"/>
        </w:rPr>
      </w:pPr>
      <w:r>
        <w:rPr>
          <w:rFonts w:ascii="Arial" w:cs="Arial" w:eastAsia="Arial" w:hAnsi="Arial"/>
          <w:sz w:val="15"/>
          <w:szCs w:val="15"/>
          <w:b w:val="1"/>
          <w:bCs w:val="1"/>
          <w:i w:val="1"/>
          <w:iCs w:val="1"/>
          <w:color w:val="auto"/>
        </w:rPr>
        <w:t xml:space="preserve">Taxation. </w:t>
      </w:r>
      <w:r>
        <w:rPr>
          <w:rFonts w:ascii="Arial" w:cs="Arial" w:eastAsia="Arial" w:hAnsi="Arial"/>
          <w:sz w:val="15"/>
          <w:szCs w:val="15"/>
          <w:color w:val="auto"/>
        </w:rPr>
        <w:t>While the dividend of the Rights will not be taxable to stockholders or to us, stockholders or we may, depending upon the circumstances, recognize taxable income in the event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Rights become exercisable as set forth above.</w:t>
      </w:r>
    </w:p>
    <w:p>
      <w:pPr>
        <w:spacing w:after="0" w:line="175" w:lineRule="exact"/>
        <w:rPr>
          <w:sz w:val="20"/>
          <w:szCs w:val="20"/>
          <w:color w:val="auto"/>
        </w:rPr>
      </w:pPr>
    </w:p>
    <w:p>
      <w:pPr>
        <w:ind w:firstLine="269"/>
        <w:spacing w:after="0" w:line="254" w:lineRule="auto"/>
        <w:rPr>
          <w:sz w:val="20"/>
          <w:szCs w:val="20"/>
          <w:color w:val="auto"/>
        </w:rPr>
      </w:pPr>
      <w:r>
        <w:rPr>
          <w:rFonts w:ascii="Arial" w:cs="Arial" w:eastAsia="Arial" w:hAnsi="Arial"/>
          <w:sz w:val="15"/>
          <w:szCs w:val="15"/>
          <w:b w:val="1"/>
          <w:bCs w:val="1"/>
          <w:i w:val="1"/>
          <w:iCs w:val="1"/>
          <w:color w:val="auto"/>
        </w:rPr>
        <w:t xml:space="preserve">Series A Preferred Stock. </w:t>
      </w:r>
      <w:r>
        <w:rPr>
          <w:rFonts w:ascii="Arial" w:cs="Arial" w:eastAsia="Arial" w:hAnsi="Arial"/>
          <w:sz w:val="15"/>
          <w:szCs w:val="15"/>
          <w:color w:val="auto"/>
        </w:rPr>
        <w:t>In connection with the creation of the Rights, our Board authorized the issuance of shares of our preferred stock designated as our Series A Participating Cumulative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Cross Guarantees</w:t>
      </w:r>
    </w:p>
    <w:p>
      <w:pPr>
        <w:spacing w:after="0" w:line="213" w:lineRule="exact"/>
        <w:rPr>
          <w:sz w:val="20"/>
          <w:szCs w:val="20"/>
          <w:color w:val="auto"/>
        </w:rPr>
      </w:pPr>
    </w:p>
    <w:p>
      <w:pPr>
        <w:ind w:right="100" w:firstLine="269"/>
        <w:spacing w:after="0" w:line="274" w:lineRule="auto"/>
        <w:rPr>
          <w:sz w:val="20"/>
          <w:szCs w:val="20"/>
          <w:color w:val="auto"/>
        </w:rPr>
      </w:pPr>
      <w:r>
        <w:rPr>
          <w:rFonts w:ascii="Arial" w:cs="Arial" w:eastAsia="Arial" w:hAnsi="Arial"/>
          <w:sz w:val="14"/>
          <w:szCs w:val="14"/>
          <w:color w:val="auto"/>
        </w:rPr>
        <w:t>To simplify our capital structure, effective with the acquisition of Broadband, we, Comcast Cable, Comcast Cable Communications Holdings, Comcast Cable Holdings and Comcast MO Group each fully and unconditionally guaranteed each other’s debt securities and other indebtedness for borrowed money. In March 2003, we obtained the consent of holders of $1.7 billion of the outstanding debt securities of Comcast MO of Delaware to an amendment of their debt securities which allowed Comcast MO of Delaware to become a guarantor and have its debt securities guaranteed. At the time the amendment became effective, we and the other cable guarantors fully and unconditionally guaranteed these debt securities of Comcast MO of Delaware, and Comcast MO of Delaware fully and unconditionally guaranteed our debt securities and the debt securities of the other cable guarantors, including the $3.0 billion of debt securities we have issued this year and amounts outstanding under the new credit facilities incurred in connection with the Broadband acquisition.</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Comcast Holdings is not a guarantor, and none of its debt securities are guaranteed.</w:t>
      </w:r>
    </w:p>
    <w:p>
      <w:pPr>
        <w:spacing w:after="0" w:line="209" w:lineRule="exact"/>
        <w:rPr>
          <w:sz w:val="20"/>
          <w:szCs w:val="20"/>
          <w:color w:val="auto"/>
        </w:rPr>
      </w:pPr>
    </w:p>
    <w:p>
      <w:pPr>
        <w:ind w:right="60" w:firstLine="269"/>
        <w:spacing w:after="0" w:line="272" w:lineRule="auto"/>
        <w:rPr>
          <w:sz w:val="20"/>
          <w:szCs w:val="20"/>
          <w:color w:val="auto"/>
        </w:rPr>
      </w:pPr>
      <w:r>
        <w:rPr>
          <w:rFonts w:ascii="Arial" w:cs="Arial" w:eastAsia="Arial" w:hAnsi="Arial"/>
          <w:sz w:val="14"/>
          <w:szCs w:val="14"/>
          <w:color w:val="auto"/>
        </w:rPr>
        <w:t>The following table presents as of December 31, 2002 for each of Comcast, Comcast Cable, Comcast Cable Communications Holdings, Comcast Cable Holdings, Comcast MO Group and Comcast MO of Delaware, their pro forma payment obligations for principal, excluding obligations of their subsidiaries and excluding interest but including principal accreted under discount obligations, under debt securities and other indebtedness for borrowed money that is subject to the cross guarantees. For purposes of the table, amounts set forth opposite “guaranteed debt securities” only include amounts with respect to the person who is the primary obligor and not with respect to amounts for which that person may be secondarily liable as guarantor. The table presents for us the pro forma effect of our issuance of $3 billion of debt securities this year (consisting of $600 million aggregate principal amount of our 5.85% Notes due 2010 and $900 million aggregate principal amount of our 6.05% Notes due 2015 issued on January 10, 2003, and $750 million aggregate principal amount of our 5.50% Notes due 2008 and $750 million aggregate principal amount of our 7.05% Notes due 2033 issued on March 14, 2003), and payment of $3 billion of net proceeds from the issuance and sale of these notes, to reduce our borrowings under the new credit facilities incurred in connection with the Broadband acquisition.</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20" w:type="dxa"/>
            <w:vAlign w:val="bottom"/>
            <w:gridSpan w:val="7"/>
          </w:tcPr>
          <w:p>
            <w:pPr>
              <w:ind w:left="380"/>
              <w:spacing w:after="0"/>
              <w:rPr>
                <w:sz w:val="20"/>
                <w:szCs w:val="20"/>
                <w:color w:val="auto"/>
              </w:rPr>
            </w:pPr>
            <w:r>
              <w:rPr>
                <w:rFonts w:ascii="Arial" w:cs="Arial" w:eastAsia="Arial" w:hAnsi="Arial"/>
                <w:sz w:val="11"/>
                <w:szCs w:val="11"/>
                <w:b w:val="1"/>
                <w:bCs w:val="1"/>
                <w:color w:val="auto"/>
              </w:rPr>
              <w:t>Payments Due by Period</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80"/>
        </w:trPr>
        <w:tc>
          <w:tcPr>
            <w:tcW w:w="4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r>
      <w:tr>
        <w:trPr>
          <w:trHeight w:val="193"/>
        </w:trPr>
        <w:tc>
          <w:tcPr>
            <w:tcW w:w="4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Payment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97"/>
              </w:rPr>
              <w:t>After 5</w:t>
            </w:r>
          </w:p>
        </w:tc>
      </w:tr>
      <w:tr>
        <w:trPr>
          <w:trHeight w:val="144"/>
        </w:trPr>
        <w:tc>
          <w:tcPr>
            <w:tcW w:w="4460" w:type="dxa"/>
            <w:vAlign w:val="bottom"/>
          </w:tcPr>
          <w:p>
            <w:pPr>
              <w:ind w:left="1820"/>
              <w:spacing w:after="0"/>
              <w:rPr>
                <w:sz w:val="20"/>
                <w:szCs w:val="20"/>
                <w:color w:val="auto"/>
              </w:rPr>
            </w:pPr>
            <w:r>
              <w:rPr>
                <w:rFonts w:ascii="Arial" w:cs="Arial" w:eastAsia="Arial" w:hAnsi="Arial"/>
                <w:sz w:val="11"/>
                <w:szCs w:val="11"/>
                <w:b w:val="1"/>
                <w:bCs w:val="1"/>
                <w:color w:val="auto"/>
              </w:rPr>
              <w:t>Guaranteed debt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ind w:right="109"/>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Year 1</w:t>
            </w:r>
          </w:p>
        </w:tc>
        <w:tc>
          <w:tcPr>
            <w:tcW w:w="280" w:type="dxa"/>
            <w:vAlign w:val="bottom"/>
          </w:tcPr>
          <w:p>
            <w:pPr>
              <w:spacing w:after="0"/>
              <w:rPr>
                <w:sz w:val="12"/>
                <w:szCs w:val="12"/>
                <w:color w:val="auto"/>
              </w:rPr>
            </w:pPr>
          </w:p>
        </w:tc>
        <w:tc>
          <w:tcPr>
            <w:tcW w:w="1380" w:type="dxa"/>
            <w:vAlign w:val="bottom"/>
            <w:gridSpan w:val="4"/>
          </w:tcPr>
          <w:p>
            <w:pPr>
              <w:ind w:left="320"/>
              <w:spacing w:after="0"/>
              <w:rPr>
                <w:sz w:val="20"/>
                <w:szCs w:val="20"/>
                <w:color w:val="auto"/>
              </w:rPr>
            </w:pPr>
            <w:r>
              <w:rPr>
                <w:rFonts w:ascii="Arial" w:cs="Arial" w:eastAsia="Arial" w:hAnsi="Arial"/>
                <w:sz w:val="11"/>
                <w:szCs w:val="11"/>
                <w:b w:val="1"/>
                <w:bCs w:val="1"/>
                <w:color w:val="auto"/>
              </w:rPr>
              <w:t>Years 2-3</w:t>
            </w:r>
          </w:p>
        </w:tc>
        <w:tc>
          <w:tcPr>
            <w:tcW w:w="1120" w:type="dxa"/>
            <w:vAlign w:val="bottom"/>
            <w:gridSpan w:val="4"/>
          </w:tcPr>
          <w:p>
            <w:pPr>
              <w:ind w:left="340"/>
              <w:spacing w:after="0"/>
              <w:rPr>
                <w:sz w:val="20"/>
                <w:szCs w:val="20"/>
                <w:color w:val="auto"/>
              </w:rPr>
            </w:pPr>
            <w:r>
              <w:rPr>
                <w:rFonts w:ascii="Arial" w:cs="Arial" w:eastAsia="Arial" w:hAnsi="Arial"/>
                <w:sz w:val="11"/>
                <w:szCs w:val="11"/>
                <w:b w:val="1"/>
                <w:bCs w:val="1"/>
                <w:color w:val="auto"/>
              </w:rPr>
              <w:t>Years 4-5</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6"/>
              </w:rPr>
              <w:t>Years</w:t>
            </w:r>
          </w:p>
        </w:tc>
      </w:tr>
      <w:tr>
        <w:trPr>
          <w:trHeight w:val="80"/>
        </w:trPr>
        <w:tc>
          <w:tcPr>
            <w:tcW w:w="446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r>
      <w:tr>
        <w:trPr>
          <w:trHeight w:val="204"/>
        </w:trPr>
        <w:tc>
          <w:tcPr>
            <w:tcW w:w="4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4"/>
          </w:tcPr>
          <w:p>
            <w:pPr>
              <w:ind w:left="40"/>
              <w:spacing w:after="0"/>
              <w:rPr>
                <w:sz w:val="20"/>
                <w:szCs w:val="20"/>
                <w:color w:val="auto"/>
              </w:rPr>
            </w:pPr>
            <w:r>
              <w:rPr>
                <w:rFonts w:ascii="Arial" w:cs="Arial" w:eastAsia="Arial" w:hAnsi="Arial"/>
                <w:sz w:val="11"/>
                <w:szCs w:val="11"/>
                <w:b w:val="1"/>
                <w:bCs w:val="1"/>
                <w:color w:val="auto"/>
              </w:rPr>
              <w:t>(In millions, unaudited)</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79"/>
        </w:trPr>
        <w:tc>
          <w:tcPr>
            <w:tcW w:w="4460" w:type="dxa"/>
            <w:vAlign w:val="bottom"/>
            <w:shd w:val="clear" w:color="auto" w:fill="EEEEEE"/>
          </w:tcPr>
          <w:p>
            <w:pPr>
              <w:spacing w:after="0"/>
              <w:rPr>
                <w:sz w:val="20"/>
                <w:szCs w:val="20"/>
                <w:color w:val="auto"/>
              </w:rPr>
            </w:pPr>
            <w:r>
              <w:rPr>
                <w:rFonts w:ascii="Arial" w:cs="Arial" w:eastAsia="Arial" w:hAnsi="Arial"/>
                <w:sz w:val="15"/>
                <w:szCs w:val="15"/>
                <w:color w:val="auto"/>
              </w:rPr>
              <w:t>Comcast</w:t>
            </w: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5"/>
              </w:rPr>
              <w:t>3,680.0</w:t>
            </w:r>
          </w:p>
        </w:tc>
        <w:tc>
          <w:tcPr>
            <w:tcW w:w="86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680.0</w:t>
            </w: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95"/>
              </w:rPr>
              <w:t>3,000.0</w:t>
            </w:r>
          </w:p>
        </w:tc>
        <w:tc>
          <w:tcPr>
            <w:tcW w:w="280" w:type="dxa"/>
            <w:vAlign w:val="bottom"/>
            <w:shd w:val="clear" w:color="auto" w:fill="EEEEEE"/>
          </w:tcPr>
          <w:p>
            <w:pPr>
              <w:spacing w:after="0"/>
              <w:rPr>
                <w:sz w:val="15"/>
                <w:szCs w:val="15"/>
                <w:color w:val="auto"/>
              </w:rPr>
            </w:pPr>
          </w:p>
        </w:tc>
      </w:tr>
      <w:tr>
        <w:trPr>
          <w:trHeight w:val="179"/>
        </w:trPr>
        <w:tc>
          <w:tcPr>
            <w:tcW w:w="4460" w:type="dxa"/>
            <w:vAlign w:val="bottom"/>
          </w:tcPr>
          <w:p>
            <w:pPr>
              <w:spacing w:after="0"/>
              <w:rPr>
                <w:sz w:val="20"/>
                <w:szCs w:val="20"/>
                <w:color w:val="auto"/>
              </w:rPr>
            </w:pPr>
            <w:r>
              <w:rPr>
                <w:rFonts w:ascii="Arial" w:cs="Arial" w:eastAsia="Arial" w:hAnsi="Arial"/>
                <w:sz w:val="15"/>
                <w:szCs w:val="15"/>
                <w:color w:val="auto"/>
              </w:rPr>
              <w:t>Comcast Cable</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7,897.3</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3"/>
              </w:rPr>
              <w:t>1,810.3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3"/>
              </w:rPr>
              <w:t>1,488.4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4,598.6</w:t>
            </w:r>
          </w:p>
        </w:tc>
        <w:tc>
          <w:tcPr>
            <w:tcW w:w="280" w:type="dxa"/>
            <w:vAlign w:val="bottom"/>
          </w:tcPr>
          <w:p>
            <w:pPr>
              <w:spacing w:after="0"/>
              <w:rPr>
                <w:sz w:val="15"/>
                <w:szCs w:val="15"/>
                <w:color w:val="auto"/>
              </w:rPr>
            </w:pPr>
          </w:p>
        </w:tc>
      </w:tr>
      <w:tr>
        <w:trPr>
          <w:trHeight w:val="179"/>
        </w:trPr>
        <w:tc>
          <w:tcPr>
            <w:tcW w:w="4460" w:type="dxa"/>
            <w:vAlign w:val="bottom"/>
            <w:shd w:val="clear" w:color="auto" w:fill="EEEEEE"/>
          </w:tcPr>
          <w:p>
            <w:pPr>
              <w:spacing w:after="0"/>
              <w:rPr>
                <w:sz w:val="20"/>
                <w:szCs w:val="20"/>
                <w:color w:val="auto"/>
              </w:rPr>
            </w:pPr>
            <w:r>
              <w:rPr>
                <w:rFonts w:ascii="Arial" w:cs="Arial" w:eastAsia="Arial" w:hAnsi="Arial"/>
                <w:sz w:val="15"/>
                <w:szCs w:val="15"/>
                <w:color w:val="auto"/>
              </w:rPr>
              <w:t>Comcast Cable Communications Holdings</w:t>
            </w:r>
          </w:p>
        </w:tc>
        <w:tc>
          <w:tcPr>
            <w:tcW w:w="28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5"/>
              </w:rPr>
              <w:t>6,755.1</w:t>
            </w:r>
          </w:p>
        </w:tc>
        <w:tc>
          <w:tcPr>
            <w:tcW w:w="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750.0</w:t>
            </w: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3"/>
              </w:rPr>
              <w:t>2,500.0</w:t>
            </w: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74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95"/>
              </w:rPr>
              <w:t>3,505.1</w:t>
            </w:r>
          </w:p>
        </w:tc>
        <w:tc>
          <w:tcPr>
            <w:tcW w:w="280" w:type="dxa"/>
            <w:vAlign w:val="bottom"/>
            <w:shd w:val="clear" w:color="auto" w:fill="EEEEEE"/>
          </w:tcPr>
          <w:p>
            <w:pPr>
              <w:spacing w:after="0"/>
              <w:rPr>
                <w:sz w:val="15"/>
                <w:szCs w:val="15"/>
                <w:color w:val="auto"/>
              </w:rPr>
            </w:pPr>
          </w:p>
        </w:tc>
      </w:tr>
      <w:tr>
        <w:trPr>
          <w:trHeight w:val="179"/>
        </w:trPr>
        <w:tc>
          <w:tcPr>
            <w:tcW w:w="4460" w:type="dxa"/>
            <w:vAlign w:val="bottom"/>
          </w:tcPr>
          <w:p>
            <w:pPr>
              <w:spacing w:after="0"/>
              <w:rPr>
                <w:sz w:val="20"/>
                <w:szCs w:val="20"/>
                <w:color w:val="auto"/>
              </w:rPr>
            </w:pPr>
            <w:r>
              <w:rPr>
                <w:rFonts w:ascii="Arial" w:cs="Arial" w:eastAsia="Arial" w:hAnsi="Arial"/>
                <w:sz w:val="15"/>
                <w:szCs w:val="15"/>
                <w:color w:val="auto"/>
              </w:rPr>
              <w:t>Comcast Cable Holdings</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6,208.2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3"/>
              </w:rPr>
              <w:t>1,464.2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3"/>
              </w:rPr>
              <w:t>1,131.4</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419.2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3,193.4</w:t>
            </w:r>
          </w:p>
        </w:tc>
        <w:tc>
          <w:tcPr>
            <w:tcW w:w="280" w:type="dxa"/>
            <w:vAlign w:val="bottom"/>
          </w:tcPr>
          <w:p>
            <w:pPr>
              <w:spacing w:after="0"/>
              <w:rPr>
                <w:sz w:val="15"/>
                <w:szCs w:val="15"/>
                <w:color w:val="auto"/>
              </w:rPr>
            </w:pPr>
          </w:p>
        </w:tc>
      </w:tr>
      <w:tr>
        <w:trPr>
          <w:trHeight w:val="186"/>
        </w:trPr>
        <w:tc>
          <w:tcPr>
            <w:tcW w:w="4460" w:type="dxa"/>
            <w:vAlign w:val="bottom"/>
            <w:shd w:val="clear" w:color="auto" w:fill="EEEEEE"/>
          </w:tcPr>
          <w:p>
            <w:pPr>
              <w:spacing w:after="0"/>
              <w:rPr>
                <w:sz w:val="20"/>
                <w:szCs w:val="20"/>
                <w:color w:val="auto"/>
              </w:rPr>
            </w:pPr>
            <w:r>
              <w:rPr>
                <w:rFonts w:ascii="Arial" w:cs="Arial" w:eastAsia="Arial" w:hAnsi="Arial"/>
                <w:sz w:val="15"/>
                <w:szCs w:val="15"/>
                <w:color w:val="auto"/>
              </w:rPr>
              <w:t>Comcast MO Group</w:t>
            </w:r>
          </w:p>
        </w:tc>
        <w:tc>
          <w:tcPr>
            <w:tcW w:w="2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292.9</w:t>
            </w: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30.6</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61.7</w:t>
            </w:r>
          </w:p>
        </w:tc>
        <w:tc>
          <w:tcPr>
            <w:tcW w:w="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199.3</w:t>
            </w:r>
          </w:p>
        </w:tc>
        <w:tc>
          <w:tcPr>
            <w:tcW w:w="280" w:type="dxa"/>
            <w:vAlign w:val="bottom"/>
            <w:shd w:val="clear" w:color="auto" w:fill="EEEEEE"/>
          </w:tcPr>
          <w:p>
            <w:pPr>
              <w:spacing w:after="0"/>
              <w:rPr>
                <w:sz w:val="16"/>
                <w:szCs w:val="16"/>
                <w:color w:val="auto"/>
              </w:rPr>
            </w:pPr>
          </w:p>
        </w:tc>
      </w:tr>
      <w:tr>
        <w:trPr>
          <w:trHeight w:val="173"/>
        </w:trPr>
        <w:tc>
          <w:tcPr>
            <w:tcW w:w="446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r>
      <w:tr>
        <w:trPr>
          <w:trHeight w:val="186"/>
        </w:trPr>
        <w:tc>
          <w:tcPr>
            <w:tcW w:w="4460" w:type="dxa"/>
            <w:vAlign w:val="bottom"/>
          </w:tcPr>
          <w:p>
            <w:pPr>
              <w:spacing w:after="0"/>
              <w:rPr>
                <w:sz w:val="20"/>
                <w:szCs w:val="20"/>
                <w:color w:val="auto"/>
              </w:rPr>
            </w:pPr>
            <w:r>
              <w:rPr>
                <w:rFonts w:ascii="Arial" w:cs="Arial" w:eastAsia="Arial" w:hAnsi="Arial"/>
                <w:sz w:val="15"/>
                <w:szCs w:val="15"/>
                <w:color w:val="auto"/>
              </w:rPr>
              <w:t>Comcast MO of Delaware</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1,914.0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301.2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654.1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958.7</w:t>
            </w:r>
          </w:p>
        </w:tc>
        <w:tc>
          <w:tcPr>
            <w:tcW w:w="280" w:type="dxa"/>
            <w:vAlign w:val="bottom"/>
          </w:tcPr>
          <w:p>
            <w:pPr>
              <w:spacing w:after="0"/>
              <w:rPr>
                <w:sz w:val="16"/>
                <w:szCs w:val="16"/>
                <w:color w:val="auto"/>
              </w:rPr>
            </w:pPr>
          </w:p>
        </w:tc>
      </w:tr>
      <w:tr>
        <w:trPr>
          <w:trHeight w:val="83"/>
        </w:trPr>
        <w:tc>
          <w:tcPr>
            <w:tcW w:w="4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81"/>
        </w:trPr>
        <w:tc>
          <w:tcPr>
            <w:tcW w:w="4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179"/>
        </w:trPr>
        <w:tc>
          <w:tcPr>
            <w:tcW w:w="4460" w:type="dxa"/>
            <w:vAlign w:val="bottom"/>
            <w:shd w:val="clear" w:color="auto" w:fill="EEEEEE"/>
          </w:tcPr>
          <w:p>
            <w:pPr>
              <w:ind w:left="300"/>
              <w:spacing w:after="0"/>
              <w:rPr>
                <w:sz w:val="20"/>
                <w:szCs w:val="20"/>
                <w:color w:val="auto"/>
              </w:rPr>
            </w:pPr>
            <w:r>
              <w:rPr>
                <w:rFonts w:ascii="Arial" w:cs="Arial" w:eastAsia="Arial" w:hAnsi="Arial"/>
                <w:sz w:val="15"/>
                <w:szCs w:val="15"/>
                <w:color w:val="auto"/>
              </w:rPr>
              <w:t>Total</w:t>
            </w: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2"/>
              </w:rPr>
              <w:t>26,747.5</w:t>
            </w:r>
          </w:p>
        </w:tc>
        <w:tc>
          <w:tcPr>
            <w:tcW w:w="86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3"/>
              </w:rPr>
              <w:t>2,215.5</w:t>
            </w:r>
          </w:p>
        </w:tc>
        <w:tc>
          <w:tcPr>
            <w:tcW w:w="280" w:type="dxa"/>
            <w:vAlign w:val="bottom"/>
            <w:shd w:val="clear" w:color="auto" w:fill="EEEEEE"/>
          </w:tcPr>
          <w:p>
            <w:pPr>
              <w:spacing w:after="0"/>
              <w:rPr>
                <w:sz w:val="15"/>
                <w:szCs w:val="15"/>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3"/>
              </w:rPr>
              <w:t>6,453.5</w:t>
            </w: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3"/>
              </w:rPr>
              <w:t>2,623.4</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82"/>
              </w:rPr>
              <w:t>15,455.1</w:t>
            </w:r>
          </w:p>
        </w:tc>
        <w:tc>
          <w:tcPr>
            <w:tcW w:w="280" w:type="dxa"/>
            <w:vAlign w:val="bottom"/>
            <w:shd w:val="clear" w:color="auto" w:fill="EEEEEE"/>
          </w:tcPr>
          <w:p>
            <w:pPr>
              <w:spacing w:after="0"/>
              <w:rPr>
                <w:sz w:val="15"/>
                <w:szCs w:val="15"/>
                <w:color w:val="auto"/>
              </w:rPr>
            </w:pPr>
          </w:p>
        </w:tc>
      </w:tr>
      <w:tr>
        <w:trPr>
          <w:trHeight w:val="119"/>
        </w:trPr>
        <w:tc>
          <w:tcPr>
            <w:tcW w:w="4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r>
      <w:tr>
        <w:trPr>
          <w:trHeight w:val="443"/>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40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7"/>
        </w:trPr>
        <w:tc>
          <w:tcPr>
            <w:tcW w:w="446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-446405</wp:posOffset>
            </wp:positionV>
            <wp:extent cx="1270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-446405</wp:posOffset>
            </wp:positionV>
            <wp:extent cx="1270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-446405</wp:posOffset>
            </wp:positionV>
            <wp:extent cx="1270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-446405</wp:posOffset>
            </wp:positionV>
            <wp:extent cx="1270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-446405</wp:posOffset>
            </wp:positionV>
            <wp:extent cx="1270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4987290</wp:posOffset>
            </wp:positionH>
            <wp:positionV relativeFrom="paragraph">
              <wp:posOffset>-446405</wp:posOffset>
            </wp:positionV>
            <wp:extent cx="1270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-446405</wp:posOffset>
            </wp:positionV>
            <wp:extent cx="1270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5870575</wp:posOffset>
            </wp:positionH>
            <wp:positionV relativeFrom="paragraph">
              <wp:posOffset>-446405</wp:posOffset>
            </wp:positionV>
            <wp:extent cx="1270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7080885</wp:posOffset>
            </wp:positionH>
            <wp:positionV relativeFrom="paragraph">
              <wp:posOffset>-446405</wp:posOffset>
            </wp:positionV>
            <wp:extent cx="1270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-446405</wp:posOffset>
            </wp:positionV>
            <wp:extent cx="1270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PLAN OF DISTRIBUTION</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may sell the securities being offered hereby in four ways:</w:t>
      </w:r>
    </w:p>
    <w:p>
      <w:pPr>
        <w:spacing w:after="0" w:line="186" w:lineRule="exact"/>
        <w:rPr>
          <w:sz w:val="20"/>
          <w:szCs w:val="20"/>
          <w:color w:val="auto"/>
        </w:rPr>
      </w:pPr>
    </w:p>
    <w:p>
      <w:pPr>
        <w:ind w:left="820" w:hanging="463"/>
        <w:spacing w:after="0"/>
        <w:tabs>
          <w:tab w:leader="none" w:pos="8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directly to purchasers;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through agents;</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through underwriters; and</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through dealers.</w:t>
      </w:r>
    </w:p>
    <w:p>
      <w:pPr>
        <w:spacing w:after="0" w:line="231" w:lineRule="exact"/>
        <w:rPr>
          <w:sz w:val="20"/>
          <w:szCs w:val="20"/>
          <w:color w:val="auto"/>
        </w:rPr>
      </w:pPr>
    </w:p>
    <w:p>
      <w:pPr>
        <w:ind w:firstLine="269"/>
        <w:spacing w:after="0" w:line="255" w:lineRule="auto"/>
        <w:rPr>
          <w:sz w:val="20"/>
          <w:szCs w:val="20"/>
          <w:color w:val="auto"/>
        </w:rPr>
      </w:pPr>
      <w:r>
        <w:rPr>
          <w:rFonts w:ascii="Arial" w:cs="Arial" w:eastAsia="Arial" w:hAnsi="Arial"/>
          <w:sz w:val="15"/>
          <w:szCs w:val="15"/>
          <w:color w:val="auto"/>
        </w:rPr>
        <w:t>We may directly solicit offers to purchase securities, or we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6" w:lineRule="exact"/>
        <w:rPr>
          <w:sz w:val="20"/>
          <w:szCs w:val="20"/>
          <w:color w:val="auto"/>
        </w:rPr>
      </w:pPr>
    </w:p>
    <w:p>
      <w:pPr>
        <w:ind w:right="100" w:firstLine="269"/>
        <w:spacing w:after="0" w:line="268" w:lineRule="auto"/>
        <w:rPr>
          <w:sz w:val="20"/>
          <w:szCs w:val="20"/>
          <w:color w:val="auto"/>
        </w:rPr>
      </w:pPr>
      <w:r>
        <w:rPr>
          <w:rFonts w:ascii="Arial" w:cs="Arial" w:eastAsia="Arial" w:hAnsi="Arial"/>
          <w:sz w:val="15"/>
          <w:szCs w:val="15"/>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175" w:lineRule="exact"/>
        <w:rPr>
          <w:sz w:val="20"/>
          <w:szCs w:val="20"/>
          <w:color w:val="auto"/>
        </w:rPr>
      </w:pPr>
    </w:p>
    <w:p>
      <w:pPr>
        <w:ind w:right="20" w:firstLine="269"/>
        <w:spacing w:after="0" w:line="268" w:lineRule="auto"/>
        <w:rPr>
          <w:sz w:val="20"/>
          <w:szCs w:val="20"/>
          <w:color w:val="auto"/>
        </w:rPr>
      </w:pPr>
      <w:r>
        <w:rPr>
          <w:rFonts w:ascii="Arial" w:cs="Arial" w:eastAsia="Arial" w:hAnsi="Arial"/>
          <w:sz w:val="15"/>
          <w:szCs w:val="15"/>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75" w:lineRule="exact"/>
        <w:rPr>
          <w:sz w:val="20"/>
          <w:szCs w:val="20"/>
          <w:color w:val="auto"/>
        </w:rPr>
      </w:pPr>
    </w:p>
    <w:p>
      <w:pPr>
        <w:ind w:right="260" w:firstLine="269"/>
        <w:spacing w:after="0" w:line="304" w:lineRule="auto"/>
        <w:rPr>
          <w:sz w:val="20"/>
          <w:szCs w:val="20"/>
          <w:color w:val="auto"/>
        </w:rPr>
      </w:pPr>
      <w:r>
        <w:rPr>
          <w:rFonts w:ascii="Arial" w:cs="Arial" w:eastAsia="Arial" w:hAnsi="Arial"/>
          <w:sz w:val="14"/>
          <w:szCs w:val="14"/>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153" w:lineRule="exact"/>
        <w:rPr>
          <w:sz w:val="20"/>
          <w:szCs w:val="20"/>
          <w:color w:val="auto"/>
        </w:rPr>
      </w:pPr>
    </w:p>
    <w:p>
      <w:pPr>
        <w:ind w:right="40" w:firstLine="269"/>
        <w:spacing w:after="0" w:line="273" w:lineRule="auto"/>
        <w:rPr>
          <w:sz w:val="20"/>
          <w:szCs w:val="20"/>
          <w:color w:val="auto"/>
        </w:rPr>
      </w:pPr>
      <w:r>
        <w:rPr>
          <w:rFonts w:ascii="Arial" w:cs="Arial" w:eastAsia="Arial" w:hAnsi="Arial"/>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6" w:lineRule="exact"/>
        <w:rPr>
          <w:sz w:val="20"/>
          <w:szCs w:val="20"/>
          <w:color w:val="auto"/>
        </w:rPr>
      </w:pPr>
    </w:p>
    <w:p>
      <w:pPr>
        <w:ind w:right="120" w:firstLine="269"/>
        <w:spacing w:after="0" w:line="268" w:lineRule="auto"/>
        <w:rPr>
          <w:sz w:val="20"/>
          <w:szCs w:val="20"/>
          <w:color w:val="auto"/>
        </w:rPr>
      </w:pPr>
      <w:r>
        <w:rPr>
          <w:rFonts w:ascii="Arial" w:cs="Arial" w:eastAsia="Arial" w:hAnsi="Arial"/>
          <w:sz w:val="15"/>
          <w:szCs w:val="15"/>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LEGAL MATTERS</w:t>
      </w:r>
    </w:p>
    <w:p>
      <w:pPr>
        <w:spacing w:after="0" w:line="213" w:lineRule="exact"/>
        <w:rPr>
          <w:sz w:val="20"/>
          <w:szCs w:val="20"/>
          <w:color w:val="auto"/>
        </w:rPr>
      </w:pPr>
    </w:p>
    <w:p>
      <w:pPr>
        <w:ind w:right="440" w:firstLine="269"/>
        <w:spacing w:after="0" w:line="286" w:lineRule="auto"/>
        <w:rPr>
          <w:sz w:val="20"/>
          <w:szCs w:val="20"/>
          <w:color w:val="auto"/>
        </w:rPr>
      </w:pPr>
      <w:r>
        <w:rPr>
          <w:rFonts w:ascii="Arial" w:cs="Arial" w:eastAsia="Arial" w:hAnsi="Arial"/>
          <w:sz w:val="14"/>
          <w:szCs w:val="14"/>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EXPERTS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Comcast</w:t>
      </w:r>
    </w:p>
    <w:p>
      <w:pPr>
        <w:spacing w:after="0" w:line="213" w:lineRule="exact"/>
        <w:rPr>
          <w:sz w:val="20"/>
          <w:szCs w:val="20"/>
          <w:color w:val="auto"/>
        </w:rPr>
      </w:pPr>
    </w:p>
    <w:p>
      <w:pPr>
        <w:ind w:right="40" w:firstLine="269"/>
        <w:spacing w:after="0" w:line="332" w:lineRule="auto"/>
        <w:rPr>
          <w:sz w:val="20"/>
          <w:szCs w:val="20"/>
          <w:color w:val="auto"/>
        </w:rPr>
      </w:pPr>
      <w:r>
        <w:rPr>
          <w:rFonts w:ascii="Arial" w:cs="Arial" w:eastAsia="Arial" w:hAnsi="Arial"/>
          <w:sz w:val="12"/>
          <w:szCs w:val="12"/>
          <w:color w:val="auto"/>
        </w:rPr>
        <w:t>The financial statements and the related financial statement schedule incorporated in this prospectus by reference from Comcast’s Annual Report on Form 10-K for the year ended December 31, 2002, have been audited by Deloitte &amp; 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which are incorporated herein by reference, and have been so incorporated in reliance upon the reports of such firm given upon their authority as experts in accounting and auditing.</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AT&amp;T Broadband Group</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audited historical combined financial statements of AT&amp;T Broadband Group incorporated in this prospectus by reference to Comcast’s Current Report on Form 8-K/A dated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November 18, 2002 filed on December 16, 2002, have been so incorporated in reliance on the report of PricewaterhouseCoopers LLP, independent accountants, given on the authority of said firm</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as experts in accounting and auditing.</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AVAILABLE INFORMATION</w:t>
      </w:r>
    </w:p>
    <w:p>
      <w:pPr>
        <w:spacing w:after="0" w:line="213" w:lineRule="exact"/>
        <w:rPr>
          <w:sz w:val="20"/>
          <w:szCs w:val="20"/>
          <w:color w:val="auto"/>
        </w:rPr>
      </w:pPr>
    </w:p>
    <w:p>
      <w:pPr>
        <w:ind w:right="20" w:firstLine="269"/>
        <w:spacing w:after="0" w:line="273" w:lineRule="auto"/>
        <w:rPr>
          <w:sz w:val="20"/>
          <w:szCs w:val="20"/>
          <w:color w:val="auto"/>
        </w:rPr>
      </w:pPr>
      <w:r>
        <w:rPr>
          <w:rFonts w:ascii="Arial" w:cs="Arial" w:eastAsia="Arial" w:hAnsi="Arial"/>
          <w:sz w:val="14"/>
          <w:szCs w:val="14"/>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76" w:lineRule="exact"/>
        <w:rPr>
          <w:sz w:val="20"/>
          <w:szCs w:val="20"/>
          <w:color w:val="auto"/>
        </w:rPr>
      </w:pPr>
    </w:p>
    <w:p>
      <w:pPr>
        <w:ind w:right="40" w:firstLine="269"/>
        <w:spacing w:after="0" w:line="276" w:lineRule="auto"/>
        <w:rPr>
          <w:sz w:val="20"/>
          <w:szCs w:val="20"/>
          <w:color w:val="auto"/>
        </w:rPr>
      </w:pPr>
      <w:r>
        <w:rPr>
          <w:rFonts w:ascii="Arial" w:cs="Arial" w:eastAsia="Arial" w:hAnsi="Arial"/>
          <w:sz w:val="14"/>
          <w:szCs w:val="14"/>
          <w:color w:val="auto"/>
        </w:rPr>
        <w:t xml:space="preserve">Comcast Cable Communications Holdings, Comcast Cable, Comcast Cable Holdings, Comcast MO Group and Comcast MO of Delaware do not currently file information with the SEC. We file annual, quarterly and special reports and other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450 Fifth Street, N.W.,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4"/>
          <w:szCs w:val="14"/>
          <w:i w:val="1"/>
          <w:iCs w:val="1"/>
          <w:color w:val="auto"/>
        </w:rPr>
        <w:t>http://www.sec.gov</w:t>
      </w:r>
      <w:r>
        <w:rPr>
          <w:rFonts w:ascii="Arial" w:cs="Arial" w:eastAsia="Arial" w:hAnsi="Arial"/>
          <w:sz w:val="14"/>
          <w:szCs w:val="14"/>
          <w:color w:val="auto"/>
        </w:rPr>
        <w:t>.</w:t>
      </w:r>
    </w:p>
    <w:p>
      <w:pPr>
        <w:spacing w:after="0" w:line="173" w:lineRule="exact"/>
        <w:rPr>
          <w:sz w:val="20"/>
          <w:szCs w:val="20"/>
          <w:color w:val="auto"/>
        </w:rPr>
      </w:pPr>
    </w:p>
    <w:p>
      <w:pPr>
        <w:ind w:right="40" w:firstLine="269"/>
        <w:spacing w:after="0" w:line="255" w:lineRule="auto"/>
        <w:rPr>
          <w:sz w:val="20"/>
          <w:szCs w:val="20"/>
          <w:color w:val="auto"/>
        </w:rPr>
      </w:pPr>
      <w:r>
        <w:rPr>
          <w:rFonts w:ascii="Arial" w:cs="Arial" w:eastAsia="Arial" w:hAnsi="Arial"/>
          <w:sz w:val="15"/>
          <w:szCs w:val="15"/>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80"/>
          </w:cols>
          <w:pgMar w:left="220" w:top="372" w:right="29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INCORPORATION OF CERTAIN DOCUMENTS BY REFERENCE</w:t>
      </w:r>
    </w:p>
    <w:p>
      <w:pPr>
        <w:spacing w:after="0" w:line="213" w:lineRule="exact"/>
        <w:rPr>
          <w:sz w:val="20"/>
          <w:szCs w:val="20"/>
          <w:color w:val="auto"/>
        </w:rPr>
      </w:pPr>
    </w:p>
    <w:p>
      <w:pPr>
        <w:jc w:val="both"/>
        <w:ind w:right="560" w:firstLine="269"/>
        <w:spacing w:after="0" w:line="258" w:lineRule="auto"/>
        <w:rPr>
          <w:sz w:val="20"/>
          <w:szCs w:val="20"/>
          <w:color w:val="auto"/>
        </w:rPr>
      </w:pPr>
      <w:r>
        <w:rPr>
          <w:rFonts w:ascii="Arial" w:cs="Arial" w:eastAsia="Arial" w:hAnsi="Arial"/>
          <w:sz w:val="15"/>
          <w:szCs w:val="15"/>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This prospectus incorporates by reference the documents set forth below that we have previously filed with the SEC.</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Comcast SEC Filings (File No. 000-50093)</w:t>
      </w:r>
    </w:p>
    <w:p>
      <w:pPr>
        <w:spacing w:after="0" w:line="186" w:lineRule="exact"/>
        <w:rPr>
          <w:sz w:val="20"/>
          <w:szCs w:val="20"/>
          <w:color w:val="auto"/>
        </w:rPr>
      </w:pPr>
    </w:p>
    <w:p>
      <w:pPr>
        <w:ind w:left="820" w:hanging="463"/>
        <w:spacing w:after="0"/>
        <w:tabs>
          <w:tab w:leader="none" w:pos="8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Annual Report on Form 10-K for the year ended December 31, 2002, filed on March 20, 2003.</w:t>
      </w:r>
    </w:p>
    <w:p>
      <w:pPr>
        <w:spacing w:after="0" w:line="231" w:lineRule="exact"/>
        <w:rPr>
          <w:rFonts w:ascii="Arial" w:cs="Arial" w:eastAsia="Arial" w:hAnsi="Arial"/>
          <w:sz w:val="15"/>
          <w:szCs w:val="15"/>
          <w:color w:val="auto"/>
        </w:rPr>
      </w:pPr>
    </w:p>
    <w:p>
      <w:pPr>
        <w:ind w:left="820" w:hanging="463"/>
        <w:spacing w:after="0"/>
        <w:tabs>
          <w:tab w:leader="none" w:pos="8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Current Reports on Form 8-K, filed on January 10, 2003, February 5, 2003 and March 6, 2003.</w:t>
      </w:r>
    </w:p>
    <w:p>
      <w:pPr>
        <w:spacing w:after="0" w:line="231" w:lineRule="exact"/>
        <w:rPr>
          <w:rFonts w:ascii="Arial" w:cs="Arial" w:eastAsia="Arial" w:hAnsi="Arial"/>
          <w:sz w:val="15"/>
          <w:szCs w:val="15"/>
          <w:color w:val="auto"/>
        </w:rPr>
      </w:pPr>
    </w:p>
    <w:p>
      <w:pPr>
        <w:ind w:left="820" w:right="260" w:hanging="463"/>
        <w:spacing w:after="0" w:line="268" w:lineRule="auto"/>
        <w:tabs>
          <w:tab w:leader="none" w:pos="8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description of our capital stock incorporated in our Current Report on Form 8-K12G3 and Registration Statement on Form 8-A12G, each filed on November 18, 2002, as the same may be amended from time to time.</w:t>
      </w:r>
    </w:p>
    <w:p>
      <w:pPr>
        <w:spacing w:after="0" w:line="175" w:lineRule="exact"/>
        <w:rPr>
          <w:rFonts w:ascii="Arial" w:cs="Arial" w:eastAsia="Arial" w:hAnsi="Arial"/>
          <w:sz w:val="15"/>
          <w:szCs w:val="15"/>
          <w:color w:val="auto"/>
        </w:rPr>
      </w:pPr>
    </w:p>
    <w:p>
      <w:pPr>
        <w:ind w:left="820" w:hanging="463"/>
        <w:spacing w:after="0"/>
        <w:tabs>
          <w:tab w:leader="none" w:pos="8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Exhibits 99.6 and 99.7 to the Current Report on Form 8-K/ A dated November 18, 2002 filed on December 16, 2002.</w:t>
      </w:r>
    </w:p>
    <w:p>
      <w:pPr>
        <w:spacing w:after="0" w:line="231" w:lineRule="exact"/>
        <w:rPr>
          <w:sz w:val="20"/>
          <w:szCs w:val="20"/>
          <w:color w:val="auto"/>
        </w:rPr>
      </w:pPr>
    </w:p>
    <w:p>
      <w:pPr>
        <w:ind w:firstLine="269"/>
        <w:spacing w:after="0" w:line="255" w:lineRule="auto"/>
        <w:rPr>
          <w:sz w:val="20"/>
          <w:szCs w:val="20"/>
          <w:color w:val="auto"/>
        </w:rPr>
      </w:pPr>
      <w:r>
        <w:rPr>
          <w:rFonts w:ascii="Arial" w:cs="Arial" w:eastAsia="Arial" w:hAnsi="Arial"/>
          <w:sz w:val="15"/>
          <w:szCs w:val="15"/>
          <w:color w:val="auto"/>
        </w:rPr>
        <w:t>We also incorporate by reference into this prospectus additional documents that we may file with the SEC under Sections 13(a), 13(c), 14 or 15(d) of the Securities Exchange Act of 1934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will provide free copies of any of those documents, if you write or telephone us at: 1500 Market Street, Philadelphia, Pennsylvania 19102-2148, (215) 665-1700.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580" w:type="dxa"/>
            <w:vAlign w:val="bottom"/>
          </w:tcPr>
          <w:p>
            <w:pPr>
              <w:ind w:left="3160"/>
              <w:spacing w:after="0"/>
              <w:rPr>
                <w:sz w:val="20"/>
                <w:szCs w:val="20"/>
                <w:color w:val="auto"/>
              </w:rPr>
            </w:pPr>
            <w:r>
              <w:rPr>
                <w:rFonts w:ascii="Arial" w:cs="Arial" w:eastAsia="Arial" w:hAnsi="Arial"/>
                <w:sz w:val="15"/>
                <w:szCs w:val="15"/>
                <w:b w:val="1"/>
                <w:bCs w:val="1"/>
                <w:color w:val="auto"/>
              </w:rPr>
              <w:t>PART II</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580" w:type="dxa"/>
            <w:vAlign w:val="bottom"/>
          </w:tcPr>
          <w:p>
            <w:pPr>
              <w:ind w:left="1720"/>
              <w:spacing w:after="0"/>
              <w:rPr>
                <w:sz w:val="20"/>
                <w:szCs w:val="20"/>
                <w:color w:val="auto"/>
              </w:rPr>
            </w:pPr>
            <w:r>
              <w:rPr>
                <w:rFonts w:ascii="Arial" w:cs="Arial" w:eastAsia="Arial" w:hAnsi="Arial"/>
                <w:sz w:val="15"/>
                <w:szCs w:val="15"/>
                <w:b w:val="1"/>
                <w:bCs w:val="1"/>
                <w:color w:val="auto"/>
              </w:rPr>
              <w:t>INFORMATION NOT REQUIRED IN PROSPECTUS</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20" w:type="dxa"/>
            <w:vAlign w:val="bottom"/>
          </w:tcPr>
          <w:p>
            <w:pPr>
              <w:spacing w:after="0"/>
              <w:rPr>
                <w:sz w:val="20"/>
                <w:szCs w:val="20"/>
                <w:color w:val="auto"/>
              </w:rPr>
            </w:pPr>
            <w:r>
              <w:rPr>
                <w:rFonts w:ascii="Arial" w:cs="Arial" w:eastAsia="Arial" w:hAnsi="Arial"/>
                <w:sz w:val="15"/>
                <w:szCs w:val="15"/>
                <w:b w:val="1"/>
                <w:bCs w:val="1"/>
                <w:color w:val="auto"/>
              </w:rPr>
              <w:t>Item 14.</w:t>
            </w:r>
          </w:p>
        </w:tc>
        <w:tc>
          <w:tcPr>
            <w:tcW w:w="7260" w:type="dxa"/>
            <w:vAlign w:val="bottom"/>
            <w:gridSpan w:val="2"/>
          </w:tcPr>
          <w:p>
            <w:pPr>
              <w:ind w:left="80"/>
              <w:spacing w:after="0"/>
              <w:rPr>
                <w:sz w:val="20"/>
                <w:szCs w:val="20"/>
                <w:color w:val="auto"/>
              </w:rPr>
            </w:pPr>
            <w:r>
              <w:rPr>
                <w:rFonts w:ascii="Arial" w:cs="Arial" w:eastAsia="Arial" w:hAnsi="Arial"/>
                <w:sz w:val="15"/>
                <w:szCs w:val="15"/>
                <w:b w:val="1"/>
                <w:bCs w:val="1"/>
                <w:i w:val="1"/>
                <w:iCs w:val="1"/>
                <w:color w:val="auto"/>
              </w:rPr>
              <w:t>Other Expenses of Issuance and Distribution</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7880" w:type="dxa"/>
            <w:vAlign w:val="bottom"/>
            <w:gridSpan w:val="3"/>
          </w:tcPr>
          <w:p>
            <w:pPr>
              <w:ind w:left="280"/>
              <w:spacing w:after="0"/>
              <w:rPr>
                <w:sz w:val="20"/>
                <w:szCs w:val="20"/>
                <w:color w:val="auto"/>
              </w:rPr>
            </w:pPr>
            <w:r>
              <w:rPr>
                <w:rFonts w:ascii="Arial" w:cs="Arial" w:eastAsia="Arial" w:hAnsi="Arial"/>
                <w:sz w:val="15"/>
                <w:szCs w:val="15"/>
                <w:color w:val="auto"/>
              </w:rPr>
              <w:t>All of the expenses in connection with the offering are as follows:</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20" w:type="dxa"/>
            <w:vAlign w:val="bottom"/>
          </w:tcPr>
          <w:p>
            <w:pPr>
              <w:spacing w:after="0"/>
              <w:rPr>
                <w:sz w:val="24"/>
                <w:szCs w:val="24"/>
                <w:color w:val="auto"/>
              </w:rPr>
            </w:pPr>
          </w:p>
        </w:tc>
        <w:tc>
          <w:tcPr>
            <w:tcW w:w="1680" w:type="dxa"/>
            <w:vAlign w:val="bottom"/>
            <w:vMerge w:val="restart"/>
          </w:tcPr>
          <w:p>
            <w:pPr>
              <w:spacing w:after="0"/>
              <w:rPr>
                <w:sz w:val="24"/>
                <w:szCs w:val="24"/>
                <w:color w:val="auto"/>
              </w:rPr>
            </w:pPr>
          </w:p>
        </w:tc>
        <w:tc>
          <w:tcPr>
            <w:tcW w:w="5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5"/>
                <w:szCs w:val="15"/>
                <w:color w:val="auto"/>
              </w:rPr>
              <w:t>Securities and Exchange Commission registration fee</w:t>
            </w: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3"/>
            <w:shd w:val="clear" w:color="auto" w:fill="EEEEEE"/>
          </w:tcPr>
          <w:p>
            <w:pPr>
              <w:jc w:val="right"/>
              <w:ind w:right="3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Arial" w:cs="Arial" w:eastAsia="Arial" w:hAnsi="Arial"/>
                <w:sz w:val="15"/>
                <w:szCs w:val="15"/>
                <w:color w:val="auto"/>
              </w:rPr>
              <w:t>Legal fees and expenses</w:t>
            </w:r>
          </w:p>
        </w:tc>
        <w:tc>
          <w:tcPr>
            <w:tcW w:w="4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50,000</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5"/>
                <w:szCs w:val="15"/>
                <w:color w:val="auto"/>
              </w:rPr>
              <w:t>Printing and engraving fees</w:t>
            </w:r>
          </w:p>
        </w:tc>
        <w:tc>
          <w:tcPr>
            <w:tcW w:w="480" w:type="dxa"/>
            <w:vAlign w:val="bottom"/>
            <w:shd w:val="clear" w:color="auto" w:fill="EEEEEE"/>
          </w:tcPr>
          <w:p>
            <w:pPr>
              <w:spacing w:after="0"/>
              <w:rPr>
                <w:sz w:val="15"/>
                <w:szCs w:val="15"/>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50,000</w:t>
            </w:r>
          </w:p>
        </w:tc>
        <w:tc>
          <w:tcPr>
            <w:tcW w:w="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Arial" w:cs="Arial" w:eastAsia="Arial" w:hAnsi="Arial"/>
                <w:sz w:val="15"/>
                <w:szCs w:val="15"/>
                <w:color w:val="auto"/>
              </w:rPr>
              <w:t>Accountants’ fees and expenses</w:t>
            </w:r>
          </w:p>
        </w:tc>
        <w:tc>
          <w:tcPr>
            <w:tcW w:w="4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50,000</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5"/>
                <w:szCs w:val="15"/>
                <w:color w:val="auto"/>
              </w:rPr>
              <w:t>Miscellaneous</w:t>
            </w:r>
          </w:p>
        </w:tc>
        <w:tc>
          <w:tcPr>
            <w:tcW w:w="480" w:type="dxa"/>
            <w:vAlign w:val="bottom"/>
            <w:shd w:val="clear" w:color="auto" w:fill="EEEEEE"/>
          </w:tcPr>
          <w:p>
            <w:pPr>
              <w:spacing w:after="0"/>
              <w:rPr>
                <w:sz w:val="15"/>
                <w:szCs w:val="15"/>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30,000</w:t>
            </w:r>
          </w:p>
        </w:tc>
        <w:tc>
          <w:tcPr>
            <w:tcW w:w="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6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5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6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580" w:type="dxa"/>
            <w:vAlign w:val="bottom"/>
          </w:tcPr>
          <w:p>
            <w:pPr>
              <w:ind w:left="180"/>
              <w:spacing w:after="0"/>
              <w:rPr>
                <w:sz w:val="20"/>
                <w:szCs w:val="20"/>
                <w:color w:val="auto"/>
              </w:rPr>
            </w:pPr>
            <w:r>
              <w:rPr>
                <w:rFonts w:ascii="Arial" w:cs="Arial" w:eastAsia="Arial" w:hAnsi="Arial"/>
                <w:sz w:val="15"/>
                <w:szCs w:val="15"/>
                <w:color w:val="auto"/>
              </w:rPr>
              <w:t>Total</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180,000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620" w:type="dxa"/>
            <w:vAlign w:val="bottom"/>
            <w:vMerge w:val="restart"/>
          </w:tcPr>
          <w:p>
            <w:pPr>
              <w:spacing w:after="0"/>
              <w:rPr>
                <w:sz w:val="20"/>
                <w:szCs w:val="20"/>
                <w:color w:val="auto"/>
              </w:rPr>
            </w:pPr>
            <w:r>
              <w:rPr>
                <w:rFonts w:ascii="Arial" w:cs="Arial" w:eastAsia="Arial" w:hAnsi="Arial"/>
                <w:sz w:val="15"/>
                <w:szCs w:val="15"/>
                <w:b w:val="1"/>
                <w:bCs w:val="1"/>
                <w:color w:val="auto"/>
              </w:rPr>
              <w:t>Item 15.</w:t>
            </w:r>
          </w:p>
        </w:tc>
        <w:tc>
          <w:tcPr>
            <w:tcW w:w="7260" w:type="dxa"/>
            <w:vAlign w:val="bottom"/>
            <w:gridSpan w:val="2"/>
            <w:vMerge w:val="restart"/>
          </w:tcPr>
          <w:p>
            <w:pPr>
              <w:ind w:left="420"/>
              <w:spacing w:after="0"/>
              <w:rPr>
                <w:sz w:val="20"/>
                <w:szCs w:val="20"/>
                <w:color w:val="auto"/>
              </w:rPr>
            </w:pPr>
            <w:r>
              <w:rPr>
                <w:rFonts w:ascii="Arial" w:cs="Arial" w:eastAsia="Arial" w:hAnsi="Arial"/>
                <w:sz w:val="15"/>
                <w:szCs w:val="15"/>
                <w:b w:val="1"/>
                <w:bCs w:val="1"/>
                <w:i w:val="1"/>
                <w:iCs w:val="1"/>
                <w:color w:val="auto"/>
              </w:rPr>
              <w:t>Indemnification of Directors and Officers</w:t>
            </w:r>
          </w:p>
        </w:tc>
        <w:tc>
          <w:tcPr>
            <w:tcW w:w="48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6"/>
        </w:trPr>
        <w:tc>
          <w:tcPr>
            <w:tcW w:w="620" w:type="dxa"/>
            <w:vAlign w:val="bottom"/>
            <w:vMerge w:val="continue"/>
          </w:tcPr>
          <w:p>
            <w:pPr>
              <w:spacing w:after="0"/>
              <w:rPr>
                <w:sz w:val="24"/>
                <w:szCs w:val="24"/>
                <w:color w:val="auto"/>
              </w:rPr>
            </w:pPr>
          </w:p>
        </w:tc>
        <w:tc>
          <w:tcPr>
            <w:tcW w:w="72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880" w:type="dxa"/>
            <w:vAlign w:val="bottom"/>
            <w:gridSpan w:val="3"/>
          </w:tcPr>
          <w:p>
            <w:pPr>
              <w:spacing w:after="0"/>
              <w:rPr>
                <w:sz w:val="20"/>
                <w:szCs w:val="20"/>
                <w:color w:val="auto"/>
              </w:rPr>
            </w:pPr>
            <w:r>
              <w:rPr>
                <w:rFonts w:ascii="Arial" w:cs="Arial" w:eastAsia="Arial" w:hAnsi="Arial"/>
                <w:sz w:val="15"/>
                <w:szCs w:val="15"/>
                <w:b w:val="1"/>
                <w:bCs w:val="1"/>
                <w:color w:val="auto"/>
              </w:rPr>
              <w:t>Comcast Corporation</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-556895</wp:posOffset>
            </wp:positionV>
            <wp:extent cx="1270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5307965</wp:posOffset>
            </wp:positionH>
            <wp:positionV relativeFrom="paragraph">
              <wp:posOffset>-556895</wp:posOffset>
            </wp:positionV>
            <wp:extent cx="1270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175" w:lineRule="exact"/>
        <w:rPr>
          <w:sz w:val="20"/>
          <w:szCs w:val="20"/>
          <w:color w:val="auto"/>
        </w:rPr>
      </w:pPr>
    </w:p>
    <w:p>
      <w:pPr>
        <w:ind w:right="500" w:firstLine="269"/>
        <w:spacing w:after="0" w:line="304" w:lineRule="auto"/>
        <w:rPr>
          <w:sz w:val="20"/>
          <w:szCs w:val="20"/>
          <w:color w:val="auto"/>
        </w:rPr>
      </w:pPr>
      <w:r>
        <w:rPr>
          <w:rFonts w:ascii="Arial" w:cs="Arial" w:eastAsia="Arial" w:hAnsi="Arial"/>
          <w:sz w:val="14"/>
          <w:szCs w:val="14"/>
          <w:color w:val="auto"/>
        </w:rPr>
        <w:t>Indemnification under Pennsylvania Law and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53" w:lineRule="exact"/>
        <w:rPr>
          <w:sz w:val="20"/>
          <w:szCs w:val="20"/>
          <w:color w:val="auto"/>
        </w:rPr>
      </w:pPr>
    </w:p>
    <w:p>
      <w:pPr>
        <w:ind w:firstLine="269"/>
        <w:spacing w:after="0" w:line="274" w:lineRule="auto"/>
        <w:rPr>
          <w:sz w:val="20"/>
          <w:szCs w:val="20"/>
          <w:color w:val="auto"/>
        </w:rPr>
      </w:pPr>
      <w:r>
        <w:rPr>
          <w:rFonts w:ascii="Arial" w:cs="Arial" w:eastAsia="Arial" w:hAnsi="Arial"/>
          <w:sz w:val="14"/>
          <w:szCs w:val="14"/>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175" w:lineRule="exact"/>
        <w:rPr>
          <w:sz w:val="20"/>
          <w:szCs w:val="20"/>
          <w:color w:val="auto"/>
        </w:rPr>
      </w:pPr>
    </w:p>
    <w:p>
      <w:pPr>
        <w:jc w:val="both"/>
        <w:ind w:right="60" w:firstLine="269"/>
        <w:spacing w:after="0" w:line="286" w:lineRule="auto"/>
        <w:rPr>
          <w:sz w:val="20"/>
          <w:szCs w:val="20"/>
          <w:color w:val="auto"/>
        </w:rPr>
      </w:pPr>
      <w:r>
        <w:rPr>
          <w:rFonts w:ascii="Arial" w:cs="Arial" w:eastAsia="Arial" w:hAnsi="Arial"/>
          <w:sz w:val="14"/>
          <w:szCs w:val="14"/>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65" w:lineRule="exact"/>
        <w:rPr>
          <w:sz w:val="20"/>
          <w:szCs w:val="20"/>
          <w:color w:val="auto"/>
        </w:rPr>
      </w:pPr>
    </w:p>
    <w:p>
      <w:pPr>
        <w:ind w:right="100" w:firstLine="269"/>
        <w:spacing w:after="0" w:line="268" w:lineRule="auto"/>
        <w:rPr>
          <w:sz w:val="20"/>
          <w:szCs w:val="20"/>
          <w:color w:val="auto"/>
        </w:rPr>
      </w:pPr>
      <w:r>
        <w:rPr>
          <w:rFonts w:ascii="Arial" w:cs="Arial" w:eastAsia="Arial" w:hAnsi="Arial"/>
          <w:sz w:val="15"/>
          <w:szCs w:val="15"/>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5" w:lineRule="exact"/>
        <w:rPr>
          <w:sz w:val="20"/>
          <w:szCs w:val="20"/>
          <w:color w:val="auto"/>
        </w:rPr>
      </w:pPr>
    </w:p>
    <w:p>
      <w:pPr>
        <w:ind w:right="60" w:firstLine="269"/>
        <w:spacing w:after="0" w:line="255" w:lineRule="auto"/>
        <w:rPr>
          <w:sz w:val="20"/>
          <w:szCs w:val="20"/>
          <w:color w:val="auto"/>
        </w:rPr>
      </w:pPr>
      <w:r>
        <w:rPr>
          <w:rFonts w:ascii="Arial" w:cs="Arial" w:eastAsia="Arial" w:hAnsi="Arial"/>
          <w:sz w:val="15"/>
          <w:szCs w:val="15"/>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83" w:lineRule="exact"/>
        <w:rPr>
          <w:sz w:val="20"/>
          <w:szCs w:val="20"/>
          <w:color w:val="auto"/>
        </w:rPr>
      </w:pPr>
    </w:p>
    <w:p>
      <w:pPr>
        <w:ind w:firstLine="269"/>
        <w:spacing w:after="0" w:line="255" w:lineRule="auto"/>
        <w:rPr>
          <w:sz w:val="20"/>
          <w:szCs w:val="20"/>
          <w:color w:val="auto"/>
        </w:rPr>
      </w:pPr>
      <w:r>
        <w:rPr>
          <w:rFonts w:ascii="Arial" w:cs="Arial" w:eastAsia="Arial" w:hAnsi="Arial"/>
          <w:sz w:val="15"/>
          <w:szCs w:val="15"/>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86" w:lineRule="exact"/>
        <w:rPr>
          <w:sz w:val="20"/>
          <w:szCs w:val="20"/>
          <w:color w:val="auto"/>
        </w:rPr>
      </w:pPr>
    </w:p>
    <w:p>
      <w:pPr>
        <w:ind w:firstLine="269"/>
        <w:spacing w:after="0" w:line="279" w:lineRule="auto"/>
        <w:rPr>
          <w:sz w:val="20"/>
          <w:szCs w:val="20"/>
          <w:color w:val="auto"/>
        </w:rPr>
      </w:pPr>
      <w:r>
        <w:rPr>
          <w:rFonts w:ascii="Arial" w:cs="Arial" w:eastAsia="Arial" w:hAnsi="Arial"/>
          <w:sz w:val="14"/>
          <w:szCs w:val="14"/>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71" w:lineRule="exact"/>
        <w:rPr>
          <w:sz w:val="20"/>
          <w:szCs w:val="20"/>
          <w:color w:val="auto"/>
        </w:rPr>
      </w:pPr>
    </w:p>
    <w:p>
      <w:pPr>
        <w:ind w:right="60" w:firstLine="269"/>
        <w:spacing w:after="0" w:line="304" w:lineRule="auto"/>
        <w:rPr>
          <w:sz w:val="20"/>
          <w:szCs w:val="20"/>
          <w:color w:val="auto"/>
        </w:rPr>
      </w:pPr>
      <w:r>
        <w:rPr>
          <w:rFonts w:ascii="Arial" w:cs="Arial" w:eastAsia="Arial" w:hAnsi="Arial"/>
          <w:sz w:val="14"/>
          <w:szCs w:val="14"/>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53" w:lineRule="exact"/>
        <w:rPr>
          <w:sz w:val="20"/>
          <w:szCs w:val="20"/>
          <w:color w:val="auto"/>
        </w:rPr>
      </w:pPr>
    </w:p>
    <w:p>
      <w:pPr>
        <w:ind w:right="140" w:firstLine="269"/>
        <w:spacing w:after="0" w:line="268" w:lineRule="auto"/>
        <w:rPr>
          <w:sz w:val="20"/>
          <w:szCs w:val="20"/>
          <w:color w:val="auto"/>
        </w:rPr>
      </w:pPr>
      <w:r>
        <w:rPr>
          <w:rFonts w:ascii="Arial" w:cs="Arial" w:eastAsia="Arial" w:hAnsi="Arial"/>
          <w:sz w:val="15"/>
          <w:szCs w:val="15"/>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75" w:lineRule="exact"/>
        <w:rPr>
          <w:sz w:val="20"/>
          <w:szCs w:val="20"/>
          <w:color w:val="auto"/>
        </w:rPr>
      </w:pPr>
    </w:p>
    <w:p>
      <w:pPr>
        <w:ind w:right="580" w:firstLine="269"/>
        <w:spacing w:after="0" w:line="258" w:lineRule="auto"/>
        <w:rPr>
          <w:sz w:val="20"/>
          <w:szCs w:val="20"/>
          <w:color w:val="auto"/>
        </w:rPr>
      </w:pPr>
      <w:r>
        <w:rPr>
          <w:rFonts w:ascii="Arial" w:cs="Arial" w:eastAsia="Arial" w:hAnsi="Arial"/>
          <w:sz w:val="15"/>
          <w:szCs w:val="15"/>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184" w:lineRule="exact"/>
        <w:rPr>
          <w:sz w:val="20"/>
          <w:szCs w:val="20"/>
          <w:color w:val="auto"/>
        </w:rPr>
      </w:pPr>
    </w:p>
    <w:p>
      <w:pPr>
        <w:jc w:val="both"/>
        <w:ind w:right="100" w:firstLine="269"/>
        <w:spacing w:after="0" w:line="258" w:lineRule="auto"/>
        <w:rPr>
          <w:sz w:val="20"/>
          <w:szCs w:val="20"/>
          <w:color w:val="auto"/>
        </w:rPr>
      </w:pPr>
      <w:r>
        <w:rPr>
          <w:rFonts w:ascii="Arial" w:cs="Arial" w:eastAsia="Arial" w:hAnsi="Arial"/>
          <w:sz w:val="15"/>
          <w:szCs w:val="15"/>
          <w:color w:val="auto"/>
        </w:rPr>
        <w:t>Article Eleventh of the Comcast charter and Article VII of the Comcast bylaws provide that no director of Comcast will be personally liable, as such, for monetary damages (other than under criminal statutes and under laws imposing such liability on directors or officers for the payment of taxes) unless such person’s conduct constitutes self-dealing, willful misconduct or recklessness. Article Eleventh of the Comcast charter also extends such protection to officers.</w:t>
      </w:r>
    </w:p>
    <w:p>
      <w:pPr>
        <w:spacing w:after="0" w:line="184" w:lineRule="exact"/>
        <w:rPr>
          <w:sz w:val="20"/>
          <w:szCs w:val="20"/>
          <w:color w:val="auto"/>
        </w:rPr>
      </w:pPr>
    </w:p>
    <w:p>
      <w:pPr>
        <w:ind w:right="240" w:firstLine="269"/>
        <w:spacing w:after="0" w:line="254" w:lineRule="auto"/>
        <w:rPr>
          <w:sz w:val="20"/>
          <w:szCs w:val="20"/>
          <w:color w:val="auto"/>
        </w:rPr>
      </w:pPr>
      <w:r>
        <w:rPr>
          <w:rFonts w:ascii="Arial" w:cs="Arial" w:eastAsia="Arial" w:hAnsi="Arial"/>
          <w:sz w:val="15"/>
          <w:szCs w:val="15"/>
          <w:color w:val="auto"/>
        </w:rPr>
        <w:t>Article VII of the Comcast bylaws provides that each officer and director of Comcast is indemnified and held harmless by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foregoing statements are subject to the detailed provisions of the PBCL and to the applicable provisions of the Comcast charter and bylaws.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Merger Agreement Provision Relating to AT&amp;T and Comcast Holdings Directors and Officers</w:t>
      </w:r>
    </w:p>
    <w:p>
      <w:pPr>
        <w:spacing w:after="0" w:line="213" w:lineRule="exact"/>
        <w:rPr>
          <w:sz w:val="20"/>
          <w:szCs w:val="20"/>
          <w:color w:val="auto"/>
        </w:rPr>
      </w:pPr>
    </w:p>
    <w:p>
      <w:pPr>
        <w:ind w:right="40" w:firstLine="269"/>
        <w:spacing w:after="0" w:line="279" w:lineRule="auto"/>
        <w:rPr>
          <w:sz w:val="20"/>
          <w:szCs w:val="20"/>
          <w:color w:val="auto"/>
        </w:rPr>
      </w:pPr>
      <w:r>
        <w:rPr>
          <w:rFonts w:ascii="Arial" w:cs="Arial" w:eastAsia="Arial" w:hAnsi="Arial"/>
          <w:sz w:val="14"/>
          <w:szCs w:val="14"/>
          <w:color w:val="auto"/>
        </w:rPr>
        <w:t>Comcast has agreed in connection with the Broadband acquisition to indemnify the present and former officers and directors of AT&amp;T, the AT&amp;T subsidiaries, Comcast Cable Communications Holdings, the Comcast Cable Communications Holdings subsidiaries, Comcast Holdings and the Comcast Holdings subsidiaries, and each individual who prior to the completion of the Broadband acquisition became such an officer or director, from their acts or omissions in those capacities occurring at or prior to the completion of such transaction to the maximum extent permitted by law; provided, however, no such indemnification will be required for officers or directors acting in a capacity for AT&amp;T and its subsidiaries other than in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connection with either AT&amp;T’s broadband business or the merger agreement for the Broadband acquisition and the transactions contemplated by the merger agreement.</w:t>
      </w:r>
    </w:p>
    <w:p>
      <w:pPr>
        <w:spacing w:after="0" w:line="209" w:lineRule="exact"/>
        <w:rPr>
          <w:sz w:val="20"/>
          <w:szCs w:val="20"/>
          <w:color w:val="auto"/>
        </w:rPr>
      </w:pPr>
    </w:p>
    <w:p>
      <w:pPr>
        <w:ind w:right="440" w:firstLine="269"/>
        <w:spacing w:after="0" w:line="304" w:lineRule="auto"/>
        <w:rPr>
          <w:sz w:val="20"/>
          <w:szCs w:val="20"/>
          <w:color w:val="auto"/>
        </w:rPr>
      </w:pPr>
      <w:r>
        <w:rPr>
          <w:rFonts w:ascii="Arial" w:cs="Arial" w:eastAsia="Arial" w:hAnsi="Arial"/>
          <w:sz w:val="14"/>
          <w:szCs w:val="14"/>
          <w:color w:val="auto"/>
        </w:rPr>
        <w:t>AT&amp;T (and not Comcast Cable Communications Holdings) will indemnify and hold harmless Comcast for 50% of any losses described in the preceding paragraph arising out of acts or omissions of the AT&amp;T officers and directors in connection with the merger agreement and the transactions contemplated by the merger agreement.</w:t>
      </w:r>
    </w:p>
    <w:p>
      <w:pPr>
        <w:spacing w:after="0" w:line="153" w:lineRule="exact"/>
        <w:rPr>
          <w:sz w:val="20"/>
          <w:szCs w:val="20"/>
          <w:color w:val="auto"/>
        </w:rPr>
      </w:pPr>
    </w:p>
    <w:p>
      <w:pPr>
        <w:ind w:right="40" w:firstLine="269"/>
        <w:spacing w:after="0" w:line="332" w:lineRule="auto"/>
        <w:rPr>
          <w:sz w:val="20"/>
          <w:szCs w:val="20"/>
          <w:color w:val="auto"/>
        </w:rPr>
      </w:pPr>
      <w:r>
        <w:rPr>
          <w:rFonts w:ascii="Arial" w:cs="Arial" w:eastAsia="Arial" w:hAnsi="Arial"/>
          <w:sz w:val="12"/>
          <w:szCs w:val="12"/>
          <w:color w:val="auto"/>
        </w:rPr>
        <w:t>For six years after completion of the Broadband acquisition, Comcast will provide officers’ and directors’ liability insurance in respect of acts or omissions occurring prior to completion of the transactions covering each officer and director identified in the second preceding paragraph (for officers and directors of AT&amp;T and its subsidiaries, only for acts or omissions of such person acting in connection with either AT&amp;T’s broadband business or the merger agreement and the transactions contemplated by the merger agreement) currently covered by the officers’ and directors’ liability insurance policy of AT&amp;T or Comcast Holdings, as the case may be, on terms no less favorable than those of such policy in effect on December 19, 2001, except that Comcast will only be obligated to pay up to 300% of the annual premium paid for such insurance by either AT&amp;T or Comcast Holdings as of December 19, 2001.</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Comcast Cable Communications Holdings, Inc.</w:t>
      </w:r>
    </w:p>
    <w:p>
      <w:pPr>
        <w:spacing w:after="0" w:line="213" w:lineRule="exact"/>
        <w:rPr>
          <w:sz w:val="20"/>
          <w:szCs w:val="20"/>
          <w:color w:val="auto"/>
        </w:rPr>
      </w:pPr>
    </w:p>
    <w:p>
      <w:pPr>
        <w:ind w:right="60" w:firstLine="269"/>
        <w:spacing w:after="0" w:line="252" w:lineRule="auto"/>
        <w:rPr>
          <w:sz w:val="20"/>
          <w:szCs w:val="20"/>
          <w:color w:val="auto"/>
        </w:rPr>
      </w:pPr>
      <w:r>
        <w:rPr>
          <w:rFonts w:ascii="Arial" w:cs="Arial" w:eastAsia="Arial" w:hAnsi="Arial"/>
          <w:sz w:val="15"/>
          <w:szCs w:val="15"/>
          <w:color w:val="auto"/>
        </w:rPr>
        <w:t>Comcast Cable Communications Holdings, Inc. is a corporation organized under the laws of the State of Delaware. 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190" w:lineRule="exact"/>
        <w:rPr>
          <w:sz w:val="20"/>
          <w:szCs w:val="20"/>
          <w:color w:val="auto"/>
        </w:rPr>
      </w:pPr>
    </w:p>
    <w:p>
      <w:pPr>
        <w:ind w:firstLine="269"/>
        <w:spacing w:after="0" w:line="328" w:lineRule="auto"/>
        <w:rPr>
          <w:sz w:val="20"/>
          <w:szCs w:val="20"/>
          <w:color w:val="auto"/>
        </w:rPr>
      </w:pPr>
      <w:r>
        <w:rPr>
          <w:rFonts w:ascii="Arial" w:cs="Arial" w:eastAsia="Arial" w:hAnsi="Arial"/>
          <w:sz w:val="12"/>
          <w:szCs w:val="12"/>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such person reasonably believed to be in or not opposed to the best interests of the corporation and except that no indemnification may be made in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indemnify for such expenses which the court shall deem proper.</w:t>
      </w:r>
    </w:p>
    <w:p>
      <w:pPr>
        <w:spacing w:after="0" w:line="147" w:lineRule="exact"/>
        <w:rPr>
          <w:sz w:val="20"/>
          <w:szCs w:val="20"/>
          <w:color w:val="auto"/>
        </w:rPr>
      </w:pPr>
    </w:p>
    <w:p>
      <w:pPr>
        <w:ind w:right="420" w:firstLine="269"/>
        <w:spacing w:after="0" w:line="332" w:lineRule="auto"/>
        <w:rPr>
          <w:sz w:val="20"/>
          <w:szCs w:val="20"/>
          <w:color w:val="auto"/>
        </w:rPr>
      </w:pPr>
      <w:r>
        <w:rPr>
          <w:rFonts w:ascii="Arial" w:cs="Arial" w:eastAsia="Arial" w:hAnsi="Arial"/>
          <w:sz w:val="12"/>
          <w:szCs w:val="12"/>
          <w:color w:val="auto"/>
        </w:rPr>
        <w:t>Section 145 further provides that to the extent a director, officer, employee or agent of a corporation has been successful in the defense of any action, suit or proceeding referred to in subsections (a) or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83" w:lineRule="exact"/>
        <w:rPr>
          <w:sz w:val="20"/>
          <w:szCs w:val="20"/>
          <w:color w:val="auto"/>
        </w:rPr>
      </w:pPr>
    </w:p>
    <w:p>
      <w:pPr>
        <w:ind w:right="100" w:firstLine="269"/>
        <w:spacing w:after="0" w:line="255" w:lineRule="auto"/>
        <w:rPr>
          <w:sz w:val="20"/>
          <w:szCs w:val="20"/>
          <w:color w:val="auto"/>
        </w:rPr>
      </w:pPr>
      <w:r>
        <w:rPr>
          <w:rFonts w:ascii="Arial" w:cs="Arial" w:eastAsia="Arial" w:hAnsi="Arial"/>
          <w:sz w:val="15"/>
          <w:szCs w:val="15"/>
          <w:color w:val="auto"/>
        </w:rPr>
        <w:t>Article VIII, Section 1 of Comcast Cable Communications Holdings’ Certificate of Incorporation provides that a director of Comcast Cable Communications Holdings will not be personally liable to Comcast Cable Communications Holdings or its shareholder for monetary damages for breach of fiduciary duty as director, except if this exemption is not permitted by the General Corporation Law of the State of Delaware. Any repeal or modification of this provision will not affect the rights of a director of Comcast Cable Communications Holdings prior to such repeal or modification.</w:t>
      </w:r>
    </w:p>
    <w:p>
      <w:pPr>
        <w:spacing w:after="0" w:line="186" w:lineRule="exact"/>
        <w:rPr>
          <w:sz w:val="20"/>
          <w:szCs w:val="20"/>
          <w:color w:val="auto"/>
        </w:rPr>
      </w:pPr>
    </w:p>
    <w:p>
      <w:pPr>
        <w:ind w:right="20" w:firstLine="269"/>
        <w:spacing w:after="0" w:line="318" w:lineRule="auto"/>
        <w:rPr>
          <w:sz w:val="20"/>
          <w:szCs w:val="20"/>
          <w:color w:val="auto"/>
        </w:rPr>
      </w:pPr>
      <w:r>
        <w:rPr>
          <w:rFonts w:ascii="Arial" w:cs="Arial" w:eastAsia="Arial" w:hAnsi="Arial"/>
          <w:sz w:val="12"/>
          <w:szCs w:val="12"/>
          <w:color w:val="auto"/>
        </w:rPr>
        <w:t>Article VIII, Section 2 of Comcast Cable Communications Holdings’ Certificate of Incorporation provides that each person who was or is made a party or is otherwise in any way involved in any action, suit or proceeding, whether civil, criminal, administrative or investigative (hereinafter a “proceeding”), by reason of the fact that he, or the person from whom he is legal representative, is or was a director or officer of Comcast Cable Communications Holdings or is or was serving at its request as a director, officer or employee or agent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or employee, will be indemnified and held harmless by Comcast Cable Communications Holdings to the fullest extent authorized by the General Corporation Law of the State of Delaware against all expense, liability and loss (including attorneys’ fees, judgments, fines, Employee Retirement Income Security Act of 1974 excise taxes or penalties and amounts paid in settlement) reasonably incurred or suffered by the indemnitee in connection with the proceeding. In the event that the General Corporation Law of the State of Delaware is amended, the indemnification provided will change only to the extent that the amendment permits Comcast Cable Communications Holdings to provide broader indemnification rights than previously permitted. However, except in the case of proceedings to enforce rights to indemnification, Comcast Cable Communications Holdings will indemnify an indemnitee in connection with a proceeding (or part thereof) initiated by the indemnitee only if the proceeding was authorized by the Board of Directors of Comcast Cable Communications Holdings. The right to indemnification includes the right to be paid by Comcast Cable Communications Holdings the advancement of expenses incurred in defending any proceeding in advance of its final disposition; provided, however, that, if the General Corporation Law of the State of Delaware requires, an advancement of expenses incurred by an indemnitee in his capacity as a director or officer only will be made only upon delivery to Comcast Cable Communications Holdings of an undertaking, by or on behalf of the indemnitee, to repay all amounts so advanced if it is ultimately determined that the indemnitee is not entitled to be indemnified for the expenses. Also, the Board of Directors of Comcast Cable Communications Holdings may grant rights to indemnification as described above to any of Comcast Cable Communications Holdings’ employees and agents.</w:t>
      </w:r>
    </w:p>
    <w:p>
      <w:pPr>
        <w:spacing w:after="0" w:line="333" w:lineRule="exact"/>
        <w:rPr>
          <w:sz w:val="20"/>
          <w:szCs w:val="20"/>
          <w:color w:val="auto"/>
        </w:rPr>
      </w:pPr>
    </w:p>
    <w:p>
      <w:pPr>
        <w:ind w:right="180" w:firstLine="269"/>
        <w:spacing w:after="0" w:line="332" w:lineRule="auto"/>
        <w:rPr>
          <w:sz w:val="20"/>
          <w:szCs w:val="20"/>
          <w:color w:val="auto"/>
        </w:rPr>
      </w:pPr>
      <w:r>
        <w:rPr>
          <w:rFonts w:ascii="Arial" w:cs="Arial" w:eastAsia="Arial" w:hAnsi="Arial"/>
          <w:sz w:val="12"/>
          <w:szCs w:val="12"/>
          <w:color w:val="auto"/>
        </w:rPr>
        <w:t>If a claim for indemnification is not paid in full within 30 days after a written claim is received by Comcast Cable Communications Holdings, the indemnitee may bring suit to recover the unpaid amount of the claim, and if successful in whole or in part, the indemnitee will be entitled to be paid also the expense of prosecuting the suit. It shall be a defense to any such action (other than an action brought to enforce a claim for expenses incurred in defending any proceeding in advance of its final disposition where the required undertaking, if any is required, has been tendered) that the claimant has not met the standards of conduct which make it permissible under the General Corporation Law of the State of Delaware for Comcast Cable Communications Holdings to indemnify the claimant for the amount claimed, but Comcast Cable Communications Holdings would bear the burden of proving this defense.</w:t>
      </w:r>
    </w:p>
    <w:p>
      <w:pPr>
        <w:spacing w:after="0" w:line="144" w:lineRule="exact"/>
        <w:rPr>
          <w:sz w:val="20"/>
          <w:szCs w:val="20"/>
          <w:color w:val="auto"/>
        </w:rPr>
      </w:pPr>
    </w:p>
    <w:p>
      <w:pPr>
        <w:ind w:firstLine="269"/>
        <w:spacing w:after="0" w:line="258" w:lineRule="auto"/>
        <w:rPr>
          <w:sz w:val="20"/>
          <w:szCs w:val="20"/>
          <w:color w:val="auto"/>
        </w:rPr>
      </w:pPr>
      <w:r>
        <w:rPr>
          <w:rFonts w:ascii="Arial" w:cs="Arial" w:eastAsia="Arial" w:hAnsi="Arial"/>
          <w:sz w:val="15"/>
          <w:szCs w:val="15"/>
          <w:color w:val="auto"/>
        </w:rPr>
        <w:t>Comcast Cable Communications Holdings may maintain insurance, at its expense, to protect itself and any director, officer, employee or agent of Comcast Cable Communications Holdings or another corporation, partnership, joint venture, trust or other enterprise against any expense, liability or loss, whether or not Comcast Cable Communications Holdings would have the power to indemnify such person under the General Corporation Law of the State of Delaware.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Comcast Cable Communications, Inc.</w:t>
      </w:r>
    </w:p>
    <w:p>
      <w:pPr>
        <w:spacing w:after="0" w:line="213" w:lineRule="exact"/>
        <w:rPr>
          <w:sz w:val="20"/>
          <w:szCs w:val="20"/>
          <w:color w:val="auto"/>
        </w:rPr>
      </w:pPr>
    </w:p>
    <w:p>
      <w:pPr>
        <w:ind w:right="240" w:firstLine="269"/>
        <w:spacing w:after="0" w:line="268" w:lineRule="auto"/>
        <w:rPr>
          <w:sz w:val="20"/>
          <w:szCs w:val="20"/>
          <w:color w:val="auto"/>
        </w:rPr>
      </w:pPr>
      <w:r>
        <w:rPr>
          <w:rFonts w:ascii="Arial" w:cs="Arial" w:eastAsia="Arial" w:hAnsi="Arial"/>
          <w:sz w:val="15"/>
          <w:szCs w:val="15"/>
          <w:color w:val="auto"/>
        </w:rPr>
        <w:t>Comcast Cable Communications, Inc. is a corporation organized under the laws of the State of Delaware. The applicable provisions relating to the indemnification of officers and directors under the General Corporation Law of the State of Delaware are described above under “— Comcast Cable Communications Holdings, Inc.”</w:t>
      </w:r>
    </w:p>
    <w:p>
      <w:pPr>
        <w:spacing w:after="0" w:line="175" w:lineRule="exact"/>
        <w:rPr>
          <w:sz w:val="20"/>
          <w:szCs w:val="20"/>
          <w:color w:val="auto"/>
        </w:rPr>
      </w:pPr>
    </w:p>
    <w:p>
      <w:pPr>
        <w:ind w:right="60" w:firstLine="269"/>
        <w:spacing w:after="0" w:line="253" w:lineRule="auto"/>
        <w:rPr>
          <w:sz w:val="20"/>
          <w:szCs w:val="20"/>
          <w:color w:val="auto"/>
        </w:rPr>
      </w:pPr>
      <w:r>
        <w:rPr>
          <w:rFonts w:ascii="Arial" w:cs="Arial" w:eastAsia="Arial" w:hAnsi="Arial"/>
          <w:sz w:val="15"/>
          <w:szCs w:val="15"/>
          <w:color w:val="auto"/>
        </w:rPr>
        <w:t>In addition, Section 7-1 of Comcast Cable’s By-laws provides that Comcast Cable will indemnify any of its directors or officers or any director or officer who is or was serving as a director, officer, employee or agent of another company, partnership, joint venture, trust or other enterprise (any such person is hereinafter referred to as a “director or officer”) against expenses (including, but not limited to, attorneys’ fees), judgments, fines and amounts paid in settlement, actually and reasonably incurred by such director or officer, to the fullest extent now or hereafter permitted by law in connection with any threatened, pending or completed action, suit or proceeding, whether civil, criminal, administrative or investigative (a “Proceeding”), brought or threatened to be brought against such director or officer by reason of the fact that he or she is or was serving in any such capacity or in any other capacity on behalf of the company, its parent or any of its subsidiaries.</w:t>
      </w:r>
    </w:p>
    <w:p>
      <w:pPr>
        <w:spacing w:after="0" w:line="187" w:lineRule="exact"/>
        <w:rPr>
          <w:sz w:val="20"/>
          <w:szCs w:val="20"/>
          <w:color w:val="auto"/>
        </w:rPr>
      </w:pPr>
    </w:p>
    <w:p>
      <w:pPr>
        <w:jc w:val="both"/>
        <w:ind w:firstLine="269"/>
        <w:spacing w:after="0" w:line="258" w:lineRule="auto"/>
        <w:rPr>
          <w:sz w:val="20"/>
          <w:szCs w:val="20"/>
          <w:color w:val="auto"/>
        </w:rPr>
      </w:pPr>
      <w:r>
        <w:rPr>
          <w:rFonts w:ascii="Arial" w:cs="Arial" w:eastAsia="Arial" w:hAnsi="Arial"/>
          <w:sz w:val="15"/>
          <w:szCs w:val="15"/>
          <w:color w:val="auto"/>
        </w:rPr>
        <w:t>Section 7-2 of Comcast Cable’s By-laws provides that expenses incurred by any director or officer in defending a Proceeding will be paid by Comcast Cable in advance of the final disposition of such Proceeding as authorized by the Board of Directors in the specific case upon receipt of an undertaking, by or on behalf of such director or officer, to repay such amount without interest if it is ultimately determined that he or she is not entitled to be indemnified by Comcast Cable as authorized by law.</w:t>
      </w:r>
    </w:p>
    <w:p>
      <w:pPr>
        <w:spacing w:after="0" w:line="184" w:lineRule="exact"/>
        <w:rPr>
          <w:sz w:val="20"/>
          <w:szCs w:val="20"/>
          <w:color w:val="auto"/>
        </w:rPr>
      </w:pPr>
    </w:p>
    <w:p>
      <w:pPr>
        <w:ind w:right="120" w:firstLine="269"/>
        <w:spacing w:after="0" w:line="258" w:lineRule="auto"/>
        <w:rPr>
          <w:sz w:val="20"/>
          <w:szCs w:val="20"/>
          <w:color w:val="auto"/>
        </w:rPr>
      </w:pPr>
      <w:r>
        <w:rPr>
          <w:rFonts w:ascii="Arial" w:cs="Arial" w:eastAsia="Arial" w:hAnsi="Arial"/>
          <w:sz w:val="15"/>
          <w:szCs w:val="15"/>
          <w:color w:val="auto"/>
        </w:rPr>
        <w:t>Section 7-4 of Comcast Cable’s By-laws provides that Comcast Cable may purchase and maintain insurance on behalf of any person who is or was a director or officer of Comcast Cable against any liability asserted against him or her and incurred by him or her in any such capacity, or arising out of his or her status as such, whether or not Comcast Cable would have the power to indemnify him or her against such liability under law.</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Comcast Cable Holdings, LLC</w:t>
      </w:r>
    </w:p>
    <w:p>
      <w:pPr>
        <w:spacing w:after="0" w:line="213" w:lineRule="exact"/>
        <w:rPr>
          <w:sz w:val="20"/>
          <w:szCs w:val="20"/>
          <w:color w:val="auto"/>
        </w:rPr>
      </w:pPr>
    </w:p>
    <w:p>
      <w:pPr>
        <w:ind w:right="160" w:firstLine="269"/>
        <w:spacing w:after="0" w:line="258" w:lineRule="auto"/>
        <w:rPr>
          <w:sz w:val="20"/>
          <w:szCs w:val="20"/>
          <w:color w:val="auto"/>
        </w:rPr>
      </w:pPr>
      <w:r>
        <w:rPr>
          <w:rFonts w:ascii="Arial" w:cs="Arial" w:eastAsia="Arial" w:hAnsi="Arial"/>
          <w:sz w:val="15"/>
          <w:szCs w:val="15"/>
          <w:color w:val="auto"/>
        </w:rPr>
        <w:t>Comcast Cable Holdings, LLC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184" w:lineRule="exact"/>
        <w:rPr>
          <w:sz w:val="20"/>
          <w:szCs w:val="20"/>
          <w:color w:val="auto"/>
        </w:rPr>
      </w:pPr>
    </w:p>
    <w:p>
      <w:pPr>
        <w:ind w:right="20" w:firstLine="269"/>
        <w:spacing w:after="0" w:line="271" w:lineRule="auto"/>
        <w:rPr>
          <w:sz w:val="20"/>
          <w:szCs w:val="20"/>
          <w:color w:val="auto"/>
        </w:rPr>
      </w:pPr>
      <w:r>
        <w:rPr>
          <w:rFonts w:ascii="Arial" w:cs="Arial" w:eastAsia="Arial" w:hAnsi="Arial"/>
          <w:sz w:val="14"/>
          <w:szCs w:val="14"/>
          <w:color w:val="auto"/>
        </w:rPr>
        <w:t>Section 12(a) of Comcast Cable Holdings’ LLC Agreement provides that Comcast Cable Holdings will indemnify the manager and the member, which in each case is Comcast Cable Communications Holdings, and any current or former director or officer of Comcast Cable Communications Holdings (each, an “indemnitee”) from and against all loss, damage, expense (including reasonable attorney’s and other advisor’s fees, court costs and other liabilities incurred in any proceeding to which Comcast Cable Communications Holdings is made a party) incurred because of Comcast Cable Communications Holdings’ role as manager or member. Also, each indemnitee will be indemnified for losses resulting from the indemnitee’s acts or failures to act with respect to the business or affairs of Comcast Cable Holdings, if the indemnitee (a) acts in good faith, (b) if acting in an official capacity, reasonably believed the action was in the best interests of Comcast Cable Holdings, and if not acting in an official capacity, believed that the conduct was not opposed to Comcast Cable Holdings’ best interests, and (c) if in a criminal proceeding, had no reasonable cause to believe its conduct was unlawful. Section 12(c) of Comcast Cable Holdings’ LLC Agreement provides that Comcast Cable Holdings may advance funds to Comcast Cable Communications Holdings in respect of expenses incurred by Comcast Cable Communications Holdings in a proceeding prior to the final disposition of the proceeding if Comcast Cable Communications Holdings gives written affirmation of its good-faith belief that it has complied with the standards of conduct described in the preceding sentence, agrees to repay the advancement with interest if it is determined that the standards of conduct were not met, and Comcast Cable Holdings determines that indemnification is permissible under these standards. Also, Section 12(e) provides that Comcast Cable Holdings will</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indemnify specified officers, and it may in its discretion indemnify employees, on the same basis as it indemnifies Comcast Cable Communications Holdings as described above.</w:t>
      </w:r>
    </w:p>
    <w:p>
      <w:pPr>
        <w:spacing w:after="0" w:line="220" w:lineRule="exact"/>
        <w:rPr>
          <w:sz w:val="20"/>
          <w:szCs w:val="20"/>
          <w:color w:val="auto"/>
        </w:rPr>
      </w:pPr>
    </w:p>
    <w:p>
      <w:pPr>
        <w:ind w:right="40" w:firstLine="269"/>
        <w:spacing w:after="0" w:line="258" w:lineRule="auto"/>
        <w:rPr>
          <w:sz w:val="20"/>
          <w:szCs w:val="20"/>
          <w:color w:val="auto"/>
        </w:rPr>
      </w:pPr>
      <w:r>
        <w:rPr>
          <w:rFonts w:ascii="Arial" w:cs="Arial" w:eastAsia="Arial" w:hAnsi="Arial"/>
          <w:sz w:val="15"/>
          <w:szCs w:val="15"/>
          <w:color w:val="auto"/>
        </w:rPr>
        <w:t>Section 12(b) of Comcast Cable Holdings’ LLC Agreement provides that, notwithstanding the above paragraph, Comcast Cable Holdings will not indemnify an indemnitee in connection with any proceeding in which Comcast Cable Communications Holdings is adjudged liable to Comcast Cable Holdings or any proceeding charging improper personal benefit to Comcast Cable Communications Holdings wherein the indemnitee was adjudged liable on the basis of improperly receiving a personal benefit.</w:t>
      </w:r>
    </w:p>
    <w:p>
      <w:pPr>
        <w:spacing w:after="0" w:line="184" w:lineRule="exact"/>
        <w:rPr>
          <w:sz w:val="20"/>
          <w:szCs w:val="20"/>
          <w:color w:val="auto"/>
        </w:rPr>
      </w:pPr>
    </w:p>
    <w:p>
      <w:pPr>
        <w:ind w:right="40" w:firstLine="269"/>
        <w:spacing w:after="0" w:line="273" w:lineRule="auto"/>
        <w:rPr>
          <w:sz w:val="20"/>
          <w:szCs w:val="20"/>
          <w:color w:val="auto"/>
        </w:rPr>
      </w:pPr>
      <w:r>
        <w:rPr>
          <w:rFonts w:ascii="Arial" w:cs="Arial" w:eastAsia="Arial" w:hAnsi="Arial"/>
          <w:sz w:val="14"/>
          <w:szCs w:val="14"/>
          <w:color w:val="auto"/>
        </w:rPr>
        <w:t>Section 12(f) of Comcast Cable Holdings’ LLC Agreement provides that neither Comcast Cable Communications Holdings nor specified officers will be liable to Comcast Cable Holdings for any loss, damage or expense if Comcast Cable Communications Holdings or such officers, as the case may be (a) acts in good faith, (b) if acting in an official capacity, reasonably believed the action was in the best interests of Comcast Cable Holdings, and if not in an official capacity, believed that the conduct was not opposed to Comcast Cable Holdings’ best interests, and (c) if in a criminal proceeding, had no reasonable cause to believe its conduct was unlawful. However, Comcast Cable Communications Holdings or the specified officers will be liable for any loss, expense or damage incurred in connection with a proceeding in which Comcast Cable Communications Holdings or such officers is adjudged liable to Comcast Cable Holdings as a result of not meeting the standards of conduct described in the preceding sentence or a proceeding charging improper personal benefit to Comcast Cable Communications Holdings wherein the indemnitee was adjudged liable on the basis of improperly receiving a personal benefit.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Comcast MO Group, Inc.</w:t>
      </w:r>
    </w:p>
    <w:p>
      <w:pPr>
        <w:spacing w:after="0" w:line="213" w:lineRule="exact"/>
        <w:rPr>
          <w:sz w:val="20"/>
          <w:szCs w:val="20"/>
          <w:color w:val="auto"/>
        </w:rPr>
      </w:pPr>
    </w:p>
    <w:p>
      <w:pPr>
        <w:ind w:right="320" w:firstLine="269"/>
        <w:spacing w:after="0" w:line="258" w:lineRule="auto"/>
        <w:rPr>
          <w:sz w:val="20"/>
          <w:szCs w:val="20"/>
          <w:color w:val="auto"/>
        </w:rPr>
      </w:pPr>
      <w:r>
        <w:rPr>
          <w:rFonts w:ascii="Arial" w:cs="Arial" w:eastAsia="Arial" w:hAnsi="Arial"/>
          <w:sz w:val="15"/>
          <w:szCs w:val="15"/>
          <w:color w:val="auto"/>
        </w:rPr>
        <w:t>Comcast MO Group, Inc. is a corporation organized under the laws of the State of Delaware. The indemnification of officers and directors provided for by Comcast MO Group’s organizational documents and the General Corporation Law of the State of Delaware is identical to the indemnification provisions described above under “— Comcast Cable Communications Holdings, Inc.”</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Comcast MO of Delaware, Inc.</w:t>
      </w:r>
    </w:p>
    <w:p>
      <w:pPr>
        <w:spacing w:after="0" w:line="213" w:lineRule="exact"/>
        <w:rPr>
          <w:sz w:val="20"/>
          <w:szCs w:val="20"/>
          <w:color w:val="auto"/>
        </w:rPr>
      </w:pPr>
    </w:p>
    <w:p>
      <w:pPr>
        <w:ind w:right="60" w:firstLine="269"/>
        <w:spacing w:after="0" w:line="268" w:lineRule="auto"/>
        <w:rPr>
          <w:sz w:val="20"/>
          <w:szCs w:val="20"/>
          <w:color w:val="auto"/>
        </w:rPr>
      </w:pPr>
      <w:r>
        <w:rPr>
          <w:rFonts w:ascii="Arial" w:cs="Arial" w:eastAsia="Arial" w:hAnsi="Arial"/>
          <w:sz w:val="15"/>
          <w:szCs w:val="15"/>
          <w:color w:val="auto"/>
        </w:rPr>
        <w:t>Comcast MO of Delaware, Inc. is a corporation organized under the laws of the State of Delaware. The applicable provisions relating to the indemnification of officers and directors under the General Corporation Law of the State of Delaware are described above under “— Comcast Cable Communications Holdings, Inc.”</w:t>
      </w:r>
    </w:p>
    <w:p>
      <w:pPr>
        <w:spacing w:after="0" w:line="175" w:lineRule="exact"/>
        <w:rPr>
          <w:sz w:val="20"/>
          <w:szCs w:val="20"/>
          <w:color w:val="auto"/>
        </w:rPr>
      </w:pPr>
    </w:p>
    <w:p>
      <w:pPr>
        <w:ind w:right="140" w:firstLine="269"/>
        <w:spacing w:after="0" w:line="286" w:lineRule="auto"/>
        <w:rPr>
          <w:sz w:val="20"/>
          <w:szCs w:val="20"/>
          <w:color w:val="auto"/>
        </w:rPr>
      </w:pPr>
      <w:r>
        <w:rPr>
          <w:rFonts w:ascii="Arial" w:cs="Arial" w:eastAsia="Arial" w:hAnsi="Arial"/>
          <w:sz w:val="14"/>
          <w:szCs w:val="14"/>
          <w:color w:val="auto"/>
        </w:rPr>
        <w:t>Article VII, Section 1 of Comcast MO of Delaware’s Certificate of Incorporation provides that a director of Comcast MO of Delaware will not be personally liable to Comcast Cable Communications Holdings or its shareholder for monetary damages for breach of fiduciary duty as director, except if this exemption is not permitted by the General Corporation Law of the State of Delaware. Any repeal or modification of this provision will not affect the rights of a director of Comcast MO of Delaware prior to such repeal or modification.</w:t>
      </w:r>
    </w:p>
    <w:p>
      <w:pPr>
        <w:spacing w:after="0" w:line="165" w:lineRule="exact"/>
        <w:rPr>
          <w:sz w:val="20"/>
          <w:szCs w:val="20"/>
          <w:color w:val="auto"/>
        </w:rPr>
      </w:pPr>
    </w:p>
    <w:p>
      <w:pPr>
        <w:ind w:firstLine="269"/>
        <w:spacing w:after="0" w:line="325" w:lineRule="auto"/>
        <w:rPr>
          <w:sz w:val="20"/>
          <w:szCs w:val="20"/>
          <w:color w:val="auto"/>
        </w:rPr>
      </w:pPr>
      <w:r>
        <w:rPr>
          <w:rFonts w:ascii="Arial" w:cs="Arial" w:eastAsia="Arial" w:hAnsi="Arial"/>
          <w:sz w:val="12"/>
          <w:szCs w:val="12"/>
          <w:color w:val="auto"/>
        </w:rPr>
        <w:t>Article VII, Section 2 of Comcast MO of Delaware’s Certificate of Incorporation and Section 7-1 of Comcast MO of Delaware’s By-laws provide that each person who was or is made a party or is otherwise in any way involved in any action, suit or proceeding, whether civil, criminal, administrative or investigative (hereinafter a “proceeding”), by reason of the fact that he, or the person from whom he is legal representative, is or was a director or officer of Comcast MO of Delaware or is or was serving at its request as a director, officer or employee or agent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or employee, will be indemnified and held harmless by Comcast MO of Delaware to the fullest extent authorized by the General Corporation Law of the State of Delaware against all expense, liability and loss (including attorneys’ fees), reasonably incurred or suffered by the indemnitee in connection with the proceeding. In the event that the General Corporation Law of the State of Delaware is amended, the indemnification provided will change only to the extent that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right="120"/>
        <w:spacing w:after="0" w:line="276" w:lineRule="auto"/>
        <w:rPr>
          <w:sz w:val="20"/>
          <w:szCs w:val="20"/>
          <w:color w:val="auto"/>
        </w:rPr>
      </w:pPr>
      <w:r>
        <w:rPr>
          <w:rFonts w:ascii="Arial" w:cs="Arial" w:eastAsia="Arial" w:hAnsi="Arial"/>
          <w:sz w:val="14"/>
          <w:szCs w:val="14"/>
          <w:color w:val="auto"/>
        </w:rPr>
        <w:t>amendment permits Comcast Cable Communications Holdings to provide broader indemnification rights than previously permitted. The right to indemnification includes the right to be paid by Comcast MO of Delaware the advancement of expenses incurred in defending any proceeding in advance of its final disposition; provided, however, that an advancement of expenses incurred by an indemnitee in his capacity as a director or officer only will be made only upon delivery to Comcast MO of Delaware of an undertaking, by or on behalf of the indemnitee, to repay all amounts so advanced if it is ultimately determined that the indemnitee is not entitled to be indemnified for the expenses. Also, the Board of Directors of Comcast MO of Delaware may grant rights to indemnification as described above to any of Comcast MO of Delaware’s employees and agents.</w:t>
      </w:r>
    </w:p>
    <w:p>
      <w:pPr>
        <w:spacing w:after="0" w:line="173" w:lineRule="exact"/>
        <w:rPr>
          <w:sz w:val="20"/>
          <w:szCs w:val="20"/>
          <w:color w:val="auto"/>
        </w:rPr>
      </w:pPr>
    </w:p>
    <w:p>
      <w:pPr>
        <w:ind w:right="480" w:firstLine="269"/>
        <w:spacing w:after="0" w:line="258" w:lineRule="auto"/>
        <w:rPr>
          <w:sz w:val="20"/>
          <w:szCs w:val="20"/>
          <w:color w:val="auto"/>
        </w:rPr>
      </w:pPr>
      <w:r>
        <w:rPr>
          <w:rFonts w:ascii="Arial" w:cs="Arial" w:eastAsia="Arial" w:hAnsi="Arial"/>
          <w:sz w:val="15"/>
          <w:szCs w:val="15"/>
          <w:color w:val="auto"/>
        </w:rPr>
        <w:t>Comcast MO of Delaware may maintain insurance, at its expense, to protect itself and any director, officer, employee or agent of Comcast MO of Delaware or another corporation, partnership, joint venture, trust or other enterprise against any expense, liability or loss, whether or not Comcast MO of Delaware would have the power to indemnify such person under the General Corporation Law of the State of Delaware.</w:t>
      </w:r>
    </w:p>
    <w:p>
      <w:pPr>
        <w:spacing w:after="0" w:line="359"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2"/>
          <w:szCs w:val="12"/>
          <w:b w:val="1"/>
          <w:bCs w:val="1"/>
          <w:i w:val="1"/>
          <w:iCs w:val="1"/>
          <w:color w:val="auto"/>
        </w:rPr>
        <w:t>Exhibits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exhibits are filed as part of the Registration Statement: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0" w:type="dxa"/>
            <w:vAlign w:val="bottom"/>
          </w:tcPr>
          <w:p>
            <w:pPr>
              <w:jc w:val="right"/>
              <w:ind w:right="450"/>
              <w:spacing w:after="0"/>
              <w:rPr>
                <w:sz w:val="20"/>
                <w:szCs w:val="20"/>
                <w:color w:val="auto"/>
              </w:rPr>
            </w:pPr>
            <w:r>
              <w:rPr>
                <w:rFonts w:ascii="Arial" w:cs="Arial" w:eastAsia="Arial" w:hAnsi="Arial"/>
                <w:sz w:val="11"/>
                <w:szCs w:val="11"/>
                <w:b w:val="1"/>
                <w:bCs w:val="1"/>
                <w:color w:val="auto"/>
              </w:rPr>
              <w:t>Exhibit</w:t>
            </w:r>
          </w:p>
        </w:tc>
        <w:tc>
          <w:tcPr>
            <w:tcW w:w="340" w:type="dxa"/>
            <w:vAlign w:val="bottom"/>
          </w:tcPr>
          <w:p>
            <w:pPr>
              <w:spacing w:after="0"/>
              <w:rPr>
                <w:sz w:val="10"/>
                <w:szCs w:val="10"/>
                <w:color w:val="auto"/>
              </w:rPr>
            </w:pPr>
          </w:p>
        </w:tc>
        <w:tc>
          <w:tcPr>
            <w:tcW w:w="9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00" w:type="dxa"/>
            <w:vAlign w:val="bottom"/>
          </w:tcPr>
          <w:p>
            <w:pPr>
              <w:jc w:val="right"/>
              <w:ind w:right="430"/>
              <w:spacing w:after="0"/>
              <w:rPr>
                <w:sz w:val="20"/>
                <w:szCs w:val="20"/>
                <w:color w:val="auto"/>
              </w:rPr>
            </w:pPr>
            <w:r>
              <w:rPr>
                <w:rFonts w:ascii="Arial" w:cs="Arial" w:eastAsia="Arial" w:hAnsi="Arial"/>
                <w:sz w:val="11"/>
                <w:szCs w:val="11"/>
                <w:b w:val="1"/>
                <w:bCs w:val="1"/>
                <w:color w:val="auto"/>
              </w:rPr>
              <w:t>Number</w:t>
            </w:r>
          </w:p>
        </w:tc>
        <w:tc>
          <w:tcPr>
            <w:tcW w:w="340" w:type="dxa"/>
            <w:vAlign w:val="bottom"/>
          </w:tcPr>
          <w:p>
            <w:pPr>
              <w:spacing w:after="0"/>
              <w:rPr>
                <w:sz w:val="12"/>
                <w:szCs w:val="12"/>
                <w:color w:val="auto"/>
              </w:rPr>
            </w:pPr>
          </w:p>
        </w:tc>
        <w:tc>
          <w:tcPr>
            <w:tcW w:w="9720" w:type="dxa"/>
            <w:vAlign w:val="bottom"/>
          </w:tcPr>
          <w:p>
            <w:pPr>
              <w:ind w:left="458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80"/>
        </w:trPr>
        <w:tc>
          <w:tcPr>
            <w:tcW w:w="140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97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1400" w:type="dxa"/>
            <w:vAlign w:val="bottom"/>
          </w:tcPr>
          <w:p>
            <w:pPr>
              <w:jc w:val="right"/>
              <w:ind w:right="390"/>
              <w:spacing w:after="0"/>
              <w:rPr>
                <w:sz w:val="20"/>
                <w:szCs w:val="20"/>
                <w:color w:val="auto"/>
              </w:rPr>
            </w:pPr>
            <w:r>
              <w:rPr>
                <w:rFonts w:ascii="Arial" w:cs="Arial" w:eastAsia="Arial" w:hAnsi="Arial"/>
                <w:sz w:val="15"/>
                <w:szCs w:val="15"/>
                <w:color w:val="auto"/>
              </w:rPr>
              <w:t>1.1</w:t>
            </w:r>
          </w:p>
        </w:tc>
        <w:tc>
          <w:tcPr>
            <w:tcW w:w="3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Underwriting Agreement (Debt Securities, Warrants, Purchase Contracts and Units).</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213"/>
        </w:trPr>
        <w:tc>
          <w:tcPr>
            <w:tcW w:w="1400" w:type="dxa"/>
            <w:vAlign w:val="bottom"/>
          </w:tcPr>
          <w:p>
            <w:pPr>
              <w:jc w:val="right"/>
              <w:ind w:right="390"/>
              <w:spacing w:after="0"/>
              <w:rPr>
                <w:sz w:val="20"/>
                <w:szCs w:val="20"/>
                <w:color w:val="auto"/>
              </w:rPr>
            </w:pPr>
            <w:r>
              <w:rPr>
                <w:rFonts w:ascii="Arial" w:cs="Arial" w:eastAsia="Arial" w:hAnsi="Arial"/>
                <w:sz w:val="15"/>
                <w:szCs w:val="15"/>
                <w:color w:val="auto"/>
              </w:rPr>
              <w:t>1.2</w:t>
            </w:r>
          </w:p>
        </w:tc>
        <w:tc>
          <w:tcPr>
            <w:tcW w:w="340" w:type="dxa"/>
            <w:vAlign w:val="bottom"/>
          </w:tcPr>
          <w:p>
            <w:pPr>
              <w:spacing w:after="0"/>
              <w:rPr>
                <w:sz w:val="18"/>
                <w:szCs w:val="18"/>
                <w:color w:val="auto"/>
              </w:rPr>
            </w:pPr>
          </w:p>
        </w:tc>
        <w:tc>
          <w:tcPr>
            <w:tcW w:w="9720" w:type="dxa"/>
            <w:vAlign w:val="bottom"/>
          </w:tcPr>
          <w:p>
            <w:pPr>
              <w:spacing w:after="0" w:line="213" w:lineRule="exact"/>
              <w:rPr>
                <w:sz w:val="20"/>
                <w:szCs w:val="20"/>
                <w:color w:val="auto"/>
              </w:rPr>
            </w:pPr>
            <w:r>
              <w:rPr>
                <w:rFonts w:ascii="Arial" w:cs="Arial" w:eastAsia="Arial" w:hAnsi="Arial"/>
                <w:sz w:val="15"/>
                <w:szCs w:val="15"/>
                <w:color w:val="auto"/>
              </w:rPr>
              <w:t>Form of Underwriting Agreement (Preferred Stock, Depositary Shares, Common Stock).</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179"/>
        </w:trPr>
        <w:tc>
          <w:tcPr>
            <w:tcW w:w="1400" w:type="dxa"/>
            <w:vAlign w:val="bottom"/>
          </w:tcPr>
          <w:p>
            <w:pPr>
              <w:jc w:val="right"/>
              <w:ind w:right="390"/>
              <w:spacing w:after="0"/>
              <w:rPr>
                <w:sz w:val="20"/>
                <w:szCs w:val="20"/>
                <w:color w:val="auto"/>
              </w:rPr>
            </w:pPr>
            <w:r>
              <w:rPr>
                <w:rFonts w:ascii="Arial" w:cs="Arial" w:eastAsia="Arial" w:hAnsi="Arial"/>
                <w:sz w:val="15"/>
                <w:szCs w:val="15"/>
                <w:color w:val="auto"/>
              </w:rPr>
              <w:t>2.1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88"/>
              </w:rPr>
              <w:t>Composite copy of Agreement and Plan of Merger dated as of December 19, 2001, as amended, among Comcast Holdings Corporation (formerly known as Comcast</w:t>
            </w:r>
          </w:p>
        </w:tc>
        <w:tc>
          <w:tcPr>
            <w:tcW w:w="0" w:type="dxa"/>
            <w:vAlign w:val="bottom"/>
          </w:tcPr>
          <w:p>
            <w:pPr>
              <w:spacing w:after="0"/>
              <w:rPr>
                <w:sz w:val="1"/>
                <w:szCs w:val="1"/>
                <w:color w:val="auto"/>
              </w:rPr>
            </w:pPr>
          </w:p>
        </w:tc>
      </w:tr>
      <w:tr>
        <w:trPr>
          <w:trHeight w:val="181"/>
        </w:trPr>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90"/>
              </w:rPr>
              <w:t>Corporation), AT&amp;T Corp., Comcast Cable Communications Holdings, Inc. (formerly known as AT&amp;T Broadband Corp.), Comcast Corporation (formerly known as</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spacing w:after="0" w:line="212" w:lineRule="exact"/>
              <w:rPr>
                <w:sz w:val="20"/>
                <w:szCs w:val="20"/>
                <w:color w:val="auto"/>
              </w:rPr>
            </w:pPr>
            <w:r>
              <w:rPr>
                <w:rFonts w:ascii="Arial" w:cs="Arial" w:eastAsia="Arial" w:hAnsi="Arial"/>
                <w:sz w:val="15"/>
                <w:szCs w:val="15"/>
                <w:color w:val="auto"/>
              </w:rPr>
              <w:t>AT&amp;T Comcast Corporation) and the other parties signatory thereto.</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181"/>
        </w:trPr>
        <w:tc>
          <w:tcPr>
            <w:tcW w:w="1400" w:type="dxa"/>
            <w:vAlign w:val="bottom"/>
          </w:tcPr>
          <w:p>
            <w:pPr>
              <w:jc w:val="right"/>
              <w:ind w:right="390"/>
              <w:spacing w:after="0"/>
              <w:rPr>
                <w:sz w:val="20"/>
                <w:szCs w:val="20"/>
                <w:color w:val="auto"/>
              </w:rPr>
            </w:pPr>
            <w:r>
              <w:rPr>
                <w:rFonts w:ascii="Arial" w:cs="Arial" w:eastAsia="Arial" w:hAnsi="Arial"/>
                <w:sz w:val="15"/>
                <w:szCs w:val="15"/>
                <w:color w:val="auto"/>
              </w:rPr>
              <w:t>2.2</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88"/>
              </w:rPr>
              <w:t>Composite copy of Separation and Distribution Agreement dated as of December 19, 2001, as amended, between AT&amp;T Corp. and Comcast Cable Communications</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spacing w:after="0" w:line="212" w:lineRule="exact"/>
              <w:rPr>
                <w:sz w:val="20"/>
                <w:szCs w:val="20"/>
                <w:color w:val="auto"/>
              </w:rPr>
            </w:pPr>
            <w:r>
              <w:rPr>
                <w:rFonts w:ascii="Arial" w:cs="Arial" w:eastAsia="Arial" w:hAnsi="Arial"/>
                <w:sz w:val="15"/>
                <w:szCs w:val="15"/>
                <w:color w:val="auto"/>
              </w:rPr>
              <w:t>Holdings, Inc. (formerly known as AT&amp;T Broadband Corp.).</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181"/>
        </w:trPr>
        <w:tc>
          <w:tcPr>
            <w:tcW w:w="1400" w:type="dxa"/>
            <w:vAlign w:val="bottom"/>
          </w:tcPr>
          <w:p>
            <w:pPr>
              <w:jc w:val="right"/>
              <w:ind w:right="390"/>
              <w:spacing w:after="0"/>
              <w:rPr>
                <w:sz w:val="20"/>
                <w:szCs w:val="20"/>
                <w:color w:val="auto"/>
              </w:rPr>
            </w:pPr>
            <w:r>
              <w:rPr>
                <w:rFonts w:ascii="Arial" w:cs="Arial" w:eastAsia="Arial" w:hAnsi="Arial"/>
                <w:sz w:val="15"/>
                <w:szCs w:val="15"/>
                <w:color w:val="auto"/>
              </w:rPr>
              <w:t>2.3</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90"/>
              </w:rPr>
              <w:t>Support Agreement dated as of December 19, 2001, as amended, among AT&amp;T Corp., Comcast Holdings Corporation (formerly known as Comcast Corporation),</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spacing w:after="0" w:line="212" w:lineRule="exact"/>
              <w:rPr>
                <w:sz w:val="20"/>
                <w:szCs w:val="20"/>
                <w:color w:val="auto"/>
              </w:rPr>
            </w:pPr>
            <w:r>
              <w:rPr>
                <w:rFonts w:ascii="Arial" w:cs="Arial" w:eastAsia="Arial" w:hAnsi="Arial"/>
                <w:sz w:val="15"/>
                <w:szCs w:val="15"/>
                <w:color w:val="auto"/>
              </w:rPr>
              <w:t>Comcast Corporation (formerly known as AT&amp;T Comcast Corporation), Sural LLC and Brian L. Roberts.</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181"/>
        </w:trPr>
        <w:tc>
          <w:tcPr>
            <w:tcW w:w="1400" w:type="dxa"/>
            <w:vAlign w:val="bottom"/>
          </w:tcPr>
          <w:p>
            <w:pPr>
              <w:jc w:val="right"/>
              <w:ind w:right="390"/>
              <w:spacing w:after="0"/>
              <w:rPr>
                <w:sz w:val="20"/>
                <w:szCs w:val="20"/>
                <w:color w:val="auto"/>
              </w:rPr>
            </w:pPr>
            <w:r>
              <w:rPr>
                <w:rFonts w:ascii="Arial" w:cs="Arial" w:eastAsia="Arial" w:hAnsi="Arial"/>
                <w:sz w:val="15"/>
                <w:szCs w:val="15"/>
                <w:color w:val="auto"/>
              </w:rPr>
              <w:t>2.4</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93"/>
              </w:rPr>
              <w:t>Tax Sharing Agreement dated as of December 19, 2001 between AT&amp;T Corp. and Comcast Cable Communications Holdings, Inc. (formerly known as AT&amp;T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spacing w:after="0" w:line="212" w:lineRule="exact"/>
              <w:rPr>
                <w:sz w:val="20"/>
                <w:szCs w:val="20"/>
                <w:color w:val="auto"/>
              </w:rPr>
            </w:pPr>
            <w:r>
              <w:rPr>
                <w:rFonts w:ascii="Arial" w:cs="Arial" w:eastAsia="Arial" w:hAnsi="Arial"/>
                <w:sz w:val="15"/>
                <w:szCs w:val="15"/>
                <w:color w:val="auto"/>
              </w:rPr>
              <w:t>Broadband Corp.).</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181"/>
        </w:trPr>
        <w:tc>
          <w:tcPr>
            <w:tcW w:w="1400" w:type="dxa"/>
            <w:vAlign w:val="bottom"/>
          </w:tcPr>
          <w:p>
            <w:pPr>
              <w:jc w:val="right"/>
              <w:ind w:right="390"/>
              <w:spacing w:after="0"/>
              <w:rPr>
                <w:sz w:val="20"/>
                <w:szCs w:val="20"/>
                <w:color w:val="auto"/>
              </w:rPr>
            </w:pPr>
            <w:r>
              <w:rPr>
                <w:rFonts w:ascii="Arial" w:cs="Arial" w:eastAsia="Arial" w:hAnsi="Arial"/>
                <w:sz w:val="15"/>
                <w:szCs w:val="15"/>
                <w:color w:val="auto"/>
              </w:rPr>
              <w:t>2.5</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93"/>
              </w:rPr>
              <w:t>Composite Copy of Employee Benefits Agreement dated as of December 19, 2001; as amended; between AT&amp;T Corp. and Comcast Cable Communications</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spacing w:after="0" w:line="212" w:lineRule="exact"/>
              <w:rPr>
                <w:sz w:val="20"/>
                <w:szCs w:val="20"/>
                <w:color w:val="auto"/>
              </w:rPr>
            </w:pPr>
            <w:r>
              <w:rPr>
                <w:rFonts w:ascii="Arial" w:cs="Arial" w:eastAsia="Arial" w:hAnsi="Arial"/>
                <w:sz w:val="15"/>
                <w:szCs w:val="15"/>
                <w:color w:val="auto"/>
              </w:rPr>
              <w:t>Holdings, Inc. (formerly known as AT&amp;T Broadband Corp.).</w:t>
            </w:r>
            <w:r>
              <w:rPr>
                <w:rFonts w:ascii="Arial" w:cs="Arial" w:eastAsia="Arial" w:hAnsi="Arial"/>
                <w:sz w:val="24"/>
                <w:szCs w:val="24"/>
                <w:color w:val="auto"/>
                <w:vertAlign w:val="superscript"/>
              </w:rPr>
              <w:t>4</w:t>
            </w:r>
          </w:p>
        </w:tc>
        <w:tc>
          <w:tcPr>
            <w:tcW w:w="0" w:type="dxa"/>
            <w:vAlign w:val="bottom"/>
          </w:tcPr>
          <w:p>
            <w:pPr>
              <w:spacing w:after="0"/>
              <w:rPr>
                <w:sz w:val="1"/>
                <w:szCs w:val="1"/>
                <w:color w:val="auto"/>
              </w:rPr>
            </w:pPr>
          </w:p>
        </w:tc>
      </w:tr>
      <w:tr>
        <w:trPr>
          <w:trHeight w:val="181"/>
        </w:trPr>
        <w:tc>
          <w:tcPr>
            <w:tcW w:w="1400" w:type="dxa"/>
            <w:vAlign w:val="bottom"/>
          </w:tcPr>
          <w:p>
            <w:pPr>
              <w:jc w:val="right"/>
              <w:ind w:right="390"/>
              <w:spacing w:after="0"/>
              <w:rPr>
                <w:sz w:val="20"/>
                <w:szCs w:val="20"/>
                <w:color w:val="auto"/>
              </w:rPr>
            </w:pPr>
            <w:r>
              <w:rPr>
                <w:rFonts w:ascii="Arial" w:cs="Arial" w:eastAsia="Arial" w:hAnsi="Arial"/>
                <w:sz w:val="15"/>
                <w:szCs w:val="15"/>
                <w:color w:val="auto"/>
              </w:rPr>
              <w:t>2.6</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89"/>
              </w:rPr>
              <w:t>Exchange Agreement dated as of December 7, 2001, as amended, between Microsoft Corporation and Comcast Holdings Corporation (formerly known as Comcast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spacing w:after="0" w:line="212" w:lineRule="exact"/>
              <w:rPr>
                <w:sz w:val="20"/>
                <w:szCs w:val="20"/>
                <w:color w:val="auto"/>
              </w:rPr>
            </w:pPr>
            <w:r>
              <w:rPr>
                <w:rFonts w:ascii="Arial" w:cs="Arial" w:eastAsia="Arial" w:hAnsi="Arial"/>
                <w:sz w:val="15"/>
                <w:szCs w:val="15"/>
                <w:color w:val="auto"/>
              </w:rPr>
              <w:t>Corporation).</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181"/>
        </w:trPr>
        <w:tc>
          <w:tcPr>
            <w:tcW w:w="1400" w:type="dxa"/>
            <w:vAlign w:val="bottom"/>
          </w:tcPr>
          <w:p>
            <w:pPr>
              <w:jc w:val="right"/>
              <w:ind w:right="390"/>
              <w:spacing w:after="0"/>
              <w:rPr>
                <w:sz w:val="20"/>
                <w:szCs w:val="20"/>
                <w:color w:val="auto"/>
              </w:rPr>
            </w:pPr>
            <w:r>
              <w:rPr>
                <w:rFonts w:ascii="Arial" w:cs="Arial" w:eastAsia="Arial" w:hAnsi="Arial"/>
                <w:sz w:val="15"/>
                <w:szCs w:val="15"/>
                <w:color w:val="auto"/>
              </w:rPr>
              <w:t>2.7</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90"/>
              </w:rPr>
              <w:t>Instrument of Admission dated as of December 19, 2001, as amended, between Comcast Corporation (formerly known as AT&amp;T Comcast Corporation) and AT&amp;T</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spacing w:after="0" w:line="212" w:lineRule="exact"/>
              <w:rPr>
                <w:sz w:val="20"/>
                <w:szCs w:val="20"/>
                <w:color w:val="auto"/>
              </w:rPr>
            </w:pPr>
            <w:r>
              <w:rPr>
                <w:rFonts w:ascii="Arial" w:cs="Arial" w:eastAsia="Arial" w:hAnsi="Arial"/>
                <w:sz w:val="15"/>
                <w:szCs w:val="15"/>
                <w:color w:val="auto"/>
              </w:rPr>
              <w:t>Corp.</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179"/>
        </w:trPr>
        <w:tc>
          <w:tcPr>
            <w:tcW w:w="1400" w:type="dxa"/>
            <w:vAlign w:val="bottom"/>
          </w:tcPr>
          <w:p>
            <w:pPr>
              <w:jc w:val="right"/>
              <w:ind w:right="390"/>
              <w:spacing w:after="0"/>
              <w:rPr>
                <w:sz w:val="20"/>
                <w:szCs w:val="20"/>
                <w:color w:val="auto"/>
              </w:rPr>
            </w:pPr>
            <w:r>
              <w:rPr>
                <w:rFonts w:ascii="Arial" w:cs="Arial" w:eastAsia="Arial" w:hAnsi="Arial"/>
                <w:sz w:val="15"/>
                <w:szCs w:val="15"/>
                <w:color w:val="auto"/>
              </w:rPr>
              <w:t>4.1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89"/>
              </w:rPr>
              <w:t>Rights Agreement dated as of November 18, 2002 between Comcast Corporation (formerly known as AT&amp;T Comcast Corporation) and EquiServe Trust Company,</w:t>
            </w:r>
          </w:p>
        </w:tc>
        <w:tc>
          <w:tcPr>
            <w:tcW w:w="0" w:type="dxa"/>
            <w:vAlign w:val="bottom"/>
          </w:tcPr>
          <w:p>
            <w:pPr>
              <w:spacing w:after="0"/>
              <w:rPr>
                <w:sz w:val="1"/>
                <w:szCs w:val="1"/>
                <w:color w:val="auto"/>
              </w:rPr>
            </w:pPr>
          </w:p>
        </w:tc>
      </w:tr>
      <w:tr>
        <w:trPr>
          <w:trHeight w:val="181"/>
        </w:trPr>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92"/>
              </w:rPr>
              <w:t>N.A., as Rights Agent, which includes the Form of Certificate of Designation of Series A Participating Cumulative Preferred Stock as Exhibit A and the Form of</w:t>
            </w:r>
          </w:p>
        </w:tc>
        <w:tc>
          <w:tcPr>
            <w:tcW w:w="0" w:type="dxa"/>
            <w:vAlign w:val="bottom"/>
          </w:tcPr>
          <w:p>
            <w:pPr>
              <w:spacing w:after="0"/>
              <w:rPr>
                <w:sz w:val="1"/>
                <w:szCs w:val="1"/>
                <w:color w:val="auto"/>
              </w:rPr>
            </w:pPr>
          </w:p>
        </w:tc>
      </w:tr>
      <w:tr>
        <w:trPr>
          <w:trHeight w:val="213"/>
        </w:trPr>
        <w:tc>
          <w:tcPr>
            <w:tcW w:w="1400" w:type="dxa"/>
            <w:vAlign w:val="bottom"/>
            <w:vMerge w:val="restart"/>
          </w:tcPr>
          <w:p>
            <w:pPr>
              <w:jc w:val="right"/>
              <w:ind w:right="390"/>
              <w:spacing w:after="0"/>
              <w:rPr>
                <w:sz w:val="20"/>
                <w:szCs w:val="20"/>
                <w:color w:val="auto"/>
              </w:rPr>
            </w:pPr>
            <w:r>
              <w:rPr>
                <w:rFonts w:ascii="Arial" w:cs="Arial" w:eastAsia="Arial" w:hAnsi="Arial"/>
                <w:sz w:val="15"/>
                <w:szCs w:val="15"/>
                <w:color w:val="auto"/>
              </w:rPr>
              <w:t>4.2</w:t>
            </w:r>
          </w:p>
        </w:tc>
        <w:tc>
          <w:tcPr>
            <w:tcW w:w="340" w:type="dxa"/>
            <w:vAlign w:val="bottom"/>
          </w:tcPr>
          <w:p>
            <w:pPr>
              <w:spacing w:after="0"/>
              <w:rPr>
                <w:sz w:val="18"/>
                <w:szCs w:val="18"/>
                <w:color w:val="auto"/>
              </w:rPr>
            </w:pPr>
          </w:p>
        </w:tc>
        <w:tc>
          <w:tcPr>
            <w:tcW w:w="9720" w:type="dxa"/>
            <w:vAlign w:val="bottom"/>
          </w:tcPr>
          <w:p>
            <w:pPr>
              <w:spacing w:after="0" w:line="213" w:lineRule="exact"/>
              <w:rPr>
                <w:sz w:val="20"/>
                <w:szCs w:val="20"/>
                <w:color w:val="auto"/>
              </w:rPr>
            </w:pPr>
            <w:r>
              <w:rPr>
                <w:rFonts w:ascii="Arial" w:cs="Arial" w:eastAsia="Arial" w:hAnsi="Arial"/>
                <w:sz w:val="15"/>
                <w:szCs w:val="15"/>
                <w:color w:val="auto"/>
              </w:rPr>
              <w:t xml:space="preserve">Right Certificate as Exhibit B. </w:t>
            </w:r>
            <w:r>
              <w:rPr>
                <w:rFonts w:ascii="Arial" w:cs="Arial" w:eastAsia="Arial" w:hAnsi="Arial"/>
                <w:sz w:val="24"/>
                <w:szCs w:val="24"/>
                <w:color w:val="auto"/>
                <w:vertAlign w:val="superscript"/>
              </w:rPr>
              <w:t>5</w:t>
            </w:r>
          </w:p>
        </w:tc>
        <w:tc>
          <w:tcPr>
            <w:tcW w:w="0" w:type="dxa"/>
            <w:vAlign w:val="bottom"/>
          </w:tcPr>
          <w:p>
            <w:pPr>
              <w:spacing w:after="0"/>
              <w:rPr>
                <w:sz w:val="1"/>
                <w:szCs w:val="1"/>
                <w:color w:val="auto"/>
              </w:rPr>
            </w:pPr>
          </w:p>
        </w:tc>
      </w:tr>
      <w:tr>
        <w:trPr>
          <w:trHeight w:val="212"/>
        </w:trPr>
        <w:tc>
          <w:tcPr>
            <w:tcW w:w="1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spacing w:after="0" w:line="212" w:lineRule="exact"/>
              <w:rPr>
                <w:sz w:val="20"/>
                <w:szCs w:val="20"/>
                <w:color w:val="auto"/>
              </w:rPr>
            </w:pPr>
            <w:r>
              <w:rPr>
                <w:rFonts w:ascii="Arial" w:cs="Arial" w:eastAsia="Arial" w:hAnsi="Arial"/>
                <w:sz w:val="15"/>
                <w:szCs w:val="15"/>
                <w:color w:val="auto"/>
              </w:rPr>
              <w:t>Form of Senior Indenture among the Company, the cable guarantors party thereto and The Bank of New York, as Trustee.</w:t>
            </w:r>
            <w:r>
              <w:rPr>
                <w:rFonts w:ascii="Arial" w:cs="Arial" w:eastAsia="Arial" w:hAnsi="Arial"/>
                <w:sz w:val="24"/>
                <w:szCs w:val="24"/>
                <w:color w:val="auto"/>
                <w:vertAlign w:val="superscript"/>
              </w:rPr>
              <w:t>6</w:t>
            </w:r>
          </w:p>
        </w:tc>
        <w:tc>
          <w:tcPr>
            <w:tcW w:w="0" w:type="dxa"/>
            <w:vAlign w:val="bottom"/>
          </w:tcPr>
          <w:p>
            <w:pPr>
              <w:spacing w:after="0"/>
              <w:rPr>
                <w:sz w:val="1"/>
                <w:szCs w:val="1"/>
                <w:color w:val="auto"/>
              </w:rPr>
            </w:pPr>
          </w:p>
        </w:tc>
      </w:tr>
      <w:tr>
        <w:trPr>
          <w:trHeight w:val="181"/>
        </w:trPr>
        <w:tc>
          <w:tcPr>
            <w:tcW w:w="1400" w:type="dxa"/>
            <w:vAlign w:val="bottom"/>
          </w:tcPr>
          <w:p>
            <w:pPr>
              <w:jc w:val="right"/>
              <w:ind w:right="390"/>
              <w:spacing w:after="0"/>
              <w:rPr>
                <w:sz w:val="20"/>
                <w:szCs w:val="20"/>
                <w:color w:val="auto"/>
              </w:rPr>
            </w:pPr>
            <w:r>
              <w:rPr>
                <w:rFonts w:ascii="Arial" w:cs="Arial" w:eastAsia="Arial" w:hAnsi="Arial"/>
                <w:sz w:val="15"/>
                <w:szCs w:val="15"/>
                <w:color w:val="auto"/>
              </w:rPr>
              <w:t>4.3</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91"/>
              </w:rPr>
              <w:t>Form of Amendment to Senior Indenture among the Company, Comcast MO of Delaware, Inc. (formerly known as MediaOne of Delaware, Inc.), the other cable</w:t>
            </w:r>
          </w:p>
        </w:tc>
        <w:tc>
          <w:tcPr>
            <w:tcW w:w="0" w:type="dxa"/>
            <w:vAlign w:val="bottom"/>
          </w:tcPr>
          <w:p>
            <w:pPr>
              <w:spacing w:after="0"/>
              <w:rPr>
                <w:sz w:val="1"/>
                <w:szCs w:val="1"/>
                <w:color w:val="auto"/>
              </w:rPr>
            </w:pPr>
          </w:p>
        </w:tc>
      </w:tr>
      <w:tr>
        <w:trPr>
          <w:trHeight w:val="317"/>
        </w:trPr>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guarantors party thereto and The Bank of New York, as Trustee.</w:t>
            </w:r>
            <w:r>
              <w:rPr>
                <w:rFonts w:ascii="Arial" w:cs="Arial" w:eastAsia="Arial" w:hAnsi="Arial"/>
                <w:sz w:val="24"/>
                <w:szCs w:val="24"/>
                <w:color w:val="auto"/>
                <w:vertAlign w:val="superscript"/>
              </w:rPr>
              <w:t>7</w:t>
            </w:r>
          </w:p>
        </w:tc>
        <w:tc>
          <w:tcPr>
            <w:tcW w:w="0" w:type="dxa"/>
            <w:vAlign w:val="bottom"/>
          </w:tcPr>
          <w:p>
            <w:pPr>
              <w:spacing w:after="0"/>
              <w:rPr>
                <w:sz w:val="1"/>
                <w:szCs w:val="1"/>
                <w:color w:val="auto"/>
              </w:rPr>
            </w:pPr>
          </w:p>
        </w:tc>
      </w:tr>
    </w:tbl>
    <w:p>
      <w:pPr>
        <w:spacing w:after="0" w:line="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Exhibit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94678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6785" cy="6985"/>
                    </a:xfrm>
                    <a:prstGeom prst="rect">
                      <a:avLst/>
                    </a:prstGeom>
                    <a:noFill/>
                  </pic:spPr>
                </pic:pic>
              </a:graphicData>
            </a:graphic>
          </wp:anchor>
        </w:drawing>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4.4</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4.5</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4.6</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4.7</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4.8</w:t>
      </w:r>
    </w:p>
    <w:p>
      <w:pPr>
        <w:spacing w:after="0" w:line="3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4.9</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4.10</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4.11</w:t>
      </w:r>
    </w:p>
    <w:p>
      <w:pPr>
        <w:spacing w:after="0" w:line="3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4.12</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4.13</w:t>
      </w:r>
    </w:p>
    <w:p>
      <w:pPr>
        <w:spacing w:after="0" w:line="3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4.14</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4.15</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4.16</w:t>
      </w:r>
    </w:p>
    <w:p>
      <w:pPr>
        <w:spacing w:after="0" w:line="3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5.1</w:t>
      </w:r>
    </w:p>
    <w:p>
      <w:pPr>
        <w:spacing w:after="0" w:line="41" w:lineRule="exact"/>
        <w:rPr>
          <w:sz w:val="20"/>
          <w:szCs w:val="20"/>
          <w:color w:val="auto"/>
        </w:rPr>
      </w:pPr>
    </w:p>
    <w:p>
      <w:pPr>
        <w:jc w:val="right"/>
        <w:ind w:right="200"/>
        <w:spacing w:after="0"/>
        <w:rPr>
          <w:sz w:val="20"/>
          <w:szCs w:val="20"/>
          <w:color w:val="auto"/>
        </w:rPr>
      </w:pPr>
      <w:r>
        <w:rPr>
          <w:rFonts w:ascii="Arial" w:cs="Arial" w:eastAsia="Arial" w:hAnsi="Arial"/>
          <w:sz w:val="15"/>
          <w:szCs w:val="15"/>
          <w:color w:val="auto"/>
        </w:rPr>
        <w:t>5.2</w:t>
      </w:r>
    </w:p>
    <w:p>
      <w:pPr>
        <w:spacing w:after="0" w:line="41" w:lineRule="exact"/>
        <w:rPr>
          <w:sz w:val="20"/>
          <w:szCs w:val="20"/>
          <w:color w:val="auto"/>
        </w:rPr>
      </w:pPr>
    </w:p>
    <w:p>
      <w:pPr>
        <w:jc w:val="right"/>
        <w:ind w:right="200"/>
        <w:spacing w:after="0"/>
        <w:rPr>
          <w:sz w:val="20"/>
          <w:szCs w:val="20"/>
          <w:color w:val="auto"/>
        </w:rPr>
      </w:pPr>
      <w:r>
        <w:rPr>
          <w:rFonts w:ascii="Arial" w:cs="Arial" w:eastAsia="Arial" w:hAnsi="Arial"/>
          <w:sz w:val="15"/>
          <w:szCs w:val="15"/>
          <w:color w:val="auto"/>
        </w:rPr>
        <w:t>12.1</w:t>
      </w:r>
    </w:p>
    <w:p>
      <w:pPr>
        <w:spacing w:after="0" w:line="4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12.2</w:t>
      </w:r>
    </w:p>
    <w:p>
      <w:pPr>
        <w:spacing w:after="0" w:line="4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23.1</w:t>
      </w:r>
    </w:p>
    <w:p>
      <w:pPr>
        <w:spacing w:after="0" w:line="4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23.2</w:t>
      </w:r>
    </w:p>
    <w:p>
      <w:pPr>
        <w:spacing w:after="0" w:line="4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23.3</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23.4</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24.1</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25.1</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144145</wp:posOffset>
            </wp:positionV>
            <wp:extent cx="132461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246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540"/>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610933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09335" cy="6985"/>
                    </a:xfrm>
                    <a:prstGeom prst="rect">
                      <a:avLst/>
                    </a:prstGeom>
                    <a:noFill/>
                  </pic:spPr>
                </pic:pic>
              </a:graphicData>
            </a:graphic>
          </wp:anchor>
        </w:drawing>
      </w:r>
    </w:p>
    <w:p>
      <w:pPr>
        <w:spacing w:after="0" w:line="172" w:lineRule="exact"/>
        <w:rPr>
          <w:sz w:val="20"/>
          <w:szCs w:val="20"/>
          <w:color w:val="auto"/>
        </w:rPr>
      </w:pPr>
    </w:p>
    <w:p>
      <w:pPr>
        <w:ind w:right="1160"/>
        <w:spacing w:after="0" w:line="233" w:lineRule="auto"/>
        <w:rPr>
          <w:sz w:val="20"/>
          <w:szCs w:val="20"/>
          <w:color w:val="auto"/>
        </w:rPr>
      </w:pPr>
      <w:r>
        <w:rPr>
          <w:rFonts w:ascii="Arial" w:cs="Arial" w:eastAsia="Arial" w:hAnsi="Arial"/>
          <w:sz w:val="15"/>
          <w:szCs w:val="15"/>
          <w:color w:val="auto"/>
        </w:rPr>
        <w:t>Form of Subordinated Indenture among the Company, the cable guarantors party thereto and The Bank of New York, as Trustee.</w:t>
      </w:r>
      <w:r>
        <w:rPr>
          <w:rFonts w:ascii="Arial" w:cs="Arial" w:eastAsia="Arial" w:hAnsi="Arial"/>
          <w:sz w:val="24"/>
          <w:szCs w:val="24"/>
          <w:color w:val="auto"/>
          <w:vertAlign w:val="superscript"/>
        </w:rPr>
        <w:t>6</w:t>
      </w:r>
      <w:r>
        <w:rPr>
          <w:rFonts w:ascii="Arial" w:cs="Arial" w:eastAsia="Arial" w:hAnsi="Arial"/>
          <w:sz w:val="15"/>
          <w:szCs w:val="15"/>
          <w:color w:val="auto"/>
        </w:rPr>
        <w:t xml:space="preserve"> Form of Senior Debt Security.</w:t>
      </w:r>
      <w:r>
        <w:rPr>
          <w:rFonts w:ascii="Arial" w:cs="Arial" w:eastAsia="Arial" w:hAnsi="Arial"/>
          <w:sz w:val="24"/>
          <w:szCs w:val="24"/>
          <w:color w:val="auto"/>
          <w:vertAlign w:val="superscript"/>
        </w:rPr>
        <w:t>6</w:t>
      </w:r>
    </w:p>
    <w:p>
      <w:pPr>
        <w:spacing w:after="0" w:line="186" w:lineRule="auto"/>
        <w:rPr>
          <w:sz w:val="20"/>
          <w:szCs w:val="20"/>
          <w:color w:val="auto"/>
        </w:rPr>
      </w:pPr>
      <w:r>
        <w:rPr>
          <w:rFonts w:ascii="Arial" w:cs="Arial" w:eastAsia="Arial" w:hAnsi="Arial"/>
          <w:sz w:val="15"/>
          <w:szCs w:val="15"/>
          <w:color w:val="auto"/>
        </w:rPr>
        <w:t>Form of Subordinated Debt Security.</w:t>
      </w:r>
      <w:r>
        <w:rPr>
          <w:rFonts w:ascii="Arial" w:cs="Arial" w:eastAsia="Arial" w:hAnsi="Arial"/>
          <w:sz w:val="24"/>
          <w:szCs w:val="24"/>
          <w:color w:val="auto"/>
          <w:vertAlign w:val="superscript"/>
        </w:rPr>
        <w:t>6</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Form of Purchase Contract Agreement relating to Purchase Contracts (included in Exhibit 4.10).</w:t>
      </w:r>
    </w:p>
    <w:p>
      <w:pPr>
        <w:spacing w:after="0" w:line="190" w:lineRule="auto"/>
        <w:rPr>
          <w:sz w:val="20"/>
          <w:szCs w:val="20"/>
          <w:color w:val="auto"/>
        </w:rPr>
      </w:pPr>
      <w:r>
        <w:rPr>
          <w:rFonts w:ascii="Arial" w:cs="Arial" w:eastAsia="Arial" w:hAnsi="Arial"/>
          <w:sz w:val="15"/>
          <w:szCs w:val="15"/>
          <w:color w:val="auto"/>
        </w:rPr>
        <w:t>Form of Unit Agreement.</w:t>
      </w:r>
      <w:r>
        <w:rPr>
          <w:rFonts w:ascii="Arial" w:cs="Arial" w:eastAsia="Arial" w:hAnsi="Arial"/>
          <w:sz w:val="24"/>
          <w:szCs w:val="24"/>
          <w:color w:val="auto"/>
          <w:vertAlign w:val="superscript"/>
        </w:rPr>
        <w:t>8</w:t>
      </w:r>
    </w:p>
    <w:p>
      <w:pPr>
        <w:spacing w:after="0" w:line="186" w:lineRule="auto"/>
        <w:rPr>
          <w:sz w:val="20"/>
          <w:szCs w:val="20"/>
          <w:color w:val="auto"/>
        </w:rPr>
      </w:pPr>
      <w:r>
        <w:rPr>
          <w:rFonts w:ascii="Arial" w:cs="Arial" w:eastAsia="Arial" w:hAnsi="Arial"/>
          <w:sz w:val="15"/>
          <w:szCs w:val="15"/>
          <w:color w:val="auto"/>
        </w:rPr>
        <w:t>Form of Warrant Agreement for Warrants sold separately.</w:t>
      </w:r>
      <w:r>
        <w:rPr>
          <w:rFonts w:ascii="Arial" w:cs="Arial" w:eastAsia="Arial" w:hAnsi="Arial"/>
          <w:sz w:val="24"/>
          <w:szCs w:val="24"/>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Form of Warrant for Warrants sold separately (included in Exhibit 4.9).</w:t>
      </w:r>
    </w:p>
    <w:p>
      <w:pPr>
        <w:spacing w:after="0" w:line="191" w:lineRule="auto"/>
        <w:rPr>
          <w:sz w:val="20"/>
          <w:szCs w:val="20"/>
          <w:color w:val="auto"/>
        </w:rPr>
      </w:pPr>
      <w:r>
        <w:rPr>
          <w:rFonts w:ascii="Arial" w:cs="Arial" w:eastAsia="Arial" w:hAnsi="Arial"/>
          <w:sz w:val="15"/>
          <w:szCs w:val="15"/>
          <w:color w:val="auto"/>
        </w:rPr>
        <w:t>Form of Warrant Agreement for Warrants sold attached to other Securities.</w:t>
      </w:r>
      <w:r>
        <w:rPr>
          <w:rFonts w:ascii="Arial" w:cs="Arial" w:eastAsia="Arial" w:hAnsi="Arial"/>
          <w:sz w:val="24"/>
          <w:szCs w:val="24"/>
          <w:color w:val="auto"/>
          <w:vertAlign w:val="superscript"/>
        </w:rPr>
        <w:t>1</w:t>
      </w:r>
    </w:p>
    <w:p>
      <w:pPr>
        <w:spacing w:after="0"/>
        <w:rPr>
          <w:sz w:val="20"/>
          <w:szCs w:val="20"/>
          <w:color w:val="auto"/>
        </w:rPr>
      </w:pPr>
      <w:r>
        <w:rPr>
          <w:rFonts w:ascii="Arial" w:cs="Arial" w:eastAsia="Arial" w:hAnsi="Arial"/>
          <w:sz w:val="15"/>
          <w:szCs w:val="15"/>
          <w:color w:val="auto"/>
        </w:rPr>
        <w:t>Form of Warrant for Warrants sold attached to other Securities (included in Exhibit 4.17).</w:t>
      </w:r>
    </w:p>
    <w:p>
      <w:pPr>
        <w:spacing w:after="0" w:line="190" w:lineRule="auto"/>
        <w:rPr>
          <w:sz w:val="20"/>
          <w:szCs w:val="20"/>
          <w:color w:val="auto"/>
        </w:rPr>
      </w:pPr>
      <w:r>
        <w:rPr>
          <w:rFonts w:ascii="Arial" w:cs="Arial" w:eastAsia="Arial" w:hAnsi="Arial"/>
          <w:sz w:val="15"/>
          <w:szCs w:val="15"/>
          <w:color w:val="auto"/>
        </w:rPr>
        <w:t>Form of Pledge Agreement.</w:t>
      </w:r>
      <w:r>
        <w:rPr>
          <w:rFonts w:ascii="Arial" w:cs="Arial" w:eastAsia="Arial" w:hAnsi="Arial"/>
          <w:sz w:val="24"/>
          <w:szCs w:val="24"/>
          <w:color w:val="auto"/>
          <w:vertAlign w:val="superscript"/>
        </w:rPr>
        <w:t>1</w:t>
      </w:r>
    </w:p>
    <w:p>
      <w:pPr>
        <w:spacing w:after="0" w:line="186" w:lineRule="auto"/>
        <w:rPr>
          <w:sz w:val="20"/>
          <w:szCs w:val="20"/>
          <w:color w:val="auto"/>
        </w:rPr>
      </w:pPr>
      <w:r>
        <w:rPr>
          <w:rFonts w:ascii="Arial" w:cs="Arial" w:eastAsia="Arial" w:hAnsi="Arial"/>
          <w:sz w:val="15"/>
          <w:szCs w:val="15"/>
          <w:color w:val="auto"/>
        </w:rPr>
        <w:t>Form of Deposit Agreement.</w:t>
      </w:r>
      <w:r>
        <w:rPr>
          <w:rFonts w:ascii="Arial" w:cs="Arial" w:eastAsia="Arial" w:hAnsi="Arial"/>
          <w:sz w:val="24"/>
          <w:szCs w:val="24"/>
          <w:color w:val="auto"/>
          <w:vertAlign w:val="superscript"/>
        </w:rPr>
        <w:t>8</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Form of Depositary Share (included in Exhibit 4.14).</w:t>
      </w:r>
    </w:p>
    <w:p>
      <w:pPr>
        <w:spacing w:after="0" w:line="220" w:lineRule="auto"/>
        <w:rPr>
          <w:sz w:val="20"/>
          <w:szCs w:val="20"/>
          <w:color w:val="auto"/>
        </w:rPr>
      </w:pPr>
      <w:r>
        <w:rPr>
          <w:rFonts w:ascii="Arial" w:cs="Arial" w:eastAsia="Arial" w:hAnsi="Arial"/>
          <w:sz w:val="15"/>
          <w:szCs w:val="15"/>
          <w:color w:val="auto"/>
        </w:rPr>
        <w:t xml:space="preserve">Form of Guarantee (Warrants, Purchase Contracts and Units). </w:t>
      </w:r>
      <w:r>
        <w:rPr>
          <w:rFonts w:ascii="Arial" w:cs="Arial" w:eastAsia="Arial" w:hAnsi="Arial"/>
          <w:sz w:val="24"/>
          <w:szCs w:val="24"/>
          <w:color w:val="auto"/>
          <w:vertAlign w:val="superscript"/>
        </w:rPr>
        <w:t>1</w:t>
      </w:r>
    </w:p>
    <w:p>
      <w:pPr>
        <w:spacing w:after="0" w:line="187" w:lineRule="auto"/>
        <w:rPr>
          <w:sz w:val="20"/>
          <w:szCs w:val="20"/>
          <w:color w:val="auto"/>
        </w:rPr>
      </w:pPr>
      <w:r>
        <w:rPr>
          <w:rFonts w:ascii="Arial" w:cs="Arial" w:eastAsia="Arial" w:hAnsi="Arial"/>
          <w:sz w:val="13"/>
          <w:szCs w:val="13"/>
          <w:color w:val="auto"/>
        </w:rPr>
        <w:t>Opinion of Arthur R. Block, Esquire.</w:t>
      </w:r>
      <w:r>
        <w:rPr>
          <w:rFonts w:ascii="Arial" w:cs="Arial" w:eastAsia="Arial" w:hAnsi="Arial"/>
          <w:sz w:val="20"/>
          <w:szCs w:val="20"/>
          <w:color w:val="auto"/>
          <w:vertAlign w:val="superscript"/>
        </w:rPr>
        <w:t>7</w:t>
      </w:r>
    </w:p>
    <w:p>
      <w:pPr>
        <w:spacing w:after="0" w:line="185" w:lineRule="auto"/>
        <w:rPr>
          <w:sz w:val="20"/>
          <w:szCs w:val="20"/>
          <w:color w:val="auto"/>
        </w:rPr>
      </w:pPr>
      <w:r>
        <w:rPr>
          <w:rFonts w:ascii="Arial" w:cs="Arial" w:eastAsia="Arial" w:hAnsi="Arial"/>
          <w:sz w:val="15"/>
          <w:szCs w:val="15"/>
          <w:color w:val="auto"/>
        </w:rPr>
        <w:t>Opinion of Davis Polk &amp; Wardwell.</w:t>
      </w:r>
      <w:r>
        <w:rPr>
          <w:rFonts w:ascii="Arial" w:cs="Arial" w:eastAsia="Arial" w:hAnsi="Arial"/>
          <w:sz w:val="24"/>
          <w:szCs w:val="24"/>
          <w:color w:val="auto"/>
          <w:vertAlign w:val="superscript"/>
        </w:rPr>
        <w:t>7</w:t>
      </w:r>
    </w:p>
    <w:p>
      <w:pPr>
        <w:spacing w:after="0" w:line="185" w:lineRule="auto"/>
        <w:rPr>
          <w:sz w:val="20"/>
          <w:szCs w:val="20"/>
          <w:color w:val="auto"/>
        </w:rPr>
      </w:pPr>
      <w:r>
        <w:rPr>
          <w:rFonts w:ascii="Arial" w:cs="Arial" w:eastAsia="Arial" w:hAnsi="Arial"/>
          <w:sz w:val="15"/>
          <w:szCs w:val="15"/>
          <w:color w:val="auto"/>
        </w:rPr>
        <w:t>Statement Regarding Computation of Ratio of Earnings to Fixed Charges of Comcast Corporation.</w:t>
      </w:r>
      <w:r>
        <w:rPr>
          <w:rFonts w:ascii="Arial" w:cs="Arial" w:eastAsia="Arial" w:hAnsi="Arial"/>
          <w:sz w:val="24"/>
          <w:szCs w:val="24"/>
          <w:color w:val="auto"/>
          <w:vertAlign w:val="superscript"/>
        </w:rPr>
        <w:t>7</w:t>
      </w:r>
    </w:p>
    <w:p>
      <w:pPr>
        <w:spacing w:after="0" w:line="1" w:lineRule="exact"/>
        <w:rPr>
          <w:sz w:val="20"/>
          <w:szCs w:val="20"/>
          <w:color w:val="auto"/>
        </w:rPr>
      </w:pPr>
    </w:p>
    <w:p>
      <w:pPr>
        <w:ind w:right="800"/>
        <w:spacing w:after="0" w:line="228" w:lineRule="auto"/>
        <w:rPr>
          <w:sz w:val="20"/>
          <w:szCs w:val="20"/>
          <w:color w:val="auto"/>
        </w:rPr>
      </w:pPr>
      <w:r>
        <w:rPr>
          <w:rFonts w:ascii="Arial" w:cs="Arial" w:eastAsia="Arial" w:hAnsi="Arial"/>
          <w:sz w:val="15"/>
          <w:szCs w:val="15"/>
          <w:color w:val="auto"/>
        </w:rPr>
        <w:t>Statement Regarding Computation of Ratio of Earnings to Combined Fixed Charges and Preferred Dividends of Comcast Corporation.</w:t>
      </w:r>
      <w:r>
        <w:rPr>
          <w:rFonts w:ascii="Arial" w:cs="Arial" w:eastAsia="Arial" w:hAnsi="Arial"/>
          <w:sz w:val="24"/>
          <w:szCs w:val="24"/>
          <w:color w:val="auto"/>
          <w:vertAlign w:val="superscript"/>
        </w:rPr>
        <w:t>7</w:t>
      </w:r>
      <w:r>
        <w:rPr>
          <w:rFonts w:ascii="Arial" w:cs="Arial" w:eastAsia="Arial" w:hAnsi="Arial"/>
          <w:sz w:val="15"/>
          <w:szCs w:val="15"/>
          <w:color w:val="auto"/>
        </w:rPr>
        <w:t xml:space="preserve"> Consent of Deloitte &amp; Touche LLP with respect to Comcast Corporation.</w:t>
      </w:r>
      <w:r>
        <w:rPr>
          <w:rFonts w:ascii="Arial" w:cs="Arial" w:eastAsia="Arial" w:hAnsi="Arial"/>
          <w:sz w:val="24"/>
          <w:szCs w:val="24"/>
          <w:color w:val="auto"/>
          <w:vertAlign w:val="superscript"/>
        </w:rPr>
        <w:t>7</w:t>
      </w:r>
    </w:p>
    <w:p>
      <w:pPr>
        <w:ind w:right="3820"/>
        <w:spacing w:after="0" w:line="219" w:lineRule="auto"/>
        <w:rPr>
          <w:sz w:val="20"/>
          <w:szCs w:val="20"/>
          <w:color w:val="auto"/>
        </w:rPr>
      </w:pPr>
      <w:r>
        <w:rPr>
          <w:rFonts w:ascii="Arial" w:cs="Arial" w:eastAsia="Arial" w:hAnsi="Arial"/>
          <w:sz w:val="15"/>
          <w:szCs w:val="15"/>
          <w:color w:val="auto"/>
        </w:rPr>
        <w:t>Consent of PricewaterhouseCoopers LLP with respect to AT&amp;T Broadband Group.</w:t>
      </w:r>
      <w:r>
        <w:rPr>
          <w:rFonts w:ascii="Arial" w:cs="Arial" w:eastAsia="Arial" w:hAnsi="Arial"/>
          <w:sz w:val="24"/>
          <w:szCs w:val="24"/>
          <w:color w:val="auto"/>
          <w:vertAlign w:val="superscript"/>
        </w:rPr>
        <w:t>7</w:t>
      </w:r>
      <w:r>
        <w:rPr>
          <w:rFonts w:ascii="Arial" w:cs="Arial" w:eastAsia="Arial" w:hAnsi="Arial"/>
          <w:sz w:val="15"/>
          <w:szCs w:val="15"/>
          <w:color w:val="auto"/>
        </w:rPr>
        <w:t xml:space="preserve"> Consent of Arthur R. Block, Esquire (included in Exhibit 5.1). Consent of Davis Polk &amp; Wardwell (included in Exhibit 5.2).</w:t>
      </w:r>
    </w:p>
    <w:p>
      <w:pPr>
        <w:spacing w:after="0"/>
        <w:rPr>
          <w:sz w:val="20"/>
          <w:szCs w:val="20"/>
          <w:color w:val="auto"/>
        </w:rPr>
      </w:pPr>
      <w:r>
        <w:rPr>
          <w:rFonts w:ascii="Arial" w:cs="Arial" w:eastAsia="Arial" w:hAnsi="Arial"/>
          <w:sz w:val="15"/>
          <w:szCs w:val="15"/>
          <w:color w:val="auto"/>
        </w:rPr>
        <w:t>Powers of Attorney (included on the signature pages hereof).</w:t>
      </w:r>
    </w:p>
    <w:p>
      <w:pPr>
        <w:spacing w:after="0" w:line="7"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Statement of Eligibility under the Trust Indenture Act of 1939, as amended, of The Bank of New York, as Trustee under the Senior Indenture.</w:t>
      </w:r>
      <w:r>
        <w:rPr>
          <w:rFonts w:ascii="Arial" w:cs="Arial" w:eastAsia="Arial" w:hAnsi="Arial"/>
          <w:sz w:val="21"/>
          <w:szCs w:val="21"/>
          <w:color w:val="auto"/>
          <w:vertAlign w:val="superscript"/>
        </w:rPr>
        <w:t>6</w:t>
      </w:r>
      <w:r>
        <w:rPr>
          <w:rFonts w:ascii="Arial" w:cs="Arial" w:eastAsia="Arial" w:hAnsi="Arial"/>
          <w:sz w:val="13"/>
          <w:szCs w:val="13"/>
          <w:color w:val="auto"/>
        </w:rPr>
        <w:t xml:space="preserve"> Statement of Eligibility under the Trust Indenture Act of 1939, as amended, of The Bank of New York, as Trustee under the Subordinated Indenture.</w:t>
      </w:r>
      <w:r>
        <w:rPr>
          <w:rFonts w:ascii="Arial" w:cs="Arial" w:eastAsia="Arial" w:hAnsi="Arial"/>
          <w:sz w:val="21"/>
          <w:szCs w:val="21"/>
          <w:color w:val="auto"/>
          <w:vertAlign w:val="superscript"/>
        </w:rPr>
        <w:t>6</w:t>
      </w:r>
    </w:p>
    <w:p>
      <w:pPr>
        <w:spacing w:after="0" w:line="200" w:lineRule="exact"/>
        <w:rPr>
          <w:sz w:val="20"/>
          <w:szCs w:val="20"/>
          <w:color w:val="auto"/>
        </w:rPr>
      </w:pPr>
    </w:p>
    <w:p>
      <w:pPr>
        <w:sectPr>
          <w:pgSz w:w="11900" w:h="16838" w:orient="portrait"/>
          <w:cols w:equalWidth="0" w:num="2">
            <w:col w:w="1120" w:space="720"/>
            <w:col w:w="8720"/>
          </w:cols>
          <w:pgMar w:left="220" w:top="372" w:right="1119" w:bottom="1440" w:gutter="0" w:footer="0" w:header="0"/>
        </w:sectPr>
      </w:pPr>
    </w:p>
    <w:p>
      <w:pPr>
        <w:spacing w:after="0" w:line="24" w:lineRule="exact"/>
        <w:rPr>
          <w:sz w:val="20"/>
          <w:szCs w:val="20"/>
          <w:color w:val="auto"/>
        </w:rPr>
      </w:pPr>
    </w:p>
    <w:p>
      <w:pPr>
        <w:ind w:left="240" w:hanging="230"/>
        <w:spacing w:after="0"/>
        <w:tabs>
          <w:tab w:leader="none" w:pos="2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Incorporated by reference to our Amended Registration Statement on Form S-3/A, filed on December 23, 2002.</w:t>
      </w:r>
    </w:p>
    <w:p>
      <w:pPr>
        <w:spacing w:after="0" w:line="27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2  Incorporated by reference to our Current Report on Form 8-K12g3, filed on November 18, 2002.</w:t>
      </w:r>
    </w:p>
    <w:p>
      <w:pPr>
        <w:spacing w:after="0" w:line="27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3  Incorporated by reference to our Registration Statement on Form S-4, filed on February 11, 2002.</w:t>
      </w:r>
    </w:p>
    <w:p>
      <w:pPr>
        <w:spacing w:after="0" w:line="276" w:lineRule="exact"/>
        <w:rPr>
          <w:rFonts w:ascii="Arial" w:cs="Arial" w:eastAsia="Arial" w:hAnsi="Arial"/>
          <w:sz w:val="15"/>
          <w:szCs w:val="15"/>
          <w:color w:val="auto"/>
        </w:rPr>
      </w:pPr>
    </w:p>
    <w:p>
      <w:pPr>
        <w:ind w:right="2860"/>
        <w:spacing w:after="0" w:line="668" w:lineRule="auto"/>
        <w:rPr>
          <w:rFonts w:ascii="Arial" w:cs="Arial" w:eastAsia="Arial" w:hAnsi="Arial"/>
          <w:sz w:val="15"/>
          <w:szCs w:val="15"/>
          <w:color w:val="auto"/>
        </w:rPr>
      </w:pPr>
      <w:r>
        <w:rPr>
          <w:rFonts w:ascii="Arial" w:cs="Arial" w:eastAsia="Arial" w:hAnsi="Arial"/>
          <w:sz w:val="14"/>
          <w:szCs w:val="14"/>
          <w:color w:val="auto"/>
        </w:rPr>
        <w:t>4 Incorporated by reference to our Annual Report on Form 10-K for the year ended December 31, 2002, filed on March 20, 2003. 5 Incorporated by reference to our Registration Statement on Form 8-A12g, filed on November 18, 2002.</w:t>
      </w:r>
    </w:p>
    <w:p>
      <w:pPr>
        <w:ind w:right="4540"/>
        <w:spacing w:after="0" w:line="624" w:lineRule="auto"/>
        <w:rPr>
          <w:rFonts w:ascii="Arial" w:cs="Arial" w:eastAsia="Arial" w:hAnsi="Arial"/>
          <w:sz w:val="15"/>
          <w:szCs w:val="15"/>
          <w:color w:val="auto"/>
        </w:rPr>
      </w:pPr>
      <w:r>
        <w:rPr>
          <w:rFonts w:ascii="Arial" w:cs="Arial" w:eastAsia="Arial" w:hAnsi="Arial"/>
          <w:sz w:val="15"/>
          <w:szCs w:val="15"/>
          <w:color w:val="auto"/>
        </w:rPr>
        <w:t>6 Incorporated by reference to our Registration Statement on Form S-3, filed on December 16, 2002. 7 Filed herewith.</w:t>
      </w:r>
    </w:p>
    <w:p>
      <w:pPr>
        <w:spacing w:after="0"/>
        <w:rPr>
          <w:rFonts w:ascii="Arial" w:cs="Arial" w:eastAsia="Arial" w:hAnsi="Arial"/>
          <w:sz w:val="15"/>
          <w:szCs w:val="15"/>
          <w:color w:val="auto"/>
        </w:rPr>
      </w:pPr>
      <w:r>
        <w:rPr>
          <w:rFonts w:ascii="Arial" w:cs="Arial" w:eastAsia="Arial" w:hAnsi="Arial"/>
          <w:sz w:val="15"/>
          <w:szCs w:val="15"/>
          <w:color w:val="auto"/>
        </w:rPr>
        <w:t>8  To be filed by Current Report on Form 8-K.</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0560"/>
          </w:cols>
          <w:pgMar w:left="220" w:top="372" w:right="1119" w:bottom="1440" w:gutter="0" w:footer="0" w:header="0"/>
          <w:type w:val="continuous"/>
        </w:sectPr>
      </w:pPr>
    </w:p>
    <w:bookmarkStart w:id="60" w:name="page61"/>
    <w:bookmarkEnd w:id="6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2"/>
          <w:szCs w:val="12"/>
          <w:b w:val="1"/>
          <w:bCs w:val="1"/>
          <w:i w:val="1"/>
          <w:iCs w:val="1"/>
          <w:color w:val="auto"/>
        </w:rPr>
        <w:t>Undertakings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undersigned registrants hereby undertake:</w:t>
      </w:r>
    </w:p>
    <w:p>
      <w:pPr>
        <w:spacing w:after="0" w:line="209" w:lineRule="exact"/>
        <w:rPr>
          <w:sz w:val="20"/>
          <w:szCs w:val="20"/>
          <w:color w:val="auto"/>
        </w:rPr>
      </w:pPr>
    </w:p>
    <w:p>
      <w:pPr>
        <w:ind w:left="920" w:hanging="294"/>
        <w:spacing w:after="0"/>
        <w:tabs>
          <w:tab w:leader="none" w:pos="9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To file, during any period in which offers or sales are being made, a post-effective amendment to this Registration Statement:</w:t>
      </w:r>
    </w:p>
    <w:p>
      <w:pPr>
        <w:spacing w:after="0" w:line="231"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5"/>
          <w:szCs w:val="15"/>
          <w:color w:val="auto"/>
        </w:rPr>
        <w:t>(i) To include any prospectus required by Section 10(a)(3) of the Securities Act of 1933 (the “Securities Act”);</w:t>
      </w:r>
    </w:p>
    <w:p>
      <w:pPr>
        <w:spacing w:after="0" w:line="231" w:lineRule="exact"/>
        <w:rPr>
          <w:sz w:val="20"/>
          <w:szCs w:val="20"/>
          <w:color w:val="auto"/>
        </w:rPr>
      </w:pPr>
    </w:p>
    <w:p>
      <w:pPr>
        <w:ind w:left="360" w:right="20" w:firstLine="266"/>
        <w:spacing w:after="0" w:line="268" w:lineRule="auto"/>
        <w:tabs>
          <w:tab w:leader="none" w:pos="841" w:val="left"/>
        </w:tabs>
        <w:numPr>
          <w:ilvl w:val="0"/>
          <w:numId w:val="55"/>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7" w:lineRule="exact"/>
        <w:rPr>
          <w:rFonts w:ascii="Arial" w:cs="Arial" w:eastAsia="Arial" w:hAnsi="Arial"/>
          <w:sz w:val="15"/>
          <w:szCs w:val="15"/>
          <w:color w:val="auto"/>
        </w:rPr>
      </w:pPr>
    </w:p>
    <w:p>
      <w:pPr>
        <w:ind w:left="360" w:right="100" w:firstLine="266"/>
        <w:spacing w:after="0" w:line="268" w:lineRule="auto"/>
        <w:tabs>
          <w:tab w:leader="none" w:pos="881" w:val="left"/>
        </w:tabs>
        <w:numPr>
          <w:ilvl w:val="0"/>
          <w:numId w:val="55"/>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provided, however, that subparagraphs (a) (i) and (a) (ii) shall not apply to the extent that information required to be included in a post-effective amendment by those subparagraphs is contained in periodic reports filed by the registrant pursuant to Section 13 or 15(d) of the Securities Exchange Act of 1934 (the “Exchange Act”) that are incorporated by reference in the Registration Statement.</w:t>
      </w:r>
    </w:p>
    <w:p>
      <w:pPr>
        <w:spacing w:after="0" w:line="184" w:lineRule="exact"/>
        <w:rPr>
          <w:sz w:val="20"/>
          <w:szCs w:val="20"/>
          <w:color w:val="auto"/>
        </w:rPr>
      </w:pPr>
    </w:p>
    <w:p>
      <w:pPr>
        <w:ind w:left="360" w:right="220" w:firstLine="266"/>
        <w:spacing w:after="0" w:line="268" w:lineRule="auto"/>
        <w:tabs>
          <w:tab w:leader="none" w:pos="833"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Arial" w:cs="Arial" w:eastAsia="Arial" w:hAnsi="Arial"/>
          <w:sz w:val="15"/>
          <w:szCs w:val="15"/>
          <w:color w:val="auto"/>
        </w:rPr>
      </w:pPr>
    </w:p>
    <w:p>
      <w:pPr>
        <w:ind w:left="820" w:hanging="194"/>
        <w:spacing w:after="0"/>
        <w:tabs>
          <w:tab w:leader="none" w:pos="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243" w:lineRule="exact"/>
        <w:rPr>
          <w:sz w:val="20"/>
          <w:szCs w:val="20"/>
          <w:color w:val="auto"/>
        </w:rPr>
      </w:pPr>
    </w:p>
    <w:p>
      <w:pPr>
        <w:ind w:left="360" w:right="20" w:firstLine="266"/>
        <w:spacing w:after="0" w:line="258" w:lineRule="auto"/>
        <w:tabs>
          <w:tab w:leader="none" w:pos="918"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undersigned registrants hereby undertake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6" w:lineRule="exact"/>
        <w:rPr>
          <w:rFonts w:ascii="Arial" w:cs="Arial" w:eastAsia="Arial" w:hAnsi="Arial"/>
          <w:sz w:val="15"/>
          <w:szCs w:val="15"/>
          <w:color w:val="auto"/>
        </w:rPr>
      </w:pPr>
    </w:p>
    <w:p>
      <w:pPr>
        <w:ind w:left="360" w:firstLine="266"/>
        <w:spacing w:after="0" w:line="274" w:lineRule="auto"/>
        <w:tabs>
          <w:tab w:leader="none" w:pos="921" w:val="left"/>
        </w:tabs>
        <w:numPr>
          <w:ilvl w:val="0"/>
          <w:numId w:val="57"/>
        </w:numPr>
        <w:rPr>
          <w:rFonts w:ascii="Arial" w:cs="Arial" w:eastAsia="Arial" w:hAnsi="Arial"/>
          <w:sz w:val="14"/>
          <w:szCs w:val="14"/>
          <w:color w:val="auto"/>
        </w:rPr>
      </w:pPr>
      <w:r>
        <w:rPr>
          <w:rFonts w:ascii="Arial" w:cs="Arial" w:eastAsia="Arial" w:hAnsi="Arial"/>
          <w:sz w:val="14"/>
          <w:szCs w:val="14"/>
          <w:color w:val="auto"/>
        </w:rPr>
        <w:t>If the securities to be registered are to be offered at competitive bidding, the undersigned registrants hereby undertake (1) to use their best efforts to distribute prior to the opening of bids, to prospective bidders, underwriters, and dealers, a reasonable number of copies of a prospectus which at that time meets the requirements of Section 10(a) of the Securities Act, and relating to the securities offered at competitive bidding, as contained in the Registration Statement, together with any supplements thereto, and (2) to file an amendment to the Registration Statement reflecting the results of bidding, the terms of the reoffering and related matters to the extent required by the applicable form, not later than the first use, authorized by the issuer after the opening of bids, of a prospectus relating to the securities offered at competitive bidding, unless no further public offering of such securities by the issuer and no reoffering of such securities by the purchasers is proposed to be made.</w:t>
      </w:r>
    </w:p>
    <w:p>
      <w:pPr>
        <w:spacing w:after="0" w:line="197" w:lineRule="exact"/>
        <w:rPr>
          <w:rFonts w:ascii="Arial" w:cs="Arial" w:eastAsia="Arial" w:hAnsi="Arial"/>
          <w:sz w:val="14"/>
          <w:szCs w:val="14"/>
          <w:color w:val="auto"/>
        </w:rPr>
      </w:pPr>
    </w:p>
    <w:p>
      <w:pPr>
        <w:ind w:left="360" w:right="20" w:firstLine="266"/>
        <w:spacing w:after="0" w:line="328" w:lineRule="auto"/>
        <w:tabs>
          <w:tab w:leader="none" w:pos="921"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Insofar as indemnification for liabilities arising under the Securities Act may be permitted to directors, officers and controlling persons of the registrant pursuant to the foregoing provisions, or otherwise, the registrants have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 AND POWER OF ATTORNEY FOR COMCAST CORPORATION</w:t>
      </w:r>
    </w:p>
    <w:p>
      <w:pPr>
        <w:spacing w:after="0" w:line="213" w:lineRule="exact"/>
        <w:rPr>
          <w:sz w:val="20"/>
          <w:szCs w:val="20"/>
          <w:color w:val="auto"/>
        </w:rPr>
      </w:pPr>
    </w:p>
    <w:p>
      <w:pPr>
        <w:ind w:right="160" w:firstLine="269"/>
        <w:spacing w:after="0" w:line="395" w:lineRule="auto"/>
        <w:rPr>
          <w:sz w:val="20"/>
          <w:szCs w:val="20"/>
          <w:color w:val="auto"/>
        </w:rPr>
      </w:pPr>
      <w:r>
        <w:rPr>
          <w:rFonts w:ascii="Arial" w:cs="Arial" w:eastAsia="Arial" w:hAnsi="Arial"/>
          <w:sz w:val="12"/>
          <w:szCs w:val="12"/>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Philadelphia, Pennsylvania, on the 26th day of March, 2003.</w:t>
      </w:r>
    </w:p>
    <w:p>
      <w:pPr>
        <w:spacing w:after="0" w:line="84"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COMCAST CORPORATION</w:t>
      </w:r>
    </w:p>
    <w:p>
      <w:pPr>
        <w:spacing w:after="0" w:line="209" w:lineRule="exact"/>
        <w:rPr>
          <w:sz w:val="20"/>
          <w:szCs w:val="20"/>
          <w:color w:val="auto"/>
        </w:rPr>
      </w:pPr>
    </w:p>
    <w:p>
      <w:pPr>
        <w:ind w:left="4580"/>
        <w:spacing w:after="0"/>
        <w:tabs>
          <w:tab w:leader="none" w:pos="74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80010</wp:posOffset>
            </wp:positionV>
            <wp:extent cx="435737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57370" cy="6985"/>
                    </a:xfrm>
                    <a:prstGeom prst="rect">
                      <a:avLst/>
                    </a:prstGeom>
                    <a:noFill/>
                  </pic:spPr>
                </pic:pic>
              </a:graphicData>
            </a:graphic>
          </wp:anchor>
        </w:drawing>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Arthur R. Block</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 xml:space="preserve">Title: </w:t>
      </w:r>
      <w:r>
        <w:rPr>
          <w:rFonts w:ascii="Arial" w:cs="Arial" w:eastAsia="Arial" w:hAnsi="Arial"/>
          <w:sz w:val="15"/>
          <w:szCs w:val="15"/>
          <w:i w:val="1"/>
          <w:iCs w:val="1"/>
          <w:color w:val="auto"/>
        </w:rPr>
        <w:t>Senior Vice President</w:t>
      </w:r>
    </w:p>
    <w:p>
      <w:pPr>
        <w:spacing w:after="0" w:line="231" w:lineRule="exact"/>
        <w:rPr>
          <w:sz w:val="20"/>
          <w:szCs w:val="20"/>
          <w:color w:val="auto"/>
        </w:rPr>
      </w:pPr>
    </w:p>
    <w:p>
      <w:pPr>
        <w:ind w:right="100" w:firstLine="269"/>
        <w:spacing w:after="0" w:line="273" w:lineRule="auto"/>
        <w:rPr>
          <w:sz w:val="20"/>
          <w:szCs w:val="20"/>
          <w:color w:val="auto"/>
        </w:rPr>
      </w:pPr>
      <w:r>
        <w:rPr>
          <w:rFonts w:ascii="Arial" w:cs="Arial" w:eastAsia="Arial" w:hAnsi="Arial"/>
          <w:sz w:val="14"/>
          <w:szCs w:val="14"/>
          <w:color w:val="auto"/>
        </w:rPr>
        <w:t>KNOW ALL MEN BY THESE PRESENTS, that each person whose signature appears below hereby constitutes and appoints Brian L. Roberts, Lawrence S. Smith, John R. Alchin, David L. Cohen, Lawrence J. Salva and Arthur R. Block and each of them, his (her) true and lawful attorneys-in-fact and agents, with full power of substitution and resubstitution, for him (her) and in his (her)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(she) might or could do in person, hereby ratifying and confirming all that said attorneys-in-fact and agents, or their substitute or substitutes, may lawfully do or cause to be done by virtue hereof.</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below by the following persons in the capacities and on the dates indicated.</w:t>
      </w:r>
    </w:p>
    <w:p>
      <w:pPr>
        <w:spacing w:after="0" w:line="374" w:lineRule="exact"/>
        <w:rPr>
          <w:sz w:val="20"/>
          <w:szCs w:val="20"/>
          <w:color w:val="auto"/>
        </w:rPr>
      </w:pPr>
    </w:p>
    <w:p>
      <w:pPr>
        <w:ind w:left="2480"/>
        <w:spacing w:after="0"/>
        <w:tabs>
          <w:tab w:leader="none" w:pos="7620" w:val="left"/>
          <w:tab w:leader="none" w:pos="1064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62230</wp:posOffset>
            </wp:positionV>
            <wp:extent cx="727011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00" w:type="dxa"/>
            <w:vAlign w:val="bottom"/>
          </w:tcPr>
          <w:p>
            <w:pPr>
              <w:jc w:val="center"/>
              <w:spacing w:after="0"/>
              <w:rPr>
                <w:sz w:val="20"/>
                <w:szCs w:val="20"/>
                <w:color w:val="auto"/>
              </w:rPr>
            </w:pPr>
            <w:r>
              <w:rPr>
                <w:rFonts w:ascii="Arial" w:cs="Arial" w:eastAsia="Arial" w:hAnsi="Arial"/>
                <w:sz w:val="15"/>
                <w:szCs w:val="15"/>
                <w:color w:val="auto"/>
                <w:w w:val="89"/>
              </w:rPr>
              <w:t>/s/ RALPH J. ROBERTS</w:t>
            </w:r>
          </w:p>
        </w:tc>
        <w:tc>
          <w:tcPr>
            <w:tcW w:w="4640" w:type="dxa"/>
            <w:vAlign w:val="bottom"/>
          </w:tcPr>
          <w:p>
            <w:pPr>
              <w:jc w:val="center"/>
              <w:ind w:left="7"/>
              <w:spacing w:after="0"/>
              <w:rPr>
                <w:sz w:val="20"/>
                <w:szCs w:val="20"/>
                <w:color w:val="auto"/>
              </w:rPr>
            </w:pPr>
            <w:r>
              <w:rPr>
                <w:rFonts w:ascii="Arial" w:cs="Arial" w:eastAsia="Arial" w:hAnsi="Arial"/>
                <w:sz w:val="15"/>
                <w:szCs w:val="15"/>
                <w:color w:val="auto"/>
                <w:w w:val="88"/>
              </w:rPr>
              <w:t>Chairman of the Executive and Finance Committee of the Board of</w:t>
            </w:r>
          </w:p>
        </w:tc>
        <w:tc>
          <w:tcPr>
            <w:tcW w:w="142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86"/>
        </w:trPr>
        <w:tc>
          <w:tcPr>
            <w:tcW w:w="5400" w:type="dxa"/>
            <w:vAlign w:val="bottom"/>
            <w:tcBorders>
              <w:bottom w:val="single" w:sz="8" w:color="808080"/>
            </w:tcBorders>
          </w:tcPr>
          <w:p>
            <w:pPr>
              <w:spacing w:after="0"/>
              <w:rPr>
                <w:sz w:val="7"/>
                <w:szCs w:val="7"/>
                <w:color w:val="auto"/>
              </w:rPr>
            </w:pPr>
          </w:p>
        </w:tc>
        <w:tc>
          <w:tcPr>
            <w:tcW w:w="4640" w:type="dxa"/>
            <w:vAlign w:val="bottom"/>
            <w:vMerge w:val="restart"/>
          </w:tcPr>
          <w:p>
            <w:pPr>
              <w:jc w:val="center"/>
              <w:spacing w:after="0"/>
              <w:rPr>
                <w:sz w:val="20"/>
                <w:szCs w:val="20"/>
                <w:color w:val="auto"/>
              </w:rPr>
            </w:pPr>
            <w:r>
              <w:rPr>
                <w:rFonts w:ascii="Arial" w:cs="Arial" w:eastAsia="Arial" w:hAnsi="Arial"/>
                <w:sz w:val="15"/>
                <w:szCs w:val="15"/>
                <w:color w:val="auto"/>
                <w:w w:val="90"/>
              </w:rPr>
              <w:t>Directors; Director</w:t>
            </w: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400" w:type="dxa"/>
            <w:vAlign w:val="bottom"/>
            <w:vMerge w:val="restart"/>
          </w:tcPr>
          <w:p>
            <w:pPr>
              <w:jc w:val="center"/>
              <w:spacing w:after="0"/>
              <w:rPr>
                <w:sz w:val="20"/>
                <w:szCs w:val="20"/>
                <w:color w:val="auto"/>
              </w:rPr>
            </w:pPr>
            <w:r>
              <w:rPr>
                <w:rFonts w:ascii="Arial" w:cs="Arial" w:eastAsia="Arial" w:hAnsi="Arial"/>
                <w:sz w:val="15"/>
                <w:szCs w:val="15"/>
                <w:color w:val="auto"/>
                <w:w w:val="88"/>
              </w:rPr>
              <w:t>Ralph L. Roberts</w:t>
            </w:r>
          </w:p>
        </w:tc>
        <w:tc>
          <w:tcPr>
            <w:tcW w:w="464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00" w:type="dxa"/>
            <w:vAlign w:val="bottom"/>
            <w:vMerge w:val="continue"/>
          </w:tcPr>
          <w:p>
            <w:pPr>
              <w:spacing w:after="0"/>
              <w:rPr>
                <w:sz w:val="13"/>
                <w:szCs w:val="13"/>
                <w:color w:val="auto"/>
              </w:rPr>
            </w:pPr>
          </w:p>
        </w:tc>
        <w:tc>
          <w:tcPr>
            <w:tcW w:w="4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5400" w:type="dxa"/>
            <w:vAlign w:val="bottom"/>
          </w:tcPr>
          <w:p>
            <w:pPr>
              <w:jc w:val="center"/>
              <w:spacing w:after="0"/>
              <w:rPr>
                <w:sz w:val="20"/>
                <w:szCs w:val="20"/>
                <w:color w:val="auto"/>
              </w:rPr>
            </w:pPr>
            <w:r>
              <w:rPr>
                <w:rFonts w:ascii="Arial" w:cs="Arial" w:eastAsia="Arial" w:hAnsi="Arial"/>
                <w:sz w:val="15"/>
                <w:szCs w:val="15"/>
                <w:color w:val="auto"/>
                <w:w w:val="94"/>
              </w:rPr>
              <w:t>/s/ C. MICHAEL ARMSTRONG</w:t>
            </w:r>
          </w:p>
        </w:tc>
        <w:tc>
          <w:tcPr>
            <w:tcW w:w="4640" w:type="dxa"/>
            <w:vAlign w:val="bottom"/>
          </w:tcPr>
          <w:p>
            <w:pPr>
              <w:jc w:val="center"/>
              <w:ind w:left="7"/>
              <w:spacing w:after="0"/>
              <w:rPr>
                <w:sz w:val="20"/>
                <w:szCs w:val="20"/>
                <w:color w:val="auto"/>
              </w:rPr>
            </w:pPr>
            <w:r>
              <w:rPr>
                <w:rFonts w:ascii="Arial" w:cs="Arial" w:eastAsia="Arial" w:hAnsi="Arial"/>
                <w:sz w:val="15"/>
                <w:szCs w:val="15"/>
                <w:color w:val="auto"/>
                <w:w w:val="90"/>
              </w:rPr>
              <w:t>Chairman of the Board of Directors; Director</w:t>
            </w:r>
          </w:p>
        </w:tc>
        <w:tc>
          <w:tcPr>
            <w:tcW w:w="142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00" w:type="dxa"/>
            <w:vAlign w:val="bottom"/>
            <w:tcBorders>
              <w:bottom w:val="single" w:sz="8" w:color="808080"/>
            </w:tcBorders>
          </w:tcPr>
          <w:p>
            <w:pPr>
              <w:spacing w:after="0"/>
              <w:rPr>
                <w:sz w:val="6"/>
                <w:szCs w:val="6"/>
                <w:color w:val="auto"/>
              </w:rPr>
            </w:pPr>
          </w:p>
        </w:tc>
        <w:tc>
          <w:tcPr>
            <w:tcW w:w="4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00" w:type="dxa"/>
            <w:vAlign w:val="bottom"/>
          </w:tcPr>
          <w:p>
            <w:pPr>
              <w:jc w:val="center"/>
              <w:spacing w:after="0"/>
              <w:rPr>
                <w:sz w:val="20"/>
                <w:szCs w:val="20"/>
                <w:color w:val="auto"/>
              </w:rPr>
            </w:pPr>
            <w:r>
              <w:rPr>
                <w:rFonts w:ascii="Arial" w:cs="Arial" w:eastAsia="Arial" w:hAnsi="Arial"/>
                <w:sz w:val="15"/>
                <w:szCs w:val="15"/>
                <w:color w:val="auto"/>
                <w:w w:val="91"/>
              </w:rPr>
              <w:t>C. Michael Armstrong</w:t>
            </w: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5400" w:type="dxa"/>
            <w:vAlign w:val="bottom"/>
          </w:tcPr>
          <w:p>
            <w:pPr>
              <w:jc w:val="center"/>
              <w:spacing w:after="0"/>
              <w:rPr>
                <w:sz w:val="20"/>
                <w:szCs w:val="20"/>
                <w:color w:val="auto"/>
              </w:rPr>
            </w:pPr>
            <w:r>
              <w:rPr>
                <w:rFonts w:ascii="Arial" w:cs="Arial" w:eastAsia="Arial" w:hAnsi="Arial"/>
                <w:sz w:val="15"/>
                <w:szCs w:val="15"/>
                <w:color w:val="auto"/>
                <w:w w:val="92"/>
              </w:rPr>
              <w:t>/s/ BRIAN L. ROBERTS</w:t>
            </w:r>
          </w:p>
        </w:tc>
        <w:tc>
          <w:tcPr>
            <w:tcW w:w="4640" w:type="dxa"/>
            <w:vAlign w:val="bottom"/>
          </w:tcPr>
          <w:p>
            <w:pPr>
              <w:jc w:val="center"/>
              <w:ind w:left="7"/>
              <w:spacing w:after="0"/>
              <w:rPr>
                <w:sz w:val="20"/>
                <w:szCs w:val="20"/>
                <w:color w:val="auto"/>
              </w:rPr>
            </w:pPr>
            <w:r>
              <w:rPr>
                <w:rFonts w:ascii="Arial" w:cs="Arial" w:eastAsia="Arial" w:hAnsi="Arial"/>
                <w:sz w:val="15"/>
                <w:szCs w:val="15"/>
                <w:color w:val="auto"/>
                <w:w w:val="90"/>
              </w:rPr>
              <w:t>President and Chief Executive Officer (Principal Executive Officer);</w:t>
            </w:r>
          </w:p>
        </w:tc>
        <w:tc>
          <w:tcPr>
            <w:tcW w:w="142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86"/>
        </w:trPr>
        <w:tc>
          <w:tcPr>
            <w:tcW w:w="5400" w:type="dxa"/>
            <w:vAlign w:val="bottom"/>
            <w:tcBorders>
              <w:bottom w:val="single" w:sz="8" w:color="808080"/>
            </w:tcBorders>
          </w:tcPr>
          <w:p>
            <w:pPr>
              <w:spacing w:after="0"/>
              <w:rPr>
                <w:sz w:val="7"/>
                <w:szCs w:val="7"/>
                <w:color w:val="auto"/>
              </w:rPr>
            </w:pPr>
          </w:p>
        </w:tc>
        <w:tc>
          <w:tcPr>
            <w:tcW w:w="4640" w:type="dxa"/>
            <w:vAlign w:val="bottom"/>
            <w:vMerge w:val="restart"/>
          </w:tcPr>
          <w:p>
            <w:pPr>
              <w:jc w:val="center"/>
              <w:spacing w:after="0"/>
              <w:rPr>
                <w:sz w:val="20"/>
                <w:szCs w:val="20"/>
                <w:color w:val="auto"/>
              </w:rPr>
            </w:pPr>
            <w:r>
              <w:rPr>
                <w:rFonts w:ascii="Arial" w:cs="Arial" w:eastAsia="Arial" w:hAnsi="Arial"/>
                <w:sz w:val="15"/>
                <w:szCs w:val="15"/>
                <w:color w:val="auto"/>
                <w:w w:val="95"/>
              </w:rPr>
              <w:t>Director</w:t>
            </w: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400" w:type="dxa"/>
            <w:vAlign w:val="bottom"/>
            <w:vMerge w:val="restart"/>
          </w:tcPr>
          <w:p>
            <w:pPr>
              <w:jc w:val="center"/>
              <w:spacing w:after="0"/>
              <w:rPr>
                <w:sz w:val="20"/>
                <w:szCs w:val="20"/>
                <w:color w:val="auto"/>
              </w:rPr>
            </w:pPr>
            <w:r>
              <w:rPr>
                <w:rFonts w:ascii="Arial" w:cs="Arial" w:eastAsia="Arial" w:hAnsi="Arial"/>
                <w:sz w:val="15"/>
                <w:szCs w:val="15"/>
                <w:color w:val="auto"/>
                <w:w w:val="90"/>
              </w:rPr>
              <w:t>Brian L. Roberts</w:t>
            </w:r>
          </w:p>
        </w:tc>
        <w:tc>
          <w:tcPr>
            <w:tcW w:w="464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00" w:type="dxa"/>
            <w:vAlign w:val="bottom"/>
            <w:vMerge w:val="continue"/>
          </w:tcPr>
          <w:p>
            <w:pPr>
              <w:spacing w:after="0"/>
              <w:rPr>
                <w:sz w:val="13"/>
                <w:szCs w:val="13"/>
                <w:color w:val="auto"/>
              </w:rPr>
            </w:pPr>
          </w:p>
        </w:tc>
        <w:tc>
          <w:tcPr>
            <w:tcW w:w="4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5400" w:type="dxa"/>
            <w:vAlign w:val="bottom"/>
          </w:tcPr>
          <w:p>
            <w:pPr>
              <w:jc w:val="center"/>
              <w:spacing w:after="0"/>
              <w:rPr>
                <w:sz w:val="20"/>
                <w:szCs w:val="20"/>
                <w:color w:val="auto"/>
              </w:rPr>
            </w:pPr>
            <w:r>
              <w:rPr>
                <w:rFonts w:ascii="Arial" w:cs="Arial" w:eastAsia="Arial" w:hAnsi="Arial"/>
                <w:sz w:val="15"/>
                <w:szCs w:val="15"/>
                <w:color w:val="auto"/>
                <w:w w:val="95"/>
              </w:rPr>
              <w:t>/s/ JULIAN A. BRODSKY</w:t>
            </w:r>
          </w:p>
        </w:tc>
        <w:tc>
          <w:tcPr>
            <w:tcW w:w="4640" w:type="dxa"/>
            <w:vAlign w:val="bottom"/>
          </w:tcPr>
          <w:p>
            <w:pPr>
              <w:jc w:val="center"/>
              <w:ind w:left="7"/>
              <w:spacing w:after="0"/>
              <w:rPr>
                <w:sz w:val="20"/>
                <w:szCs w:val="20"/>
                <w:color w:val="auto"/>
              </w:rPr>
            </w:pPr>
            <w:r>
              <w:rPr>
                <w:rFonts w:ascii="Arial" w:cs="Arial" w:eastAsia="Arial" w:hAnsi="Arial"/>
                <w:sz w:val="15"/>
                <w:szCs w:val="15"/>
                <w:color w:val="auto"/>
                <w:w w:val="90"/>
              </w:rPr>
              <w:t>Vice Chairman; Director</w:t>
            </w:r>
          </w:p>
        </w:tc>
        <w:tc>
          <w:tcPr>
            <w:tcW w:w="142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00" w:type="dxa"/>
            <w:vAlign w:val="bottom"/>
            <w:tcBorders>
              <w:bottom w:val="single" w:sz="8" w:color="808080"/>
            </w:tcBorders>
          </w:tcPr>
          <w:p>
            <w:pPr>
              <w:spacing w:after="0"/>
              <w:rPr>
                <w:sz w:val="6"/>
                <w:szCs w:val="6"/>
                <w:color w:val="auto"/>
              </w:rPr>
            </w:pPr>
          </w:p>
        </w:tc>
        <w:tc>
          <w:tcPr>
            <w:tcW w:w="4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00" w:type="dxa"/>
            <w:vAlign w:val="bottom"/>
          </w:tcPr>
          <w:p>
            <w:pPr>
              <w:jc w:val="center"/>
              <w:spacing w:after="0"/>
              <w:rPr>
                <w:sz w:val="20"/>
                <w:szCs w:val="20"/>
                <w:color w:val="auto"/>
              </w:rPr>
            </w:pPr>
            <w:r>
              <w:rPr>
                <w:rFonts w:ascii="Arial" w:cs="Arial" w:eastAsia="Arial" w:hAnsi="Arial"/>
                <w:sz w:val="15"/>
                <w:szCs w:val="15"/>
                <w:color w:val="auto"/>
                <w:w w:val="91"/>
              </w:rPr>
              <w:t>Julian A. Brodsky</w:t>
            </w: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00" w:type="dxa"/>
            <w:vAlign w:val="bottom"/>
          </w:tcPr>
          <w:p>
            <w:pPr>
              <w:jc w:val="center"/>
              <w:spacing w:after="0"/>
              <w:rPr>
                <w:sz w:val="20"/>
                <w:szCs w:val="20"/>
                <w:color w:val="auto"/>
              </w:rPr>
            </w:pPr>
            <w:r>
              <w:rPr>
                <w:rFonts w:ascii="Arial" w:cs="Arial" w:eastAsia="Arial" w:hAnsi="Arial"/>
                <w:sz w:val="15"/>
                <w:szCs w:val="15"/>
                <w:color w:val="auto"/>
                <w:w w:val="92"/>
              </w:rPr>
              <w:t>/s/ LAWRENCE S. SMITH</w:t>
            </w:r>
          </w:p>
        </w:tc>
        <w:tc>
          <w:tcPr>
            <w:tcW w:w="4640" w:type="dxa"/>
            <w:vAlign w:val="bottom"/>
          </w:tcPr>
          <w:p>
            <w:pPr>
              <w:jc w:val="center"/>
              <w:spacing w:after="0"/>
              <w:rPr>
                <w:sz w:val="20"/>
                <w:szCs w:val="20"/>
                <w:color w:val="auto"/>
              </w:rPr>
            </w:pPr>
            <w:r>
              <w:rPr>
                <w:rFonts w:ascii="Arial" w:cs="Arial" w:eastAsia="Arial" w:hAnsi="Arial"/>
                <w:sz w:val="15"/>
                <w:szCs w:val="15"/>
                <w:color w:val="auto"/>
                <w:w w:val="90"/>
              </w:rPr>
              <w:t>Executive Vice President (Co-Principal Financial Officer)</w:t>
            </w:r>
          </w:p>
        </w:tc>
        <w:tc>
          <w:tcPr>
            <w:tcW w:w="142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00" w:type="dxa"/>
            <w:vAlign w:val="bottom"/>
            <w:tcBorders>
              <w:bottom w:val="single" w:sz="8" w:color="808080"/>
            </w:tcBorders>
          </w:tcPr>
          <w:p>
            <w:pPr>
              <w:spacing w:after="0"/>
              <w:rPr>
                <w:sz w:val="6"/>
                <w:szCs w:val="6"/>
                <w:color w:val="auto"/>
              </w:rPr>
            </w:pPr>
          </w:p>
        </w:tc>
        <w:tc>
          <w:tcPr>
            <w:tcW w:w="4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00" w:type="dxa"/>
            <w:vAlign w:val="bottom"/>
          </w:tcPr>
          <w:p>
            <w:pPr>
              <w:jc w:val="center"/>
              <w:spacing w:after="0"/>
              <w:rPr>
                <w:sz w:val="20"/>
                <w:szCs w:val="20"/>
                <w:color w:val="auto"/>
              </w:rPr>
            </w:pPr>
            <w:r>
              <w:rPr>
                <w:rFonts w:ascii="Arial" w:cs="Arial" w:eastAsia="Arial" w:hAnsi="Arial"/>
                <w:sz w:val="15"/>
                <w:szCs w:val="15"/>
                <w:color w:val="auto"/>
                <w:w w:val="88"/>
              </w:rPr>
              <w:t>Lawrence S. Smith</w:t>
            </w: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5400" w:type="dxa"/>
            <w:vAlign w:val="bottom"/>
          </w:tcPr>
          <w:p>
            <w:pPr>
              <w:jc w:val="center"/>
              <w:spacing w:after="0"/>
              <w:rPr>
                <w:sz w:val="20"/>
                <w:szCs w:val="20"/>
                <w:color w:val="auto"/>
              </w:rPr>
            </w:pPr>
            <w:r>
              <w:rPr>
                <w:rFonts w:ascii="Arial" w:cs="Arial" w:eastAsia="Arial" w:hAnsi="Arial"/>
                <w:sz w:val="15"/>
                <w:szCs w:val="15"/>
                <w:color w:val="auto"/>
                <w:w w:val="93"/>
              </w:rPr>
              <w:t>/s/ JOHN R. ALCHIN</w:t>
            </w:r>
          </w:p>
        </w:tc>
        <w:tc>
          <w:tcPr>
            <w:tcW w:w="4640" w:type="dxa"/>
            <w:vAlign w:val="bottom"/>
          </w:tcPr>
          <w:p>
            <w:pPr>
              <w:jc w:val="center"/>
              <w:spacing w:after="0"/>
              <w:rPr>
                <w:sz w:val="20"/>
                <w:szCs w:val="20"/>
                <w:color w:val="auto"/>
              </w:rPr>
            </w:pPr>
            <w:r>
              <w:rPr>
                <w:rFonts w:ascii="Arial" w:cs="Arial" w:eastAsia="Arial" w:hAnsi="Arial"/>
                <w:sz w:val="15"/>
                <w:szCs w:val="15"/>
                <w:color w:val="auto"/>
                <w:w w:val="88"/>
              </w:rPr>
              <w:t>Executive Vice President and Treasurer (Co-Principal Financial</w:t>
            </w:r>
          </w:p>
        </w:tc>
        <w:tc>
          <w:tcPr>
            <w:tcW w:w="142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86"/>
        </w:trPr>
        <w:tc>
          <w:tcPr>
            <w:tcW w:w="5400" w:type="dxa"/>
            <w:vAlign w:val="bottom"/>
            <w:tcBorders>
              <w:bottom w:val="single" w:sz="8" w:color="808080"/>
            </w:tcBorders>
          </w:tcPr>
          <w:p>
            <w:pPr>
              <w:spacing w:after="0"/>
              <w:rPr>
                <w:sz w:val="7"/>
                <w:szCs w:val="7"/>
                <w:color w:val="auto"/>
              </w:rPr>
            </w:pPr>
          </w:p>
        </w:tc>
        <w:tc>
          <w:tcPr>
            <w:tcW w:w="4640" w:type="dxa"/>
            <w:vAlign w:val="bottom"/>
            <w:vMerge w:val="restart"/>
          </w:tcPr>
          <w:p>
            <w:pPr>
              <w:jc w:val="center"/>
              <w:spacing w:after="0"/>
              <w:rPr>
                <w:sz w:val="20"/>
                <w:szCs w:val="20"/>
                <w:color w:val="auto"/>
              </w:rPr>
            </w:pPr>
            <w:r>
              <w:rPr>
                <w:rFonts w:ascii="Arial" w:cs="Arial" w:eastAsia="Arial" w:hAnsi="Arial"/>
                <w:sz w:val="15"/>
                <w:szCs w:val="15"/>
                <w:color w:val="auto"/>
                <w:w w:val="93"/>
              </w:rPr>
              <w:t>Officer)</w:t>
            </w: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400" w:type="dxa"/>
            <w:vAlign w:val="bottom"/>
            <w:vMerge w:val="restart"/>
          </w:tcPr>
          <w:p>
            <w:pPr>
              <w:jc w:val="center"/>
              <w:spacing w:after="0"/>
              <w:rPr>
                <w:sz w:val="20"/>
                <w:szCs w:val="20"/>
                <w:color w:val="auto"/>
              </w:rPr>
            </w:pPr>
            <w:r>
              <w:rPr>
                <w:rFonts w:ascii="Arial" w:cs="Arial" w:eastAsia="Arial" w:hAnsi="Arial"/>
                <w:sz w:val="15"/>
                <w:szCs w:val="15"/>
                <w:color w:val="auto"/>
                <w:w w:val="90"/>
              </w:rPr>
              <w:t>John R. Alchin</w:t>
            </w:r>
          </w:p>
        </w:tc>
        <w:tc>
          <w:tcPr>
            <w:tcW w:w="464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00" w:type="dxa"/>
            <w:vAlign w:val="bottom"/>
            <w:vMerge w:val="continue"/>
          </w:tcPr>
          <w:p>
            <w:pPr>
              <w:spacing w:after="0"/>
              <w:rPr>
                <w:sz w:val="13"/>
                <w:szCs w:val="13"/>
                <w:color w:val="auto"/>
              </w:rPr>
            </w:pPr>
          </w:p>
        </w:tc>
        <w:tc>
          <w:tcPr>
            <w:tcW w:w="4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5400" w:type="dxa"/>
            <w:vAlign w:val="bottom"/>
          </w:tcPr>
          <w:p>
            <w:pPr>
              <w:spacing w:after="0"/>
              <w:rPr>
                <w:sz w:val="24"/>
                <w:szCs w:val="24"/>
                <w:color w:val="auto"/>
              </w:rPr>
            </w:pPr>
          </w:p>
        </w:tc>
        <w:tc>
          <w:tcPr>
            <w:tcW w:w="4640" w:type="dxa"/>
            <w:vAlign w:val="bottom"/>
          </w:tcPr>
          <w:p>
            <w:pPr>
              <w:ind w:left="180"/>
              <w:spacing w:after="0"/>
              <w:rPr>
                <w:sz w:val="20"/>
                <w:szCs w:val="20"/>
                <w:color w:val="auto"/>
              </w:rPr>
            </w:pPr>
            <w:r>
              <w:rPr>
                <w:rFonts w:ascii="Arial" w:cs="Arial" w:eastAsia="Arial" w:hAnsi="Arial"/>
                <w:sz w:val="15"/>
                <w:szCs w:val="15"/>
                <w:color w:val="auto"/>
              </w:rPr>
              <w:t>II-10</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00" w:type="dxa"/>
            <w:vAlign w:val="bottom"/>
            <w:tcBorders>
              <w:bottom w:val="single" w:sz="8" w:color="808080"/>
            </w:tcBorders>
          </w:tcPr>
          <w:p>
            <w:pPr>
              <w:spacing w:after="0"/>
              <w:rPr>
                <w:sz w:val="16"/>
                <w:szCs w:val="16"/>
                <w:color w:val="auto"/>
              </w:rPr>
            </w:pPr>
          </w:p>
        </w:tc>
        <w:tc>
          <w:tcPr>
            <w:tcW w:w="4640" w:type="dxa"/>
            <w:vAlign w:val="bottom"/>
            <w:tcBorders>
              <w:bottom w:val="single" w:sz="8" w:color="808080"/>
            </w:tcBorders>
          </w:tcPr>
          <w:p>
            <w:pPr>
              <w:spacing w:after="0"/>
              <w:rPr>
                <w:sz w:val="16"/>
                <w:szCs w:val="16"/>
                <w:color w:val="auto"/>
              </w:rPr>
            </w:pPr>
          </w:p>
        </w:tc>
        <w:tc>
          <w:tcPr>
            <w:tcW w:w="14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left="2480"/>
        <w:spacing w:after="0"/>
        <w:tabs>
          <w:tab w:leader="none" w:pos="7620" w:val="left"/>
          <w:tab w:leader="none" w:pos="1064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62230</wp:posOffset>
            </wp:positionV>
            <wp:extent cx="727011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jc w:val="center"/>
              <w:spacing w:after="0"/>
              <w:rPr>
                <w:sz w:val="20"/>
                <w:szCs w:val="20"/>
                <w:color w:val="auto"/>
              </w:rPr>
            </w:pPr>
            <w:r>
              <w:rPr>
                <w:rFonts w:ascii="Arial" w:cs="Arial" w:eastAsia="Arial" w:hAnsi="Arial"/>
                <w:sz w:val="15"/>
                <w:szCs w:val="15"/>
                <w:color w:val="auto"/>
                <w:w w:val="91"/>
              </w:rPr>
              <w:t>/s/ LAWRENCE J. SALVA</w:t>
            </w:r>
          </w:p>
        </w:tc>
        <w:tc>
          <w:tcPr>
            <w:tcW w:w="4620" w:type="dxa"/>
            <w:vAlign w:val="bottom"/>
          </w:tcPr>
          <w:p>
            <w:pPr>
              <w:jc w:val="center"/>
              <w:ind w:left="7"/>
              <w:spacing w:after="0"/>
              <w:rPr>
                <w:sz w:val="20"/>
                <w:szCs w:val="20"/>
                <w:color w:val="auto"/>
              </w:rPr>
            </w:pPr>
            <w:r>
              <w:rPr>
                <w:rFonts w:ascii="Arial" w:cs="Arial" w:eastAsia="Arial" w:hAnsi="Arial"/>
                <w:sz w:val="15"/>
                <w:szCs w:val="15"/>
                <w:color w:val="auto"/>
                <w:w w:val="90"/>
              </w:rPr>
              <w:t>Senior Vice President and Controller (Principal Accounting Officer)</w:t>
            </w:r>
          </w:p>
        </w:tc>
        <w:tc>
          <w:tcPr>
            <w:tcW w:w="1440" w:type="dxa"/>
            <w:vAlign w:val="bottom"/>
          </w:tcPr>
          <w:p>
            <w:pPr>
              <w:ind w:left="300"/>
              <w:spacing w:after="0"/>
              <w:rPr>
                <w:sz w:val="20"/>
                <w:szCs w:val="20"/>
                <w:color w:val="auto"/>
              </w:rPr>
            </w:pPr>
            <w:r>
              <w:rPr>
                <w:rFonts w:ascii="Arial" w:cs="Arial" w:eastAsia="Arial" w:hAnsi="Arial"/>
                <w:sz w:val="15"/>
                <w:szCs w:val="15"/>
                <w:color w:val="auto"/>
              </w:rPr>
              <w:t>March 26, 2003</w:t>
            </w:r>
          </w:p>
        </w:tc>
      </w:tr>
      <w:tr>
        <w:trPr>
          <w:trHeight w:val="79"/>
        </w:trPr>
        <w:tc>
          <w:tcPr>
            <w:tcW w:w="5400" w:type="dxa"/>
            <w:vAlign w:val="bottom"/>
            <w:tcBorders>
              <w:bottom w:val="single" w:sz="8" w:color="808080"/>
            </w:tcBorders>
          </w:tcPr>
          <w:p>
            <w:pPr>
              <w:spacing w:after="0"/>
              <w:rPr>
                <w:sz w:val="6"/>
                <w:szCs w:val="6"/>
                <w:color w:val="auto"/>
              </w:rPr>
            </w:pPr>
          </w:p>
        </w:tc>
        <w:tc>
          <w:tcPr>
            <w:tcW w:w="46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37"/>
        </w:trPr>
        <w:tc>
          <w:tcPr>
            <w:tcW w:w="5400" w:type="dxa"/>
            <w:vAlign w:val="bottom"/>
          </w:tcPr>
          <w:p>
            <w:pPr>
              <w:jc w:val="center"/>
              <w:spacing w:after="0"/>
              <w:rPr>
                <w:sz w:val="20"/>
                <w:szCs w:val="20"/>
                <w:color w:val="auto"/>
              </w:rPr>
            </w:pPr>
            <w:r>
              <w:rPr>
                <w:rFonts w:ascii="Arial" w:cs="Arial" w:eastAsia="Arial" w:hAnsi="Arial"/>
                <w:sz w:val="15"/>
                <w:szCs w:val="15"/>
                <w:color w:val="auto"/>
                <w:w w:val="86"/>
              </w:rPr>
              <w:t>Lawrence J. Salva</w:t>
            </w:r>
          </w:p>
        </w:tc>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9"/>
        </w:trPr>
        <w:tc>
          <w:tcPr>
            <w:tcW w:w="5400" w:type="dxa"/>
            <w:vAlign w:val="bottom"/>
          </w:tcPr>
          <w:p>
            <w:pPr>
              <w:jc w:val="center"/>
              <w:spacing w:after="0"/>
              <w:rPr>
                <w:sz w:val="20"/>
                <w:szCs w:val="20"/>
                <w:color w:val="auto"/>
              </w:rPr>
            </w:pPr>
            <w:r>
              <w:rPr>
                <w:rFonts w:ascii="Arial" w:cs="Arial" w:eastAsia="Arial" w:hAnsi="Arial"/>
                <w:sz w:val="15"/>
                <w:szCs w:val="15"/>
                <w:color w:val="auto"/>
                <w:w w:val="92"/>
              </w:rPr>
              <w:t>/s/ S. DECKER ANSTROM</w:t>
            </w:r>
          </w:p>
        </w:tc>
        <w:tc>
          <w:tcPr>
            <w:tcW w:w="4620" w:type="dxa"/>
            <w:vAlign w:val="bottom"/>
          </w:tcPr>
          <w:p>
            <w:pPr>
              <w:jc w:val="center"/>
              <w:ind w:left="7"/>
              <w:spacing w:after="0"/>
              <w:rPr>
                <w:sz w:val="20"/>
                <w:szCs w:val="20"/>
                <w:color w:val="auto"/>
              </w:rPr>
            </w:pPr>
            <w:r>
              <w:rPr>
                <w:rFonts w:ascii="Arial" w:cs="Arial" w:eastAsia="Arial" w:hAnsi="Arial"/>
                <w:sz w:val="15"/>
                <w:szCs w:val="15"/>
                <w:color w:val="auto"/>
                <w:w w:val="95"/>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March 26, 2003</w:t>
            </w:r>
          </w:p>
        </w:tc>
      </w:tr>
      <w:tr>
        <w:trPr>
          <w:trHeight w:val="79"/>
        </w:trPr>
        <w:tc>
          <w:tcPr>
            <w:tcW w:w="5400" w:type="dxa"/>
            <w:vAlign w:val="bottom"/>
            <w:tcBorders>
              <w:bottom w:val="single" w:sz="8" w:color="808080"/>
            </w:tcBorders>
          </w:tcPr>
          <w:p>
            <w:pPr>
              <w:spacing w:after="0"/>
              <w:rPr>
                <w:sz w:val="6"/>
                <w:szCs w:val="6"/>
                <w:color w:val="auto"/>
              </w:rPr>
            </w:pPr>
          </w:p>
        </w:tc>
        <w:tc>
          <w:tcPr>
            <w:tcW w:w="46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37"/>
        </w:trPr>
        <w:tc>
          <w:tcPr>
            <w:tcW w:w="5400" w:type="dxa"/>
            <w:vAlign w:val="bottom"/>
          </w:tcPr>
          <w:p>
            <w:pPr>
              <w:jc w:val="center"/>
              <w:spacing w:after="0"/>
              <w:rPr>
                <w:sz w:val="20"/>
                <w:szCs w:val="20"/>
                <w:color w:val="auto"/>
              </w:rPr>
            </w:pPr>
            <w:r>
              <w:rPr>
                <w:rFonts w:ascii="Arial" w:cs="Arial" w:eastAsia="Arial" w:hAnsi="Arial"/>
                <w:sz w:val="15"/>
                <w:szCs w:val="15"/>
                <w:color w:val="auto"/>
                <w:w w:val="88"/>
              </w:rPr>
              <w:t>S. Decker Anstrom</w:t>
            </w:r>
          </w:p>
        </w:tc>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9"/>
        </w:trPr>
        <w:tc>
          <w:tcPr>
            <w:tcW w:w="5400" w:type="dxa"/>
            <w:vAlign w:val="bottom"/>
          </w:tcPr>
          <w:p>
            <w:pPr>
              <w:jc w:val="center"/>
              <w:spacing w:after="0"/>
              <w:rPr>
                <w:sz w:val="20"/>
                <w:szCs w:val="20"/>
                <w:color w:val="auto"/>
              </w:rPr>
            </w:pPr>
            <w:r>
              <w:rPr>
                <w:rFonts w:ascii="Arial" w:cs="Arial" w:eastAsia="Arial" w:hAnsi="Arial"/>
                <w:sz w:val="15"/>
                <w:szCs w:val="15"/>
                <w:color w:val="auto"/>
                <w:w w:val="93"/>
              </w:rPr>
              <w:t>/s/ KENNETH J. BACON</w:t>
            </w:r>
          </w:p>
        </w:tc>
        <w:tc>
          <w:tcPr>
            <w:tcW w:w="4620" w:type="dxa"/>
            <w:vAlign w:val="bottom"/>
          </w:tcPr>
          <w:p>
            <w:pPr>
              <w:jc w:val="center"/>
              <w:ind w:left="7"/>
              <w:spacing w:after="0"/>
              <w:rPr>
                <w:sz w:val="20"/>
                <w:szCs w:val="20"/>
                <w:color w:val="auto"/>
              </w:rPr>
            </w:pPr>
            <w:r>
              <w:rPr>
                <w:rFonts w:ascii="Arial" w:cs="Arial" w:eastAsia="Arial" w:hAnsi="Arial"/>
                <w:sz w:val="15"/>
                <w:szCs w:val="15"/>
                <w:color w:val="auto"/>
                <w:w w:val="95"/>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March 26, 2003</w:t>
            </w:r>
          </w:p>
        </w:tc>
      </w:tr>
      <w:tr>
        <w:trPr>
          <w:trHeight w:val="79"/>
        </w:trPr>
        <w:tc>
          <w:tcPr>
            <w:tcW w:w="5400" w:type="dxa"/>
            <w:vAlign w:val="bottom"/>
            <w:tcBorders>
              <w:bottom w:val="single" w:sz="8" w:color="808080"/>
            </w:tcBorders>
          </w:tcPr>
          <w:p>
            <w:pPr>
              <w:spacing w:after="0"/>
              <w:rPr>
                <w:sz w:val="6"/>
                <w:szCs w:val="6"/>
                <w:color w:val="auto"/>
              </w:rPr>
            </w:pPr>
          </w:p>
        </w:tc>
        <w:tc>
          <w:tcPr>
            <w:tcW w:w="46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37"/>
        </w:trPr>
        <w:tc>
          <w:tcPr>
            <w:tcW w:w="5400" w:type="dxa"/>
            <w:vAlign w:val="bottom"/>
          </w:tcPr>
          <w:p>
            <w:pPr>
              <w:jc w:val="center"/>
              <w:spacing w:after="0"/>
              <w:rPr>
                <w:sz w:val="20"/>
                <w:szCs w:val="20"/>
                <w:color w:val="auto"/>
              </w:rPr>
            </w:pPr>
            <w:r>
              <w:rPr>
                <w:rFonts w:ascii="Arial" w:cs="Arial" w:eastAsia="Arial" w:hAnsi="Arial"/>
                <w:sz w:val="15"/>
                <w:szCs w:val="15"/>
                <w:color w:val="auto"/>
                <w:w w:val="86"/>
              </w:rPr>
              <w:t>Kenneth J. Bacon</w:t>
            </w:r>
          </w:p>
        </w:tc>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9"/>
        </w:trPr>
        <w:tc>
          <w:tcPr>
            <w:tcW w:w="5400" w:type="dxa"/>
            <w:vAlign w:val="bottom"/>
          </w:tcPr>
          <w:p>
            <w:pPr>
              <w:jc w:val="center"/>
              <w:spacing w:after="0"/>
              <w:rPr>
                <w:sz w:val="20"/>
                <w:szCs w:val="20"/>
                <w:color w:val="auto"/>
              </w:rPr>
            </w:pPr>
            <w:r>
              <w:rPr>
                <w:rFonts w:ascii="Arial" w:cs="Arial" w:eastAsia="Arial" w:hAnsi="Arial"/>
                <w:sz w:val="15"/>
                <w:szCs w:val="15"/>
                <w:color w:val="auto"/>
                <w:w w:val="94"/>
              </w:rPr>
              <w:t>/s/ SHELDON M. BONOVITZ</w:t>
            </w:r>
          </w:p>
        </w:tc>
        <w:tc>
          <w:tcPr>
            <w:tcW w:w="4620" w:type="dxa"/>
            <w:vAlign w:val="bottom"/>
          </w:tcPr>
          <w:p>
            <w:pPr>
              <w:jc w:val="center"/>
              <w:ind w:left="7"/>
              <w:spacing w:after="0"/>
              <w:rPr>
                <w:sz w:val="20"/>
                <w:szCs w:val="20"/>
                <w:color w:val="auto"/>
              </w:rPr>
            </w:pPr>
            <w:r>
              <w:rPr>
                <w:rFonts w:ascii="Arial" w:cs="Arial" w:eastAsia="Arial" w:hAnsi="Arial"/>
                <w:sz w:val="15"/>
                <w:szCs w:val="15"/>
                <w:color w:val="auto"/>
                <w:w w:val="95"/>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March 26, 2003</w:t>
            </w:r>
          </w:p>
        </w:tc>
      </w:tr>
      <w:tr>
        <w:trPr>
          <w:trHeight w:val="79"/>
        </w:trPr>
        <w:tc>
          <w:tcPr>
            <w:tcW w:w="5400" w:type="dxa"/>
            <w:vAlign w:val="bottom"/>
            <w:tcBorders>
              <w:bottom w:val="single" w:sz="8" w:color="808080"/>
            </w:tcBorders>
          </w:tcPr>
          <w:p>
            <w:pPr>
              <w:spacing w:after="0"/>
              <w:rPr>
                <w:sz w:val="6"/>
                <w:szCs w:val="6"/>
                <w:color w:val="auto"/>
              </w:rPr>
            </w:pPr>
          </w:p>
        </w:tc>
        <w:tc>
          <w:tcPr>
            <w:tcW w:w="46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37"/>
        </w:trPr>
        <w:tc>
          <w:tcPr>
            <w:tcW w:w="5400" w:type="dxa"/>
            <w:vAlign w:val="bottom"/>
          </w:tcPr>
          <w:p>
            <w:pPr>
              <w:jc w:val="center"/>
              <w:spacing w:after="0"/>
              <w:rPr>
                <w:sz w:val="20"/>
                <w:szCs w:val="20"/>
                <w:color w:val="auto"/>
              </w:rPr>
            </w:pPr>
            <w:r>
              <w:rPr>
                <w:rFonts w:ascii="Arial" w:cs="Arial" w:eastAsia="Arial" w:hAnsi="Arial"/>
                <w:sz w:val="15"/>
                <w:szCs w:val="15"/>
                <w:color w:val="auto"/>
                <w:w w:val="91"/>
              </w:rPr>
              <w:t>Sheldon M. Bonovitz</w:t>
            </w:r>
          </w:p>
        </w:tc>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9"/>
        </w:trPr>
        <w:tc>
          <w:tcPr>
            <w:tcW w:w="5400" w:type="dxa"/>
            <w:vAlign w:val="bottom"/>
          </w:tcPr>
          <w:p>
            <w:pPr>
              <w:jc w:val="center"/>
              <w:spacing w:after="0"/>
              <w:rPr>
                <w:sz w:val="20"/>
                <w:szCs w:val="20"/>
                <w:color w:val="auto"/>
              </w:rPr>
            </w:pPr>
            <w:r>
              <w:rPr>
                <w:rFonts w:ascii="Arial" w:cs="Arial" w:eastAsia="Arial" w:hAnsi="Arial"/>
                <w:sz w:val="15"/>
                <w:szCs w:val="15"/>
                <w:color w:val="auto"/>
                <w:w w:val="92"/>
              </w:rPr>
              <w:t>/s/ JOSEPH L. CASTLE, II</w:t>
            </w:r>
          </w:p>
        </w:tc>
        <w:tc>
          <w:tcPr>
            <w:tcW w:w="4620" w:type="dxa"/>
            <w:vAlign w:val="bottom"/>
          </w:tcPr>
          <w:p>
            <w:pPr>
              <w:jc w:val="center"/>
              <w:ind w:left="7"/>
              <w:spacing w:after="0"/>
              <w:rPr>
                <w:sz w:val="20"/>
                <w:szCs w:val="20"/>
                <w:color w:val="auto"/>
              </w:rPr>
            </w:pPr>
            <w:r>
              <w:rPr>
                <w:rFonts w:ascii="Arial" w:cs="Arial" w:eastAsia="Arial" w:hAnsi="Arial"/>
                <w:sz w:val="15"/>
                <w:szCs w:val="15"/>
                <w:color w:val="auto"/>
                <w:w w:val="95"/>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March 26, 2003</w:t>
            </w:r>
          </w:p>
        </w:tc>
      </w:tr>
      <w:tr>
        <w:trPr>
          <w:trHeight w:val="79"/>
        </w:trPr>
        <w:tc>
          <w:tcPr>
            <w:tcW w:w="5400" w:type="dxa"/>
            <w:vAlign w:val="bottom"/>
            <w:tcBorders>
              <w:bottom w:val="single" w:sz="8" w:color="808080"/>
            </w:tcBorders>
          </w:tcPr>
          <w:p>
            <w:pPr>
              <w:spacing w:after="0"/>
              <w:rPr>
                <w:sz w:val="6"/>
                <w:szCs w:val="6"/>
                <w:color w:val="auto"/>
              </w:rPr>
            </w:pPr>
          </w:p>
        </w:tc>
        <w:tc>
          <w:tcPr>
            <w:tcW w:w="46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37"/>
        </w:trPr>
        <w:tc>
          <w:tcPr>
            <w:tcW w:w="5400" w:type="dxa"/>
            <w:vAlign w:val="bottom"/>
          </w:tcPr>
          <w:p>
            <w:pPr>
              <w:jc w:val="center"/>
              <w:spacing w:after="0"/>
              <w:rPr>
                <w:sz w:val="20"/>
                <w:szCs w:val="20"/>
                <w:color w:val="auto"/>
              </w:rPr>
            </w:pPr>
            <w:r>
              <w:rPr>
                <w:rFonts w:ascii="Arial" w:cs="Arial" w:eastAsia="Arial" w:hAnsi="Arial"/>
                <w:sz w:val="15"/>
                <w:szCs w:val="15"/>
                <w:color w:val="auto"/>
                <w:w w:val="88"/>
              </w:rPr>
              <w:t>Joseph L. Castle, II</w:t>
            </w:r>
          </w:p>
        </w:tc>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9"/>
        </w:trPr>
        <w:tc>
          <w:tcPr>
            <w:tcW w:w="5400" w:type="dxa"/>
            <w:vAlign w:val="bottom"/>
          </w:tcPr>
          <w:p>
            <w:pPr>
              <w:jc w:val="center"/>
              <w:spacing w:after="0"/>
              <w:rPr>
                <w:sz w:val="20"/>
                <w:szCs w:val="20"/>
                <w:color w:val="auto"/>
              </w:rPr>
            </w:pPr>
            <w:r>
              <w:rPr>
                <w:rFonts w:ascii="Arial" w:cs="Arial" w:eastAsia="Arial" w:hAnsi="Arial"/>
                <w:sz w:val="15"/>
                <w:szCs w:val="15"/>
                <w:color w:val="auto"/>
                <w:w w:val="94"/>
              </w:rPr>
              <w:t>/s/ J. MICHAEL COOK</w:t>
            </w:r>
          </w:p>
        </w:tc>
        <w:tc>
          <w:tcPr>
            <w:tcW w:w="4620" w:type="dxa"/>
            <w:vAlign w:val="bottom"/>
          </w:tcPr>
          <w:p>
            <w:pPr>
              <w:jc w:val="center"/>
              <w:ind w:left="7"/>
              <w:spacing w:after="0"/>
              <w:rPr>
                <w:sz w:val="20"/>
                <w:szCs w:val="20"/>
                <w:color w:val="auto"/>
              </w:rPr>
            </w:pPr>
            <w:r>
              <w:rPr>
                <w:rFonts w:ascii="Arial" w:cs="Arial" w:eastAsia="Arial" w:hAnsi="Arial"/>
                <w:sz w:val="15"/>
                <w:szCs w:val="15"/>
                <w:color w:val="auto"/>
                <w:w w:val="95"/>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March 26, 2003</w:t>
            </w:r>
          </w:p>
        </w:tc>
      </w:tr>
      <w:tr>
        <w:trPr>
          <w:trHeight w:val="79"/>
        </w:trPr>
        <w:tc>
          <w:tcPr>
            <w:tcW w:w="5400" w:type="dxa"/>
            <w:vAlign w:val="bottom"/>
            <w:tcBorders>
              <w:bottom w:val="single" w:sz="8" w:color="808080"/>
            </w:tcBorders>
          </w:tcPr>
          <w:p>
            <w:pPr>
              <w:spacing w:after="0"/>
              <w:rPr>
                <w:sz w:val="6"/>
                <w:szCs w:val="6"/>
                <w:color w:val="auto"/>
              </w:rPr>
            </w:pPr>
          </w:p>
        </w:tc>
        <w:tc>
          <w:tcPr>
            <w:tcW w:w="46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37"/>
        </w:trPr>
        <w:tc>
          <w:tcPr>
            <w:tcW w:w="5400" w:type="dxa"/>
            <w:vAlign w:val="bottom"/>
          </w:tcPr>
          <w:p>
            <w:pPr>
              <w:jc w:val="center"/>
              <w:spacing w:after="0"/>
              <w:rPr>
                <w:sz w:val="20"/>
                <w:szCs w:val="20"/>
                <w:color w:val="auto"/>
              </w:rPr>
            </w:pPr>
            <w:r>
              <w:rPr>
                <w:rFonts w:ascii="Arial" w:cs="Arial" w:eastAsia="Arial" w:hAnsi="Arial"/>
                <w:sz w:val="15"/>
                <w:szCs w:val="15"/>
                <w:color w:val="auto"/>
                <w:w w:val="89"/>
              </w:rPr>
              <w:t>J. Michael Cook</w:t>
            </w:r>
          </w:p>
        </w:tc>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9"/>
        </w:trPr>
        <w:tc>
          <w:tcPr>
            <w:tcW w:w="5400" w:type="dxa"/>
            <w:vAlign w:val="bottom"/>
          </w:tcPr>
          <w:p>
            <w:pPr>
              <w:jc w:val="center"/>
              <w:spacing w:after="0"/>
              <w:rPr>
                <w:sz w:val="20"/>
                <w:szCs w:val="20"/>
                <w:color w:val="auto"/>
              </w:rPr>
            </w:pPr>
            <w:r>
              <w:rPr>
                <w:rFonts w:ascii="Arial" w:cs="Arial" w:eastAsia="Arial" w:hAnsi="Arial"/>
                <w:sz w:val="15"/>
                <w:szCs w:val="15"/>
                <w:color w:val="auto"/>
                <w:w w:val="93"/>
              </w:rPr>
              <w:t>/s/ DR. JUDITH RODIN</w:t>
            </w:r>
          </w:p>
        </w:tc>
        <w:tc>
          <w:tcPr>
            <w:tcW w:w="4620" w:type="dxa"/>
            <w:vAlign w:val="bottom"/>
          </w:tcPr>
          <w:p>
            <w:pPr>
              <w:jc w:val="center"/>
              <w:ind w:left="7"/>
              <w:spacing w:after="0"/>
              <w:rPr>
                <w:sz w:val="20"/>
                <w:szCs w:val="20"/>
                <w:color w:val="auto"/>
              </w:rPr>
            </w:pPr>
            <w:r>
              <w:rPr>
                <w:rFonts w:ascii="Arial" w:cs="Arial" w:eastAsia="Arial" w:hAnsi="Arial"/>
                <w:sz w:val="15"/>
                <w:szCs w:val="15"/>
                <w:color w:val="auto"/>
                <w:w w:val="95"/>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March 26, 2003</w:t>
            </w:r>
          </w:p>
        </w:tc>
      </w:tr>
      <w:tr>
        <w:trPr>
          <w:trHeight w:val="79"/>
        </w:trPr>
        <w:tc>
          <w:tcPr>
            <w:tcW w:w="5400" w:type="dxa"/>
            <w:vAlign w:val="bottom"/>
            <w:tcBorders>
              <w:bottom w:val="single" w:sz="8" w:color="808080"/>
            </w:tcBorders>
          </w:tcPr>
          <w:p>
            <w:pPr>
              <w:spacing w:after="0"/>
              <w:rPr>
                <w:sz w:val="6"/>
                <w:szCs w:val="6"/>
                <w:color w:val="auto"/>
              </w:rPr>
            </w:pPr>
          </w:p>
        </w:tc>
        <w:tc>
          <w:tcPr>
            <w:tcW w:w="46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37"/>
        </w:trPr>
        <w:tc>
          <w:tcPr>
            <w:tcW w:w="5400" w:type="dxa"/>
            <w:vAlign w:val="bottom"/>
          </w:tcPr>
          <w:p>
            <w:pPr>
              <w:jc w:val="center"/>
              <w:spacing w:after="0"/>
              <w:rPr>
                <w:sz w:val="20"/>
                <w:szCs w:val="20"/>
                <w:color w:val="auto"/>
              </w:rPr>
            </w:pPr>
            <w:r>
              <w:rPr>
                <w:rFonts w:ascii="Arial" w:cs="Arial" w:eastAsia="Arial" w:hAnsi="Arial"/>
                <w:sz w:val="15"/>
                <w:szCs w:val="15"/>
                <w:color w:val="auto"/>
                <w:w w:val="91"/>
              </w:rPr>
              <w:t>Dr. Judith Rodin</w:t>
            </w:r>
          </w:p>
        </w:tc>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9"/>
        </w:trPr>
        <w:tc>
          <w:tcPr>
            <w:tcW w:w="5400" w:type="dxa"/>
            <w:vAlign w:val="bottom"/>
          </w:tcPr>
          <w:p>
            <w:pPr>
              <w:jc w:val="center"/>
              <w:spacing w:after="0"/>
              <w:rPr>
                <w:sz w:val="20"/>
                <w:szCs w:val="20"/>
                <w:color w:val="auto"/>
              </w:rPr>
            </w:pPr>
            <w:r>
              <w:rPr>
                <w:rFonts w:ascii="Arial" w:cs="Arial" w:eastAsia="Arial" w:hAnsi="Arial"/>
                <w:sz w:val="15"/>
                <w:szCs w:val="15"/>
                <w:color w:val="auto"/>
                <w:w w:val="93"/>
              </w:rPr>
              <w:t>/s/ LOUIS A. SIMPSON</w:t>
            </w:r>
          </w:p>
        </w:tc>
        <w:tc>
          <w:tcPr>
            <w:tcW w:w="4620" w:type="dxa"/>
            <w:vAlign w:val="bottom"/>
          </w:tcPr>
          <w:p>
            <w:pPr>
              <w:jc w:val="center"/>
              <w:ind w:left="7"/>
              <w:spacing w:after="0"/>
              <w:rPr>
                <w:sz w:val="20"/>
                <w:szCs w:val="20"/>
                <w:color w:val="auto"/>
              </w:rPr>
            </w:pPr>
            <w:r>
              <w:rPr>
                <w:rFonts w:ascii="Arial" w:cs="Arial" w:eastAsia="Arial" w:hAnsi="Arial"/>
                <w:sz w:val="15"/>
                <w:szCs w:val="15"/>
                <w:color w:val="auto"/>
                <w:w w:val="95"/>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March 26, 2003</w:t>
            </w:r>
          </w:p>
        </w:tc>
      </w:tr>
      <w:tr>
        <w:trPr>
          <w:trHeight w:val="79"/>
        </w:trPr>
        <w:tc>
          <w:tcPr>
            <w:tcW w:w="5400" w:type="dxa"/>
            <w:vAlign w:val="bottom"/>
            <w:tcBorders>
              <w:bottom w:val="single" w:sz="8" w:color="808080"/>
            </w:tcBorders>
          </w:tcPr>
          <w:p>
            <w:pPr>
              <w:spacing w:after="0"/>
              <w:rPr>
                <w:sz w:val="6"/>
                <w:szCs w:val="6"/>
                <w:color w:val="auto"/>
              </w:rPr>
            </w:pPr>
          </w:p>
        </w:tc>
        <w:tc>
          <w:tcPr>
            <w:tcW w:w="46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37"/>
        </w:trPr>
        <w:tc>
          <w:tcPr>
            <w:tcW w:w="5400" w:type="dxa"/>
            <w:vAlign w:val="bottom"/>
          </w:tcPr>
          <w:p>
            <w:pPr>
              <w:jc w:val="center"/>
              <w:spacing w:after="0"/>
              <w:rPr>
                <w:sz w:val="20"/>
                <w:szCs w:val="20"/>
                <w:color w:val="auto"/>
              </w:rPr>
            </w:pPr>
            <w:r>
              <w:rPr>
                <w:rFonts w:ascii="Arial" w:cs="Arial" w:eastAsia="Arial" w:hAnsi="Arial"/>
                <w:sz w:val="15"/>
                <w:szCs w:val="15"/>
                <w:color w:val="auto"/>
                <w:w w:val="90"/>
              </w:rPr>
              <w:t>Louis A. Simpson</w:t>
            </w:r>
          </w:p>
        </w:tc>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9"/>
        </w:trPr>
        <w:tc>
          <w:tcPr>
            <w:tcW w:w="5400" w:type="dxa"/>
            <w:vAlign w:val="bottom"/>
          </w:tcPr>
          <w:p>
            <w:pPr>
              <w:jc w:val="center"/>
              <w:spacing w:after="0"/>
              <w:rPr>
                <w:sz w:val="20"/>
                <w:szCs w:val="20"/>
                <w:color w:val="auto"/>
              </w:rPr>
            </w:pPr>
            <w:r>
              <w:rPr>
                <w:rFonts w:ascii="Arial" w:cs="Arial" w:eastAsia="Arial" w:hAnsi="Arial"/>
                <w:sz w:val="15"/>
                <w:szCs w:val="15"/>
                <w:color w:val="auto"/>
                <w:w w:val="94"/>
              </w:rPr>
              <w:t>/s/ MICHAEL I. SOVERN</w:t>
            </w:r>
          </w:p>
        </w:tc>
        <w:tc>
          <w:tcPr>
            <w:tcW w:w="4620" w:type="dxa"/>
            <w:vAlign w:val="bottom"/>
          </w:tcPr>
          <w:p>
            <w:pPr>
              <w:jc w:val="center"/>
              <w:ind w:left="7"/>
              <w:spacing w:after="0"/>
              <w:rPr>
                <w:sz w:val="20"/>
                <w:szCs w:val="20"/>
                <w:color w:val="auto"/>
              </w:rPr>
            </w:pPr>
            <w:r>
              <w:rPr>
                <w:rFonts w:ascii="Arial" w:cs="Arial" w:eastAsia="Arial" w:hAnsi="Arial"/>
                <w:sz w:val="15"/>
                <w:szCs w:val="15"/>
                <w:color w:val="auto"/>
                <w:w w:val="95"/>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March 26, 2003</w:t>
            </w:r>
          </w:p>
        </w:tc>
      </w:tr>
      <w:tr>
        <w:trPr>
          <w:trHeight w:val="79"/>
        </w:trPr>
        <w:tc>
          <w:tcPr>
            <w:tcW w:w="5400" w:type="dxa"/>
            <w:vAlign w:val="bottom"/>
            <w:tcBorders>
              <w:bottom w:val="single" w:sz="8" w:color="808080"/>
            </w:tcBorders>
          </w:tcPr>
          <w:p>
            <w:pPr>
              <w:spacing w:after="0"/>
              <w:rPr>
                <w:sz w:val="6"/>
                <w:szCs w:val="6"/>
                <w:color w:val="auto"/>
              </w:rPr>
            </w:pPr>
          </w:p>
        </w:tc>
        <w:tc>
          <w:tcPr>
            <w:tcW w:w="46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37"/>
        </w:trPr>
        <w:tc>
          <w:tcPr>
            <w:tcW w:w="5400" w:type="dxa"/>
            <w:vAlign w:val="bottom"/>
          </w:tcPr>
          <w:p>
            <w:pPr>
              <w:jc w:val="center"/>
              <w:spacing w:after="0"/>
              <w:rPr>
                <w:sz w:val="20"/>
                <w:szCs w:val="20"/>
                <w:color w:val="auto"/>
              </w:rPr>
            </w:pPr>
            <w:r>
              <w:rPr>
                <w:rFonts w:ascii="Arial" w:cs="Arial" w:eastAsia="Arial" w:hAnsi="Arial"/>
                <w:sz w:val="15"/>
                <w:szCs w:val="15"/>
                <w:color w:val="auto"/>
                <w:w w:val="91"/>
              </w:rPr>
              <w:t>Michael I. Sovern</w:t>
            </w:r>
          </w:p>
        </w:tc>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9"/>
        </w:trPr>
        <w:tc>
          <w:tcPr>
            <w:tcW w:w="5400" w:type="dxa"/>
            <w:vAlign w:val="bottom"/>
          </w:tcPr>
          <w:p>
            <w:pPr>
              <w:spacing w:after="0"/>
              <w:rPr>
                <w:sz w:val="24"/>
                <w:szCs w:val="24"/>
                <w:color w:val="auto"/>
              </w:rPr>
            </w:pPr>
          </w:p>
        </w:tc>
        <w:tc>
          <w:tcPr>
            <w:tcW w:w="4620" w:type="dxa"/>
            <w:vAlign w:val="bottom"/>
          </w:tcPr>
          <w:p>
            <w:pPr>
              <w:ind w:left="200"/>
              <w:spacing w:after="0"/>
              <w:rPr>
                <w:sz w:val="20"/>
                <w:szCs w:val="20"/>
                <w:color w:val="auto"/>
              </w:rPr>
            </w:pPr>
            <w:r>
              <w:rPr>
                <w:rFonts w:ascii="Arial" w:cs="Arial" w:eastAsia="Arial" w:hAnsi="Arial"/>
                <w:sz w:val="15"/>
                <w:szCs w:val="15"/>
                <w:color w:val="auto"/>
              </w:rPr>
              <w:t>II-11</w:t>
            </w:r>
          </w:p>
        </w:tc>
        <w:tc>
          <w:tcPr>
            <w:tcW w:w="1440" w:type="dxa"/>
            <w:vAlign w:val="bottom"/>
          </w:tcPr>
          <w:p>
            <w:pPr>
              <w:spacing w:after="0"/>
              <w:rPr>
                <w:sz w:val="24"/>
                <w:szCs w:val="24"/>
                <w:color w:val="auto"/>
              </w:rPr>
            </w:pPr>
          </w:p>
        </w:tc>
      </w:tr>
      <w:tr>
        <w:trPr>
          <w:trHeight w:val="187"/>
        </w:trPr>
        <w:tc>
          <w:tcPr>
            <w:tcW w:w="5400" w:type="dxa"/>
            <w:vAlign w:val="bottom"/>
            <w:tcBorders>
              <w:bottom w:val="single" w:sz="8" w:color="808080"/>
            </w:tcBorders>
          </w:tcPr>
          <w:p>
            <w:pPr>
              <w:spacing w:after="0"/>
              <w:rPr>
                <w:sz w:val="16"/>
                <w:szCs w:val="16"/>
                <w:color w:val="auto"/>
              </w:rPr>
            </w:pPr>
          </w:p>
        </w:tc>
        <w:tc>
          <w:tcPr>
            <w:tcW w:w="462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 AND POWER OF ATTORNEY FOR COMCAST CABLE COMMUNICATIONS, INC.</w:t>
      </w:r>
    </w:p>
    <w:p>
      <w:pPr>
        <w:spacing w:after="0" w:line="213" w:lineRule="exact"/>
        <w:rPr>
          <w:sz w:val="20"/>
          <w:szCs w:val="20"/>
          <w:color w:val="auto"/>
        </w:rPr>
      </w:pPr>
    </w:p>
    <w:p>
      <w:pPr>
        <w:ind w:right="320" w:firstLine="269"/>
        <w:spacing w:after="0" w:line="258" w:lineRule="auto"/>
        <w:rPr>
          <w:sz w:val="20"/>
          <w:szCs w:val="20"/>
          <w:color w:val="auto"/>
        </w:rPr>
      </w:pPr>
      <w:r>
        <w:rPr>
          <w:rFonts w:ascii="Arial" w:cs="Arial" w:eastAsia="Arial" w:hAnsi="Arial"/>
          <w:sz w:val="15"/>
          <w:szCs w:val="15"/>
          <w:color w:val="auto"/>
        </w:rPr>
        <w:t>Pursuant to the requirements of the Securities Act of 1933, Comcast Cable Communications, Inc. certifies that it has reasonable grounds to believe that it meets all of the requirements for filing on Form S-3 and has duly caused this Registration Statement to be signed on its behalf by the undersigned, thereunto duly authorized in Philadelphia, Pennsylvania, on the 26th day of March, 2003.</w:t>
      </w:r>
    </w:p>
    <w:p>
      <w:pPr>
        <w:spacing w:after="0" w:line="16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COMCAST CABLE COMMUNICATIONS, INC.</w:t>
      </w:r>
    </w:p>
    <w:p>
      <w:pPr>
        <w:spacing w:after="0" w:line="209" w:lineRule="exact"/>
        <w:rPr>
          <w:sz w:val="20"/>
          <w:szCs w:val="20"/>
          <w:color w:val="auto"/>
        </w:rPr>
      </w:pPr>
    </w:p>
    <w:p>
      <w:pPr>
        <w:ind w:left="4580"/>
        <w:spacing w:after="0"/>
        <w:tabs>
          <w:tab w:leader="none" w:pos="74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80010</wp:posOffset>
            </wp:positionV>
            <wp:extent cx="435737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57370" cy="6985"/>
                    </a:xfrm>
                    <a:prstGeom prst="rect">
                      <a:avLst/>
                    </a:prstGeom>
                    <a:noFill/>
                  </pic:spPr>
                </pic:pic>
              </a:graphicData>
            </a:graphic>
          </wp:anchor>
        </w:drawing>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Arthur R. Block</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 xml:space="preserve">Title: </w:t>
      </w:r>
      <w:r>
        <w:rPr>
          <w:rFonts w:ascii="Arial" w:cs="Arial" w:eastAsia="Arial" w:hAnsi="Arial"/>
          <w:sz w:val="15"/>
          <w:szCs w:val="15"/>
          <w:i w:val="1"/>
          <w:iCs w:val="1"/>
          <w:color w:val="auto"/>
        </w:rPr>
        <w:t>Senior Vice President</w:t>
      </w:r>
    </w:p>
    <w:p>
      <w:pPr>
        <w:spacing w:after="0" w:line="231" w:lineRule="exact"/>
        <w:rPr>
          <w:sz w:val="20"/>
          <w:szCs w:val="20"/>
          <w:color w:val="auto"/>
        </w:rPr>
      </w:pPr>
    </w:p>
    <w:p>
      <w:pPr>
        <w:ind w:right="40" w:firstLine="269"/>
        <w:spacing w:after="0" w:line="273" w:lineRule="auto"/>
        <w:rPr>
          <w:sz w:val="20"/>
          <w:szCs w:val="20"/>
          <w:color w:val="auto"/>
        </w:rPr>
      </w:pPr>
      <w:r>
        <w:rPr>
          <w:rFonts w:ascii="Arial" w:cs="Arial" w:eastAsia="Arial" w:hAnsi="Arial"/>
          <w:sz w:val="14"/>
          <w:szCs w:val="14"/>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below by the following persons in the capacities and on the dates indicated.</w:t>
      </w:r>
    </w:p>
    <w:p>
      <w:pPr>
        <w:spacing w:after="0" w:line="374" w:lineRule="exact"/>
        <w:rPr>
          <w:sz w:val="20"/>
          <w:szCs w:val="20"/>
          <w:color w:val="auto"/>
        </w:rPr>
      </w:pPr>
    </w:p>
    <w:p>
      <w:pPr>
        <w:ind w:left="2480"/>
        <w:spacing w:after="0"/>
        <w:tabs>
          <w:tab w:leader="none" w:pos="7520" w:val="left"/>
          <w:tab w:leader="none" w:pos="1054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62230</wp:posOffset>
            </wp:positionV>
            <wp:extent cx="727011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jc w:val="center"/>
              <w:spacing w:after="0"/>
              <w:rPr>
                <w:sz w:val="20"/>
                <w:szCs w:val="20"/>
                <w:color w:val="auto"/>
              </w:rPr>
            </w:pPr>
            <w:r>
              <w:rPr>
                <w:rFonts w:ascii="Arial" w:cs="Arial" w:eastAsia="Arial" w:hAnsi="Arial"/>
                <w:sz w:val="15"/>
                <w:szCs w:val="15"/>
                <w:color w:val="auto"/>
                <w:w w:val="91"/>
              </w:rPr>
              <w:t>/s/ BRIAN L. ROBERTS</w:t>
            </w:r>
          </w:p>
        </w:tc>
        <w:tc>
          <w:tcPr>
            <w:tcW w:w="4420" w:type="dxa"/>
            <w:vAlign w:val="bottom"/>
          </w:tcPr>
          <w:p>
            <w:pPr>
              <w:jc w:val="center"/>
              <w:spacing w:after="0"/>
              <w:rPr>
                <w:sz w:val="20"/>
                <w:szCs w:val="20"/>
                <w:color w:val="auto"/>
              </w:rPr>
            </w:pPr>
            <w:r>
              <w:rPr>
                <w:rFonts w:ascii="Arial" w:cs="Arial" w:eastAsia="Arial" w:hAnsi="Arial"/>
                <w:sz w:val="15"/>
                <w:szCs w:val="15"/>
                <w:color w:val="auto"/>
                <w:w w:val="90"/>
              </w:rPr>
              <w:t>Chairman (Principal Executive Officer); Director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90"/>
              </w:rPr>
              <w:t>Brian L. Roberts</w:t>
            </w:r>
          </w:p>
        </w:tc>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5420" w:type="dxa"/>
            <w:vAlign w:val="bottom"/>
          </w:tcPr>
          <w:p>
            <w:pPr>
              <w:jc w:val="center"/>
              <w:spacing w:after="0"/>
              <w:rPr>
                <w:sz w:val="20"/>
                <w:szCs w:val="20"/>
                <w:color w:val="auto"/>
              </w:rPr>
            </w:pPr>
            <w:r>
              <w:rPr>
                <w:rFonts w:ascii="Arial" w:cs="Arial" w:eastAsia="Arial" w:hAnsi="Arial"/>
                <w:sz w:val="15"/>
                <w:szCs w:val="15"/>
                <w:color w:val="auto"/>
                <w:w w:val="92"/>
              </w:rPr>
              <w:t>/s/ LAWRENCE S. SMITH</w:t>
            </w:r>
          </w:p>
        </w:tc>
        <w:tc>
          <w:tcPr>
            <w:tcW w:w="4420" w:type="dxa"/>
            <w:vAlign w:val="bottom"/>
          </w:tcPr>
          <w:p>
            <w:pPr>
              <w:jc w:val="center"/>
              <w:spacing w:after="0"/>
              <w:rPr>
                <w:sz w:val="20"/>
                <w:szCs w:val="20"/>
                <w:color w:val="auto"/>
              </w:rPr>
            </w:pPr>
            <w:r>
              <w:rPr>
                <w:rFonts w:ascii="Arial" w:cs="Arial" w:eastAsia="Arial" w:hAnsi="Arial"/>
                <w:sz w:val="15"/>
                <w:szCs w:val="15"/>
                <w:color w:val="auto"/>
                <w:w w:val="90"/>
              </w:rPr>
              <w:t>Executive Vice President (Co-Principal Financial Officer);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86"/>
        </w:trPr>
        <w:tc>
          <w:tcPr>
            <w:tcW w:w="5420" w:type="dxa"/>
            <w:vAlign w:val="bottom"/>
            <w:tcBorders>
              <w:bottom w:val="single" w:sz="8" w:color="808080"/>
            </w:tcBorders>
          </w:tcPr>
          <w:p>
            <w:pPr>
              <w:spacing w:after="0"/>
              <w:rPr>
                <w:sz w:val="7"/>
                <w:szCs w:val="7"/>
                <w:color w:val="auto"/>
              </w:rPr>
            </w:pPr>
          </w:p>
        </w:tc>
        <w:tc>
          <w:tcPr>
            <w:tcW w:w="4420" w:type="dxa"/>
            <w:vAlign w:val="bottom"/>
            <w:vMerge w:val="restart"/>
          </w:tcPr>
          <w:p>
            <w:pPr>
              <w:jc w:val="center"/>
              <w:spacing w:after="0"/>
              <w:rPr>
                <w:sz w:val="20"/>
                <w:szCs w:val="20"/>
                <w:color w:val="auto"/>
              </w:rPr>
            </w:pPr>
            <w:r>
              <w:rPr>
                <w:rFonts w:ascii="Arial" w:cs="Arial" w:eastAsia="Arial" w:hAnsi="Arial"/>
                <w:sz w:val="15"/>
                <w:szCs w:val="15"/>
                <w:color w:val="auto"/>
                <w:w w:val="91"/>
              </w:rPr>
              <w:t>Director</w:t>
            </w: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420" w:type="dxa"/>
            <w:vAlign w:val="bottom"/>
            <w:vMerge w:val="restart"/>
          </w:tcPr>
          <w:p>
            <w:pPr>
              <w:jc w:val="center"/>
              <w:spacing w:after="0"/>
              <w:rPr>
                <w:sz w:val="20"/>
                <w:szCs w:val="20"/>
                <w:color w:val="auto"/>
              </w:rPr>
            </w:pPr>
            <w:r>
              <w:rPr>
                <w:rFonts w:ascii="Arial" w:cs="Arial" w:eastAsia="Arial" w:hAnsi="Arial"/>
                <w:sz w:val="15"/>
                <w:szCs w:val="15"/>
                <w:color w:val="auto"/>
                <w:w w:val="87"/>
              </w:rPr>
              <w:t>Lawrence S. Smith</w:t>
            </w:r>
          </w:p>
        </w:tc>
        <w:tc>
          <w:tcPr>
            <w:tcW w:w="442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20" w:type="dxa"/>
            <w:vAlign w:val="bottom"/>
            <w:vMerge w:val="continue"/>
          </w:tcPr>
          <w:p>
            <w:pPr>
              <w:spacing w:after="0"/>
              <w:rPr>
                <w:sz w:val="13"/>
                <w:szCs w:val="13"/>
                <w:color w:val="auto"/>
              </w:rPr>
            </w:pPr>
          </w:p>
        </w:tc>
        <w:tc>
          <w:tcPr>
            <w:tcW w:w="44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5420" w:type="dxa"/>
            <w:vAlign w:val="bottom"/>
          </w:tcPr>
          <w:p>
            <w:pPr>
              <w:jc w:val="center"/>
              <w:spacing w:after="0"/>
              <w:rPr>
                <w:sz w:val="20"/>
                <w:szCs w:val="20"/>
                <w:color w:val="auto"/>
              </w:rPr>
            </w:pPr>
            <w:r>
              <w:rPr>
                <w:rFonts w:ascii="Arial" w:cs="Arial" w:eastAsia="Arial" w:hAnsi="Arial"/>
                <w:sz w:val="15"/>
                <w:szCs w:val="15"/>
                <w:color w:val="auto"/>
                <w:w w:val="93"/>
              </w:rPr>
              <w:t>/s/ JOHN R. ALCHIN</w:t>
            </w:r>
          </w:p>
        </w:tc>
        <w:tc>
          <w:tcPr>
            <w:tcW w:w="4420" w:type="dxa"/>
            <w:vAlign w:val="bottom"/>
          </w:tcPr>
          <w:p>
            <w:pPr>
              <w:jc w:val="center"/>
              <w:spacing w:after="0"/>
              <w:rPr>
                <w:sz w:val="20"/>
                <w:szCs w:val="20"/>
                <w:color w:val="auto"/>
              </w:rPr>
            </w:pPr>
            <w:r>
              <w:rPr>
                <w:rFonts w:ascii="Arial" w:cs="Arial" w:eastAsia="Arial" w:hAnsi="Arial"/>
                <w:sz w:val="15"/>
                <w:szCs w:val="15"/>
                <w:color w:val="auto"/>
                <w:w w:val="88"/>
              </w:rPr>
              <w:t>Executive Vice President and Treasurer (Co-Principal Financial</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86"/>
        </w:trPr>
        <w:tc>
          <w:tcPr>
            <w:tcW w:w="5420" w:type="dxa"/>
            <w:vAlign w:val="bottom"/>
            <w:tcBorders>
              <w:bottom w:val="single" w:sz="8" w:color="808080"/>
            </w:tcBorders>
          </w:tcPr>
          <w:p>
            <w:pPr>
              <w:spacing w:after="0"/>
              <w:rPr>
                <w:sz w:val="7"/>
                <w:szCs w:val="7"/>
                <w:color w:val="auto"/>
              </w:rPr>
            </w:pPr>
          </w:p>
        </w:tc>
        <w:tc>
          <w:tcPr>
            <w:tcW w:w="4420" w:type="dxa"/>
            <w:vAlign w:val="bottom"/>
            <w:vMerge w:val="restart"/>
          </w:tcPr>
          <w:p>
            <w:pPr>
              <w:jc w:val="center"/>
              <w:spacing w:after="0"/>
              <w:rPr>
                <w:sz w:val="20"/>
                <w:szCs w:val="20"/>
                <w:color w:val="auto"/>
              </w:rPr>
            </w:pPr>
            <w:r>
              <w:rPr>
                <w:rFonts w:ascii="Arial" w:cs="Arial" w:eastAsia="Arial" w:hAnsi="Arial"/>
                <w:sz w:val="15"/>
                <w:szCs w:val="15"/>
                <w:color w:val="auto"/>
                <w:w w:val="93"/>
              </w:rPr>
              <w:t>Officer)</w:t>
            </w: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420" w:type="dxa"/>
            <w:vAlign w:val="bottom"/>
            <w:vMerge w:val="restart"/>
          </w:tcPr>
          <w:p>
            <w:pPr>
              <w:jc w:val="center"/>
              <w:spacing w:after="0"/>
              <w:rPr>
                <w:sz w:val="20"/>
                <w:szCs w:val="20"/>
                <w:color w:val="auto"/>
              </w:rPr>
            </w:pPr>
            <w:r>
              <w:rPr>
                <w:rFonts w:ascii="Arial" w:cs="Arial" w:eastAsia="Arial" w:hAnsi="Arial"/>
                <w:sz w:val="15"/>
                <w:szCs w:val="15"/>
                <w:color w:val="auto"/>
                <w:w w:val="90"/>
              </w:rPr>
              <w:t>John R. Alchin</w:t>
            </w:r>
          </w:p>
        </w:tc>
        <w:tc>
          <w:tcPr>
            <w:tcW w:w="442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20" w:type="dxa"/>
            <w:vAlign w:val="bottom"/>
            <w:vMerge w:val="continue"/>
          </w:tcPr>
          <w:p>
            <w:pPr>
              <w:spacing w:after="0"/>
              <w:rPr>
                <w:sz w:val="13"/>
                <w:szCs w:val="13"/>
                <w:color w:val="auto"/>
              </w:rPr>
            </w:pPr>
          </w:p>
        </w:tc>
        <w:tc>
          <w:tcPr>
            <w:tcW w:w="44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5"/>
              </w:rPr>
              <w:t>/s/ DAVID L. COHEN</w:t>
            </w:r>
          </w:p>
        </w:tc>
        <w:tc>
          <w:tcPr>
            <w:tcW w:w="4420" w:type="dxa"/>
            <w:vAlign w:val="bottom"/>
          </w:tcPr>
          <w:p>
            <w:pPr>
              <w:jc w:val="center"/>
              <w:spacing w:after="0"/>
              <w:rPr>
                <w:sz w:val="20"/>
                <w:szCs w:val="20"/>
                <w:color w:val="auto"/>
              </w:rPr>
            </w:pPr>
            <w:r>
              <w:rPr>
                <w:rFonts w:ascii="Arial" w:cs="Arial" w:eastAsia="Arial" w:hAnsi="Arial"/>
                <w:sz w:val="15"/>
                <w:szCs w:val="15"/>
                <w:color w:val="auto"/>
                <w:w w:val="89"/>
              </w:rPr>
              <w:t>Executive Vice President; Director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90"/>
              </w:rPr>
              <w:t>David L. Cohen</w:t>
            </w:r>
          </w:p>
        </w:tc>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3"/>
              </w:rPr>
              <w:t>/s/ ARTHUR R. BLOCK</w:t>
            </w:r>
          </w:p>
        </w:tc>
        <w:tc>
          <w:tcPr>
            <w:tcW w:w="4420" w:type="dxa"/>
            <w:vAlign w:val="bottom"/>
          </w:tcPr>
          <w:p>
            <w:pPr>
              <w:jc w:val="center"/>
              <w:spacing w:after="0"/>
              <w:rPr>
                <w:sz w:val="20"/>
                <w:szCs w:val="20"/>
                <w:color w:val="auto"/>
              </w:rPr>
            </w:pPr>
            <w:r>
              <w:rPr>
                <w:rFonts w:ascii="Arial" w:cs="Arial" w:eastAsia="Arial" w:hAnsi="Arial"/>
                <w:sz w:val="15"/>
                <w:szCs w:val="15"/>
                <w:color w:val="auto"/>
                <w:w w:val="88"/>
              </w:rPr>
              <w:t>Senior Vice President; Director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93"/>
              </w:rPr>
              <w:t>Arthur R. Block</w:t>
            </w:r>
          </w:p>
        </w:tc>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1"/>
              </w:rPr>
              <w:t>/s/ LAWRENCE J. SALVA</w:t>
            </w:r>
          </w:p>
        </w:tc>
        <w:tc>
          <w:tcPr>
            <w:tcW w:w="4420" w:type="dxa"/>
            <w:vAlign w:val="bottom"/>
          </w:tcPr>
          <w:p>
            <w:pPr>
              <w:jc w:val="center"/>
              <w:spacing w:after="0"/>
              <w:rPr>
                <w:sz w:val="20"/>
                <w:szCs w:val="20"/>
                <w:color w:val="auto"/>
              </w:rPr>
            </w:pPr>
            <w:r>
              <w:rPr>
                <w:rFonts w:ascii="Arial" w:cs="Arial" w:eastAsia="Arial" w:hAnsi="Arial"/>
                <w:sz w:val="15"/>
                <w:szCs w:val="15"/>
                <w:color w:val="auto"/>
                <w:w w:val="90"/>
              </w:rPr>
              <w:t>Senior Vice President (Principal Accounting Officer)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86"/>
              </w:rPr>
              <w:t>Lawrence J. Salva</w:t>
            </w:r>
          </w:p>
        </w:tc>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tcPr>
          <w:p>
            <w:pPr>
              <w:spacing w:after="0"/>
              <w:rPr>
                <w:sz w:val="24"/>
                <w:szCs w:val="24"/>
                <w:color w:val="auto"/>
              </w:rPr>
            </w:pPr>
          </w:p>
        </w:tc>
        <w:tc>
          <w:tcPr>
            <w:tcW w:w="4420" w:type="dxa"/>
            <w:vAlign w:val="bottom"/>
          </w:tcPr>
          <w:p>
            <w:pPr>
              <w:ind w:left="160"/>
              <w:spacing w:after="0"/>
              <w:rPr>
                <w:sz w:val="20"/>
                <w:szCs w:val="20"/>
                <w:color w:val="auto"/>
              </w:rPr>
            </w:pPr>
            <w:r>
              <w:rPr>
                <w:rFonts w:ascii="Arial" w:cs="Arial" w:eastAsia="Arial" w:hAnsi="Arial"/>
                <w:sz w:val="15"/>
                <w:szCs w:val="15"/>
                <w:color w:val="auto"/>
              </w:rPr>
              <w:t>II-12</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20" w:type="dxa"/>
            <w:vAlign w:val="bottom"/>
            <w:tcBorders>
              <w:bottom w:val="single" w:sz="8" w:color="808080"/>
            </w:tcBorders>
          </w:tcPr>
          <w:p>
            <w:pPr>
              <w:spacing w:after="0"/>
              <w:rPr>
                <w:sz w:val="16"/>
                <w:szCs w:val="16"/>
                <w:color w:val="auto"/>
              </w:rPr>
            </w:pPr>
          </w:p>
        </w:tc>
        <w:tc>
          <w:tcPr>
            <w:tcW w:w="442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 AND POWER OF ATTORNEY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COMCAST CABLE COMMUNICATIONS HOLDINGS, INC.</w:t>
      </w:r>
    </w:p>
    <w:p>
      <w:pPr>
        <w:spacing w:after="0" w:line="213" w:lineRule="exact"/>
        <w:rPr>
          <w:sz w:val="20"/>
          <w:szCs w:val="20"/>
          <w:color w:val="auto"/>
        </w:rPr>
      </w:pPr>
    </w:p>
    <w:p>
      <w:pPr>
        <w:ind w:right="120" w:firstLine="269"/>
        <w:spacing w:after="0" w:line="258" w:lineRule="auto"/>
        <w:rPr>
          <w:sz w:val="20"/>
          <w:szCs w:val="20"/>
          <w:color w:val="auto"/>
        </w:rPr>
      </w:pPr>
      <w:r>
        <w:rPr>
          <w:rFonts w:ascii="Arial" w:cs="Arial" w:eastAsia="Arial" w:hAnsi="Arial"/>
          <w:sz w:val="15"/>
          <w:szCs w:val="15"/>
          <w:color w:val="auto"/>
        </w:rPr>
        <w:t>Pursuant to the requirements of the Securities Act of 1933, Comcast Cable Communications Holdings, Inc. certifies that it has reasonable grounds to believe that it meets all of the requirements for filing on Form S-3 and has duly caused this Registration Statement to be signed on its behalf by the undersigned, thereunto duly authorized in Philadelphia, Pennsylvania, on the 26th day of March, 2003.</w:t>
      </w:r>
    </w:p>
    <w:p>
      <w:pPr>
        <w:spacing w:after="0" w:line="16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COMCAST CABLE COMMUNICATIONS</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HOLDINGS, INC.</w:t>
      </w:r>
    </w:p>
    <w:p>
      <w:pPr>
        <w:spacing w:after="0" w:line="180" w:lineRule="exact"/>
        <w:rPr>
          <w:sz w:val="20"/>
          <w:szCs w:val="20"/>
          <w:color w:val="auto"/>
        </w:rPr>
      </w:pPr>
    </w:p>
    <w:p>
      <w:pPr>
        <w:ind w:left="4580"/>
        <w:spacing w:after="0"/>
        <w:tabs>
          <w:tab w:leader="none" w:pos="74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80010</wp:posOffset>
            </wp:positionV>
            <wp:extent cx="435737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57370" cy="6985"/>
                    </a:xfrm>
                    <a:prstGeom prst="rect">
                      <a:avLst/>
                    </a:prstGeom>
                    <a:noFill/>
                  </pic:spPr>
                </pic:pic>
              </a:graphicData>
            </a:graphic>
          </wp:anchor>
        </w:drawing>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Arthur R. Block</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 xml:space="preserve">Title: </w:t>
      </w:r>
      <w:r>
        <w:rPr>
          <w:rFonts w:ascii="Arial" w:cs="Arial" w:eastAsia="Arial" w:hAnsi="Arial"/>
          <w:sz w:val="15"/>
          <w:szCs w:val="15"/>
          <w:i w:val="1"/>
          <w:iCs w:val="1"/>
          <w:color w:val="auto"/>
        </w:rPr>
        <w:t>Senior Vice President</w:t>
      </w:r>
    </w:p>
    <w:p>
      <w:pPr>
        <w:spacing w:after="0" w:line="231" w:lineRule="exact"/>
        <w:rPr>
          <w:sz w:val="20"/>
          <w:szCs w:val="20"/>
          <w:color w:val="auto"/>
        </w:rPr>
      </w:pPr>
    </w:p>
    <w:p>
      <w:pPr>
        <w:ind w:right="40" w:firstLine="269"/>
        <w:spacing w:after="0" w:line="273" w:lineRule="auto"/>
        <w:rPr>
          <w:sz w:val="20"/>
          <w:szCs w:val="20"/>
          <w:color w:val="auto"/>
        </w:rPr>
      </w:pPr>
      <w:r>
        <w:rPr>
          <w:rFonts w:ascii="Arial" w:cs="Arial" w:eastAsia="Arial" w:hAnsi="Arial"/>
          <w:sz w:val="14"/>
          <w:szCs w:val="14"/>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below by the following persons in the capacities and on the dates indicated.</w:t>
      </w:r>
    </w:p>
    <w:p>
      <w:pPr>
        <w:spacing w:after="0" w:line="374" w:lineRule="exact"/>
        <w:rPr>
          <w:sz w:val="20"/>
          <w:szCs w:val="20"/>
          <w:color w:val="auto"/>
        </w:rPr>
      </w:pPr>
    </w:p>
    <w:p>
      <w:pPr>
        <w:ind w:left="2480"/>
        <w:spacing w:after="0"/>
        <w:tabs>
          <w:tab w:leader="none" w:pos="7520" w:val="left"/>
          <w:tab w:leader="none" w:pos="1054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62230</wp:posOffset>
            </wp:positionV>
            <wp:extent cx="727011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jc w:val="center"/>
              <w:spacing w:after="0"/>
              <w:rPr>
                <w:sz w:val="20"/>
                <w:szCs w:val="20"/>
                <w:color w:val="auto"/>
              </w:rPr>
            </w:pPr>
            <w:r>
              <w:rPr>
                <w:rFonts w:ascii="Arial" w:cs="Arial" w:eastAsia="Arial" w:hAnsi="Arial"/>
                <w:sz w:val="15"/>
                <w:szCs w:val="15"/>
                <w:color w:val="auto"/>
                <w:w w:val="91"/>
              </w:rPr>
              <w:t>/s/ BRIAN L. ROBERTS</w:t>
            </w:r>
          </w:p>
        </w:tc>
        <w:tc>
          <w:tcPr>
            <w:tcW w:w="4420" w:type="dxa"/>
            <w:vAlign w:val="bottom"/>
          </w:tcPr>
          <w:p>
            <w:pPr>
              <w:jc w:val="center"/>
              <w:spacing w:after="0"/>
              <w:rPr>
                <w:sz w:val="20"/>
                <w:szCs w:val="20"/>
                <w:color w:val="auto"/>
              </w:rPr>
            </w:pPr>
            <w:r>
              <w:rPr>
                <w:rFonts w:ascii="Arial" w:cs="Arial" w:eastAsia="Arial" w:hAnsi="Arial"/>
                <w:sz w:val="15"/>
                <w:szCs w:val="15"/>
                <w:color w:val="auto"/>
                <w:w w:val="90"/>
              </w:rPr>
              <w:t>Chairman (Principal Executive Officer)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90"/>
              </w:rPr>
              <w:t>Brian L. Roberts</w:t>
            </w:r>
          </w:p>
        </w:tc>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5420" w:type="dxa"/>
            <w:vAlign w:val="bottom"/>
          </w:tcPr>
          <w:p>
            <w:pPr>
              <w:jc w:val="center"/>
              <w:spacing w:after="0"/>
              <w:rPr>
                <w:sz w:val="20"/>
                <w:szCs w:val="20"/>
                <w:color w:val="auto"/>
              </w:rPr>
            </w:pPr>
            <w:r>
              <w:rPr>
                <w:rFonts w:ascii="Arial" w:cs="Arial" w:eastAsia="Arial" w:hAnsi="Arial"/>
                <w:sz w:val="15"/>
                <w:szCs w:val="15"/>
                <w:color w:val="auto"/>
                <w:w w:val="92"/>
              </w:rPr>
              <w:t>/s/ LAWRENCE S. SMITH</w:t>
            </w:r>
          </w:p>
        </w:tc>
        <w:tc>
          <w:tcPr>
            <w:tcW w:w="4420" w:type="dxa"/>
            <w:vAlign w:val="bottom"/>
          </w:tcPr>
          <w:p>
            <w:pPr>
              <w:jc w:val="center"/>
              <w:spacing w:after="0"/>
              <w:rPr>
                <w:sz w:val="20"/>
                <w:szCs w:val="20"/>
                <w:color w:val="auto"/>
              </w:rPr>
            </w:pPr>
            <w:r>
              <w:rPr>
                <w:rFonts w:ascii="Arial" w:cs="Arial" w:eastAsia="Arial" w:hAnsi="Arial"/>
                <w:sz w:val="15"/>
                <w:szCs w:val="15"/>
                <w:color w:val="auto"/>
                <w:w w:val="90"/>
              </w:rPr>
              <w:t>Executive Vice President (Co-Principal Financial Officer);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86"/>
        </w:trPr>
        <w:tc>
          <w:tcPr>
            <w:tcW w:w="5420" w:type="dxa"/>
            <w:vAlign w:val="bottom"/>
            <w:tcBorders>
              <w:bottom w:val="single" w:sz="8" w:color="808080"/>
            </w:tcBorders>
          </w:tcPr>
          <w:p>
            <w:pPr>
              <w:spacing w:after="0"/>
              <w:rPr>
                <w:sz w:val="7"/>
                <w:szCs w:val="7"/>
                <w:color w:val="auto"/>
              </w:rPr>
            </w:pPr>
          </w:p>
        </w:tc>
        <w:tc>
          <w:tcPr>
            <w:tcW w:w="4420" w:type="dxa"/>
            <w:vAlign w:val="bottom"/>
            <w:vMerge w:val="restart"/>
          </w:tcPr>
          <w:p>
            <w:pPr>
              <w:jc w:val="center"/>
              <w:spacing w:after="0"/>
              <w:rPr>
                <w:sz w:val="20"/>
                <w:szCs w:val="20"/>
                <w:color w:val="auto"/>
              </w:rPr>
            </w:pPr>
            <w:r>
              <w:rPr>
                <w:rFonts w:ascii="Arial" w:cs="Arial" w:eastAsia="Arial" w:hAnsi="Arial"/>
                <w:sz w:val="15"/>
                <w:szCs w:val="15"/>
                <w:color w:val="auto"/>
                <w:w w:val="91"/>
              </w:rPr>
              <w:t>Director</w:t>
            </w: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420" w:type="dxa"/>
            <w:vAlign w:val="bottom"/>
            <w:vMerge w:val="restart"/>
          </w:tcPr>
          <w:p>
            <w:pPr>
              <w:jc w:val="center"/>
              <w:spacing w:after="0"/>
              <w:rPr>
                <w:sz w:val="20"/>
                <w:szCs w:val="20"/>
                <w:color w:val="auto"/>
              </w:rPr>
            </w:pPr>
            <w:r>
              <w:rPr>
                <w:rFonts w:ascii="Arial" w:cs="Arial" w:eastAsia="Arial" w:hAnsi="Arial"/>
                <w:sz w:val="15"/>
                <w:szCs w:val="15"/>
                <w:color w:val="auto"/>
                <w:w w:val="87"/>
              </w:rPr>
              <w:t>Lawrence S. Smith</w:t>
            </w:r>
          </w:p>
        </w:tc>
        <w:tc>
          <w:tcPr>
            <w:tcW w:w="442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20" w:type="dxa"/>
            <w:vAlign w:val="bottom"/>
            <w:vMerge w:val="continue"/>
          </w:tcPr>
          <w:p>
            <w:pPr>
              <w:spacing w:after="0"/>
              <w:rPr>
                <w:sz w:val="13"/>
                <w:szCs w:val="13"/>
                <w:color w:val="auto"/>
              </w:rPr>
            </w:pPr>
          </w:p>
        </w:tc>
        <w:tc>
          <w:tcPr>
            <w:tcW w:w="44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5420" w:type="dxa"/>
            <w:vAlign w:val="bottom"/>
          </w:tcPr>
          <w:p>
            <w:pPr>
              <w:jc w:val="center"/>
              <w:spacing w:after="0"/>
              <w:rPr>
                <w:sz w:val="20"/>
                <w:szCs w:val="20"/>
                <w:color w:val="auto"/>
              </w:rPr>
            </w:pPr>
            <w:r>
              <w:rPr>
                <w:rFonts w:ascii="Arial" w:cs="Arial" w:eastAsia="Arial" w:hAnsi="Arial"/>
                <w:sz w:val="15"/>
                <w:szCs w:val="15"/>
                <w:color w:val="auto"/>
                <w:w w:val="93"/>
              </w:rPr>
              <w:t>/s/ JOHN R. ALCHIN</w:t>
            </w:r>
          </w:p>
        </w:tc>
        <w:tc>
          <w:tcPr>
            <w:tcW w:w="4420" w:type="dxa"/>
            <w:vAlign w:val="bottom"/>
          </w:tcPr>
          <w:p>
            <w:pPr>
              <w:jc w:val="center"/>
              <w:spacing w:after="0"/>
              <w:rPr>
                <w:sz w:val="20"/>
                <w:szCs w:val="20"/>
                <w:color w:val="auto"/>
              </w:rPr>
            </w:pPr>
            <w:r>
              <w:rPr>
                <w:rFonts w:ascii="Arial" w:cs="Arial" w:eastAsia="Arial" w:hAnsi="Arial"/>
                <w:sz w:val="15"/>
                <w:szCs w:val="15"/>
                <w:color w:val="auto"/>
                <w:w w:val="88"/>
              </w:rPr>
              <w:t>Executive Vice President and Treasurer (Co-Principal Financial</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86"/>
        </w:trPr>
        <w:tc>
          <w:tcPr>
            <w:tcW w:w="5420" w:type="dxa"/>
            <w:vAlign w:val="bottom"/>
            <w:tcBorders>
              <w:bottom w:val="single" w:sz="8" w:color="808080"/>
            </w:tcBorders>
          </w:tcPr>
          <w:p>
            <w:pPr>
              <w:spacing w:after="0"/>
              <w:rPr>
                <w:sz w:val="7"/>
                <w:szCs w:val="7"/>
                <w:color w:val="auto"/>
              </w:rPr>
            </w:pPr>
          </w:p>
        </w:tc>
        <w:tc>
          <w:tcPr>
            <w:tcW w:w="4420" w:type="dxa"/>
            <w:vAlign w:val="bottom"/>
            <w:vMerge w:val="restart"/>
          </w:tcPr>
          <w:p>
            <w:pPr>
              <w:jc w:val="center"/>
              <w:spacing w:after="0"/>
              <w:rPr>
                <w:sz w:val="20"/>
                <w:szCs w:val="20"/>
                <w:color w:val="auto"/>
              </w:rPr>
            </w:pPr>
            <w:r>
              <w:rPr>
                <w:rFonts w:ascii="Arial" w:cs="Arial" w:eastAsia="Arial" w:hAnsi="Arial"/>
                <w:sz w:val="15"/>
                <w:szCs w:val="15"/>
                <w:color w:val="auto"/>
                <w:w w:val="93"/>
              </w:rPr>
              <w:t>Officer)</w:t>
            </w: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420" w:type="dxa"/>
            <w:vAlign w:val="bottom"/>
            <w:vMerge w:val="restart"/>
          </w:tcPr>
          <w:p>
            <w:pPr>
              <w:jc w:val="center"/>
              <w:spacing w:after="0"/>
              <w:rPr>
                <w:sz w:val="20"/>
                <w:szCs w:val="20"/>
                <w:color w:val="auto"/>
              </w:rPr>
            </w:pPr>
            <w:r>
              <w:rPr>
                <w:rFonts w:ascii="Arial" w:cs="Arial" w:eastAsia="Arial" w:hAnsi="Arial"/>
                <w:sz w:val="15"/>
                <w:szCs w:val="15"/>
                <w:color w:val="auto"/>
                <w:w w:val="90"/>
              </w:rPr>
              <w:t>John R. Alchin</w:t>
            </w:r>
          </w:p>
        </w:tc>
        <w:tc>
          <w:tcPr>
            <w:tcW w:w="442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20" w:type="dxa"/>
            <w:vAlign w:val="bottom"/>
            <w:vMerge w:val="continue"/>
          </w:tcPr>
          <w:p>
            <w:pPr>
              <w:spacing w:after="0"/>
              <w:rPr>
                <w:sz w:val="13"/>
                <w:szCs w:val="13"/>
                <w:color w:val="auto"/>
              </w:rPr>
            </w:pPr>
          </w:p>
        </w:tc>
        <w:tc>
          <w:tcPr>
            <w:tcW w:w="44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5"/>
              </w:rPr>
              <w:t>/s/ DAVID L. COHEN</w:t>
            </w:r>
          </w:p>
        </w:tc>
        <w:tc>
          <w:tcPr>
            <w:tcW w:w="4420" w:type="dxa"/>
            <w:vAlign w:val="bottom"/>
          </w:tcPr>
          <w:p>
            <w:pPr>
              <w:jc w:val="center"/>
              <w:spacing w:after="0"/>
              <w:rPr>
                <w:sz w:val="20"/>
                <w:szCs w:val="20"/>
                <w:color w:val="auto"/>
              </w:rPr>
            </w:pPr>
            <w:r>
              <w:rPr>
                <w:rFonts w:ascii="Arial" w:cs="Arial" w:eastAsia="Arial" w:hAnsi="Arial"/>
                <w:sz w:val="15"/>
                <w:szCs w:val="15"/>
                <w:color w:val="auto"/>
                <w:w w:val="89"/>
              </w:rPr>
              <w:t>Executive Vice President; Director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90"/>
              </w:rPr>
              <w:t>David L. Cohen</w:t>
            </w:r>
          </w:p>
        </w:tc>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3"/>
              </w:rPr>
              <w:t>/s/ ARTHUR R. BLOCK</w:t>
            </w:r>
          </w:p>
        </w:tc>
        <w:tc>
          <w:tcPr>
            <w:tcW w:w="4420" w:type="dxa"/>
            <w:vAlign w:val="bottom"/>
          </w:tcPr>
          <w:p>
            <w:pPr>
              <w:jc w:val="center"/>
              <w:spacing w:after="0"/>
              <w:rPr>
                <w:sz w:val="20"/>
                <w:szCs w:val="20"/>
                <w:color w:val="auto"/>
              </w:rPr>
            </w:pPr>
            <w:r>
              <w:rPr>
                <w:rFonts w:ascii="Arial" w:cs="Arial" w:eastAsia="Arial" w:hAnsi="Arial"/>
                <w:sz w:val="15"/>
                <w:szCs w:val="15"/>
                <w:color w:val="auto"/>
                <w:w w:val="88"/>
              </w:rPr>
              <w:t>Senior Vice President; Director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93"/>
              </w:rPr>
              <w:t>Arthur R. Block</w:t>
            </w:r>
          </w:p>
        </w:tc>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1"/>
              </w:rPr>
              <w:t>/s/ LAWRENCE J. SALVA</w:t>
            </w:r>
          </w:p>
        </w:tc>
        <w:tc>
          <w:tcPr>
            <w:tcW w:w="4420" w:type="dxa"/>
            <w:vAlign w:val="bottom"/>
          </w:tcPr>
          <w:p>
            <w:pPr>
              <w:jc w:val="center"/>
              <w:spacing w:after="0"/>
              <w:rPr>
                <w:sz w:val="20"/>
                <w:szCs w:val="20"/>
                <w:color w:val="auto"/>
              </w:rPr>
            </w:pPr>
            <w:r>
              <w:rPr>
                <w:rFonts w:ascii="Arial" w:cs="Arial" w:eastAsia="Arial" w:hAnsi="Arial"/>
                <w:sz w:val="15"/>
                <w:szCs w:val="15"/>
                <w:color w:val="auto"/>
                <w:w w:val="90"/>
              </w:rPr>
              <w:t>Senior Vice President (Principal Accounting Officer)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86"/>
              </w:rPr>
              <w:t>Lawrence J. Salva</w:t>
            </w:r>
          </w:p>
        </w:tc>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tcPr>
          <w:p>
            <w:pPr>
              <w:spacing w:after="0"/>
              <w:rPr>
                <w:sz w:val="24"/>
                <w:szCs w:val="24"/>
                <w:color w:val="auto"/>
              </w:rPr>
            </w:pPr>
          </w:p>
        </w:tc>
        <w:tc>
          <w:tcPr>
            <w:tcW w:w="4420" w:type="dxa"/>
            <w:vAlign w:val="bottom"/>
          </w:tcPr>
          <w:p>
            <w:pPr>
              <w:ind w:left="160"/>
              <w:spacing w:after="0"/>
              <w:rPr>
                <w:sz w:val="20"/>
                <w:szCs w:val="20"/>
                <w:color w:val="auto"/>
              </w:rPr>
            </w:pPr>
            <w:r>
              <w:rPr>
                <w:rFonts w:ascii="Arial" w:cs="Arial" w:eastAsia="Arial" w:hAnsi="Arial"/>
                <w:sz w:val="15"/>
                <w:szCs w:val="15"/>
                <w:color w:val="auto"/>
              </w:rPr>
              <w:t>II-13</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20" w:type="dxa"/>
            <w:vAlign w:val="bottom"/>
            <w:tcBorders>
              <w:bottom w:val="single" w:sz="8" w:color="808080"/>
            </w:tcBorders>
          </w:tcPr>
          <w:p>
            <w:pPr>
              <w:spacing w:after="0"/>
              <w:rPr>
                <w:sz w:val="16"/>
                <w:szCs w:val="16"/>
                <w:color w:val="auto"/>
              </w:rPr>
            </w:pPr>
          </w:p>
        </w:tc>
        <w:tc>
          <w:tcPr>
            <w:tcW w:w="442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 AND POWER OF ATTORNEY FOR COMCAST CABLE HOLDINGS, LLC</w:t>
      </w:r>
    </w:p>
    <w:p>
      <w:pPr>
        <w:spacing w:after="0" w:line="213" w:lineRule="exact"/>
        <w:rPr>
          <w:sz w:val="20"/>
          <w:szCs w:val="20"/>
          <w:color w:val="auto"/>
        </w:rPr>
      </w:pPr>
    </w:p>
    <w:p>
      <w:pPr>
        <w:ind w:right="140" w:firstLine="269"/>
        <w:spacing w:after="0" w:line="395" w:lineRule="auto"/>
        <w:rPr>
          <w:sz w:val="20"/>
          <w:szCs w:val="20"/>
          <w:color w:val="auto"/>
        </w:rPr>
      </w:pPr>
      <w:r>
        <w:rPr>
          <w:rFonts w:ascii="Arial" w:cs="Arial" w:eastAsia="Arial" w:hAnsi="Arial"/>
          <w:sz w:val="12"/>
          <w:szCs w:val="12"/>
          <w:color w:val="auto"/>
        </w:rPr>
        <w:t>Pursuant to the requirements of the Securities Act of 1933, Comcast Cable Holdings, LLC certifies that it has reasonable grounds to believe that it meets all of the requirements for filing on Form S-3 and has duly caused this Registration Statement to be signed on its behalf by the undersigned, thereunto duly authorized in Philadelphia, Pennsylvania, on the 26th day of March, 2003.</w:t>
      </w:r>
    </w:p>
    <w:p>
      <w:pPr>
        <w:spacing w:after="0" w:line="84"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COMCAST CABLE HOLDINGS, LLC</w:t>
      </w:r>
    </w:p>
    <w:p>
      <w:pPr>
        <w:spacing w:after="0" w:line="209" w:lineRule="exact"/>
        <w:rPr>
          <w:sz w:val="20"/>
          <w:szCs w:val="20"/>
          <w:color w:val="auto"/>
        </w:rPr>
      </w:pPr>
    </w:p>
    <w:p>
      <w:pPr>
        <w:ind w:left="4580"/>
        <w:spacing w:after="0"/>
        <w:tabs>
          <w:tab w:leader="none" w:pos="74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80010</wp:posOffset>
            </wp:positionV>
            <wp:extent cx="435737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57370" cy="6985"/>
                    </a:xfrm>
                    <a:prstGeom prst="rect">
                      <a:avLst/>
                    </a:prstGeom>
                    <a:noFill/>
                  </pic:spPr>
                </pic:pic>
              </a:graphicData>
            </a:graphic>
          </wp:anchor>
        </w:drawing>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Arthur R. Block</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 xml:space="preserve">Title: </w:t>
      </w:r>
      <w:r>
        <w:rPr>
          <w:rFonts w:ascii="Arial" w:cs="Arial" w:eastAsia="Arial" w:hAnsi="Arial"/>
          <w:sz w:val="15"/>
          <w:szCs w:val="15"/>
          <w:i w:val="1"/>
          <w:iCs w:val="1"/>
          <w:color w:val="auto"/>
        </w:rPr>
        <w:t>Senior Vice President</w:t>
      </w:r>
    </w:p>
    <w:p>
      <w:pPr>
        <w:spacing w:after="0" w:line="231" w:lineRule="exact"/>
        <w:rPr>
          <w:sz w:val="20"/>
          <w:szCs w:val="20"/>
          <w:color w:val="auto"/>
        </w:rPr>
      </w:pPr>
    </w:p>
    <w:p>
      <w:pPr>
        <w:ind w:right="40" w:firstLine="269"/>
        <w:spacing w:after="0" w:line="273" w:lineRule="auto"/>
        <w:rPr>
          <w:sz w:val="20"/>
          <w:szCs w:val="20"/>
          <w:color w:val="auto"/>
        </w:rPr>
      </w:pPr>
      <w:r>
        <w:rPr>
          <w:rFonts w:ascii="Arial" w:cs="Arial" w:eastAsia="Arial" w:hAnsi="Arial"/>
          <w:sz w:val="14"/>
          <w:szCs w:val="14"/>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below by the following persons in the capacities and on the dates indicated.</w:t>
      </w:r>
    </w:p>
    <w:p>
      <w:pPr>
        <w:spacing w:after="0" w:line="374" w:lineRule="exact"/>
        <w:rPr>
          <w:sz w:val="20"/>
          <w:szCs w:val="20"/>
          <w:color w:val="auto"/>
        </w:rPr>
      </w:pPr>
    </w:p>
    <w:p>
      <w:pPr>
        <w:ind w:left="2480"/>
        <w:spacing w:after="0"/>
        <w:tabs>
          <w:tab w:leader="none" w:pos="7520" w:val="left"/>
          <w:tab w:leader="none" w:pos="1054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62230</wp:posOffset>
            </wp:positionV>
            <wp:extent cx="727011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0" w:type="dxa"/>
            <w:vAlign w:val="bottom"/>
          </w:tcPr>
          <w:p>
            <w:pPr>
              <w:spacing w:after="0"/>
              <w:rPr>
                <w:sz w:val="16"/>
                <w:szCs w:val="16"/>
                <w:color w:val="auto"/>
              </w:rPr>
            </w:pPr>
          </w:p>
        </w:tc>
        <w:tc>
          <w:tcPr>
            <w:tcW w:w="4480" w:type="dxa"/>
            <w:vAlign w:val="bottom"/>
          </w:tcPr>
          <w:p>
            <w:pPr>
              <w:jc w:val="center"/>
              <w:ind w:right="867"/>
              <w:spacing w:after="0"/>
              <w:rPr>
                <w:sz w:val="20"/>
                <w:szCs w:val="20"/>
                <w:color w:val="auto"/>
              </w:rPr>
            </w:pPr>
            <w:r>
              <w:rPr>
                <w:rFonts w:ascii="Arial" w:cs="Arial" w:eastAsia="Arial" w:hAnsi="Arial"/>
                <w:sz w:val="15"/>
                <w:szCs w:val="15"/>
                <w:color w:val="auto"/>
                <w:w w:val="91"/>
              </w:rPr>
              <w:t>/s/ BRIAN L. ROBERTS</w:t>
            </w:r>
          </w:p>
        </w:tc>
        <w:tc>
          <w:tcPr>
            <w:tcW w:w="4420" w:type="dxa"/>
            <w:vAlign w:val="bottom"/>
          </w:tcPr>
          <w:p>
            <w:pPr>
              <w:jc w:val="center"/>
              <w:spacing w:after="0"/>
              <w:rPr>
                <w:sz w:val="20"/>
                <w:szCs w:val="20"/>
                <w:color w:val="auto"/>
              </w:rPr>
            </w:pPr>
            <w:r>
              <w:rPr>
                <w:rFonts w:ascii="Arial" w:cs="Arial" w:eastAsia="Arial" w:hAnsi="Arial"/>
                <w:sz w:val="15"/>
                <w:szCs w:val="15"/>
                <w:color w:val="auto"/>
                <w:w w:val="90"/>
              </w:rPr>
              <w:t>Chairman (Principal Executive Officer)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940" w:type="dxa"/>
            <w:vAlign w:val="bottom"/>
            <w:tcBorders>
              <w:bottom w:val="single" w:sz="8" w:color="808080"/>
            </w:tcBorders>
          </w:tcPr>
          <w:p>
            <w:pPr>
              <w:spacing w:after="0"/>
              <w:rPr>
                <w:sz w:val="6"/>
                <w:szCs w:val="6"/>
                <w:color w:val="auto"/>
              </w:rPr>
            </w:pPr>
          </w:p>
        </w:tc>
        <w:tc>
          <w:tcPr>
            <w:tcW w:w="4480" w:type="dxa"/>
            <w:vAlign w:val="bottom"/>
            <w:tcBorders>
              <w:bottom w:val="single" w:sz="8" w:color="808080"/>
            </w:tcBorders>
          </w:tcPr>
          <w:p>
            <w:pPr>
              <w:spacing w:after="0"/>
              <w:rPr>
                <w:sz w:val="6"/>
                <w:szCs w:val="6"/>
                <w:color w:val="auto"/>
              </w:rPr>
            </w:pPr>
          </w:p>
        </w:tc>
        <w:tc>
          <w:tcPr>
            <w:tcW w:w="4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480" w:type="dxa"/>
            <w:vAlign w:val="bottom"/>
          </w:tcPr>
          <w:p>
            <w:pPr>
              <w:jc w:val="center"/>
              <w:ind w:right="867"/>
              <w:spacing w:after="0"/>
              <w:rPr>
                <w:sz w:val="20"/>
                <w:szCs w:val="20"/>
                <w:color w:val="auto"/>
              </w:rPr>
            </w:pPr>
            <w:r>
              <w:rPr>
                <w:rFonts w:ascii="Arial" w:cs="Arial" w:eastAsia="Arial" w:hAnsi="Arial"/>
                <w:sz w:val="15"/>
                <w:szCs w:val="15"/>
                <w:color w:val="auto"/>
                <w:w w:val="90"/>
              </w:rPr>
              <w:t>Brian L. Roberts</w:t>
            </w:r>
          </w:p>
        </w:tc>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940" w:type="dxa"/>
            <w:vAlign w:val="bottom"/>
          </w:tcPr>
          <w:p>
            <w:pPr>
              <w:spacing w:after="0"/>
              <w:rPr>
                <w:sz w:val="24"/>
                <w:szCs w:val="24"/>
                <w:color w:val="auto"/>
              </w:rPr>
            </w:pPr>
          </w:p>
        </w:tc>
        <w:tc>
          <w:tcPr>
            <w:tcW w:w="4480" w:type="dxa"/>
            <w:vAlign w:val="bottom"/>
          </w:tcPr>
          <w:p>
            <w:pPr>
              <w:jc w:val="center"/>
              <w:ind w:right="867"/>
              <w:spacing w:after="0"/>
              <w:rPr>
                <w:sz w:val="20"/>
                <w:szCs w:val="20"/>
                <w:color w:val="auto"/>
              </w:rPr>
            </w:pPr>
            <w:r>
              <w:rPr>
                <w:rFonts w:ascii="Arial" w:cs="Arial" w:eastAsia="Arial" w:hAnsi="Arial"/>
                <w:sz w:val="15"/>
                <w:szCs w:val="15"/>
                <w:color w:val="auto"/>
                <w:w w:val="92"/>
              </w:rPr>
              <w:t>/s/ LAWRENCE S. SMITH</w:t>
            </w:r>
          </w:p>
        </w:tc>
        <w:tc>
          <w:tcPr>
            <w:tcW w:w="4420" w:type="dxa"/>
            <w:vAlign w:val="bottom"/>
          </w:tcPr>
          <w:p>
            <w:pPr>
              <w:jc w:val="center"/>
              <w:spacing w:after="0"/>
              <w:rPr>
                <w:sz w:val="20"/>
                <w:szCs w:val="20"/>
                <w:color w:val="auto"/>
              </w:rPr>
            </w:pPr>
            <w:r>
              <w:rPr>
                <w:rFonts w:ascii="Arial" w:cs="Arial" w:eastAsia="Arial" w:hAnsi="Arial"/>
                <w:sz w:val="15"/>
                <w:szCs w:val="15"/>
                <w:color w:val="auto"/>
                <w:w w:val="90"/>
              </w:rPr>
              <w:t>Executive Vice President (Co-Principal Financial Officer)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940" w:type="dxa"/>
            <w:vAlign w:val="bottom"/>
            <w:tcBorders>
              <w:bottom w:val="single" w:sz="8" w:color="808080"/>
            </w:tcBorders>
          </w:tcPr>
          <w:p>
            <w:pPr>
              <w:spacing w:after="0"/>
              <w:rPr>
                <w:sz w:val="6"/>
                <w:szCs w:val="6"/>
                <w:color w:val="auto"/>
              </w:rPr>
            </w:pPr>
          </w:p>
        </w:tc>
        <w:tc>
          <w:tcPr>
            <w:tcW w:w="4480" w:type="dxa"/>
            <w:vAlign w:val="bottom"/>
            <w:tcBorders>
              <w:bottom w:val="single" w:sz="8" w:color="808080"/>
            </w:tcBorders>
          </w:tcPr>
          <w:p>
            <w:pPr>
              <w:spacing w:after="0"/>
              <w:rPr>
                <w:sz w:val="6"/>
                <w:szCs w:val="6"/>
                <w:color w:val="auto"/>
              </w:rPr>
            </w:pPr>
          </w:p>
        </w:tc>
        <w:tc>
          <w:tcPr>
            <w:tcW w:w="4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480" w:type="dxa"/>
            <w:vAlign w:val="bottom"/>
          </w:tcPr>
          <w:p>
            <w:pPr>
              <w:jc w:val="center"/>
              <w:ind w:right="867"/>
              <w:spacing w:after="0"/>
              <w:rPr>
                <w:sz w:val="20"/>
                <w:szCs w:val="20"/>
                <w:color w:val="auto"/>
              </w:rPr>
            </w:pPr>
            <w:r>
              <w:rPr>
                <w:rFonts w:ascii="Arial" w:cs="Arial" w:eastAsia="Arial" w:hAnsi="Arial"/>
                <w:sz w:val="15"/>
                <w:szCs w:val="15"/>
                <w:color w:val="auto"/>
                <w:w w:val="87"/>
              </w:rPr>
              <w:t>Lawrence S. Smith</w:t>
            </w:r>
          </w:p>
        </w:tc>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940" w:type="dxa"/>
            <w:vAlign w:val="bottom"/>
          </w:tcPr>
          <w:p>
            <w:pPr>
              <w:spacing w:after="0"/>
              <w:rPr>
                <w:sz w:val="24"/>
                <w:szCs w:val="24"/>
                <w:color w:val="auto"/>
              </w:rPr>
            </w:pPr>
          </w:p>
        </w:tc>
        <w:tc>
          <w:tcPr>
            <w:tcW w:w="4480" w:type="dxa"/>
            <w:vAlign w:val="bottom"/>
          </w:tcPr>
          <w:p>
            <w:pPr>
              <w:jc w:val="center"/>
              <w:ind w:right="867"/>
              <w:spacing w:after="0"/>
              <w:rPr>
                <w:sz w:val="20"/>
                <w:szCs w:val="20"/>
                <w:color w:val="auto"/>
              </w:rPr>
            </w:pPr>
            <w:r>
              <w:rPr>
                <w:rFonts w:ascii="Arial" w:cs="Arial" w:eastAsia="Arial" w:hAnsi="Arial"/>
                <w:sz w:val="15"/>
                <w:szCs w:val="15"/>
                <w:color w:val="auto"/>
                <w:w w:val="93"/>
              </w:rPr>
              <w:t>/s/ JOHN R. ALCHIN</w:t>
            </w:r>
          </w:p>
        </w:tc>
        <w:tc>
          <w:tcPr>
            <w:tcW w:w="4420" w:type="dxa"/>
            <w:vAlign w:val="bottom"/>
          </w:tcPr>
          <w:p>
            <w:pPr>
              <w:jc w:val="center"/>
              <w:spacing w:after="0"/>
              <w:rPr>
                <w:sz w:val="20"/>
                <w:szCs w:val="20"/>
                <w:color w:val="auto"/>
              </w:rPr>
            </w:pPr>
            <w:r>
              <w:rPr>
                <w:rFonts w:ascii="Arial" w:cs="Arial" w:eastAsia="Arial" w:hAnsi="Arial"/>
                <w:sz w:val="15"/>
                <w:szCs w:val="15"/>
                <w:color w:val="auto"/>
                <w:w w:val="88"/>
              </w:rPr>
              <w:t>Executive Vice President and Treasurer (Co-Principal Financial</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86"/>
        </w:trPr>
        <w:tc>
          <w:tcPr>
            <w:tcW w:w="940" w:type="dxa"/>
            <w:vAlign w:val="bottom"/>
            <w:tcBorders>
              <w:bottom w:val="single" w:sz="8" w:color="808080"/>
            </w:tcBorders>
          </w:tcPr>
          <w:p>
            <w:pPr>
              <w:spacing w:after="0"/>
              <w:rPr>
                <w:sz w:val="7"/>
                <w:szCs w:val="7"/>
                <w:color w:val="auto"/>
              </w:rPr>
            </w:pPr>
          </w:p>
        </w:tc>
        <w:tc>
          <w:tcPr>
            <w:tcW w:w="4480" w:type="dxa"/>
            <w:vAlign w:val="bottom"/>
            <w:tcBorders>
              <w:bottom w:val="single" w:sz="8" w:color="808080"/>
            </w:tcBorders>
          </w:tcPr>
          <w:p>
            <w:pPr>
              <w:spacing w:after="0"/>
              <w:rPr>
                <w:sz w:val="7"/>
                <w:szCs w:val="7"/>
                <w:color w:val="auto"/>
              </w:rPr>
            </w:pPr>
          </w:p>
        </w:tc>
        <w:tc>
          <w:tcPr>
            <w:tcW w:w="4420" w:type="dxa"/>
            <w:vAlign w:val="bottom"/>
            <w:vMerge w:val="restart"/>
          </w:tcPr>
          <w:p>
            <w:pPr>
              <w:jc w:val="center"/>
              <w:spacing w:after="0"/>
              <w:rPr>
                <w:sz w:val="20"/>
                <w:szCs w:val="20"/>
                <w:color w:val="auto"/>
              </w:rPr>
            </w:pPr>
            <w:r>
              <w:rPr>
                <w:rFonts w:ascii="Arial" w:cs="Arial" w:eastAsia="Arial" w:hAnsi="Arial"/>
                <w:sz w:val="15"/>
                <w:szCs w:val="15"/>
                <w:color w:val="auto"/>
                <w:w w:val="93"/>
              </w:rPr>
              <w:t>Officer)</w:t>
            </w: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40" w:type="dxa"/>
            <w:vAlign w:val="bottom"/>
          </w:tcPr>
          <w:p>
            <w:pPr>
              <w:spacing w:after="0"/>
              <w:rPr>
                <w:sz w:val="6"/>
                <w:szCs w:val="6"/>
                <w:color w:val="auto"/>
              </w:rPr>
            </w:pPr>
          </w:p>
        </w:tc>
        <w:tc>
          <w:tcPr>
            <w:tcW w:w="4480" w:type="dxa"/>
            <w:vAlign w:val="bottom"/>
            <w:vMerge w:val="restart"/>
          </w:tcPr>
          <w:p>
            <w:pPr>
              <w:jc w:val="center"/>
              <w:ind w:right="847"/>
              <w:spacing w:after="0"/>
              <w:rPr>
                <w:sz w:val="20"/>
                <w:szCs w:val="20"/>
                <w:color w:val="auto"/>
              </w:rPr>
            </w:pPr>
            <w:r>
              <w:rPr>
                <w:rFonts w:ascii="Arial" w:cs="Arial" w:eastAsia="Arial" w:hAnsi="Arial"/>
                <w:sz w:val="15"/>
                <w:szCs w:val="15"/>
                <w:color w:val="auto"/>
                <w:w w:val="90"/>
              </w:rPr>
              <w:t>John R. Alchin</w:t>
            </w:r>
          </w:p>
        </w:tc>
        <w:tc>
          <w:tcPr>
            <w:tcW w:w="442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480" w:type="dxa"/>
            <w:vAlign w:val="bottom"/>
            <w:vMerge w:val="continue"/>
          </w:tcPr>
          <w:p>
            <w:pPr>
              <w:spacing w:after="0"/>
              <w:rPr>
                <w:sz w:val="13"/>
                <w:szCs w:val="13"/>
                <w:color w:val="auto"/>
              </w:rPr>
            </w:pPr>
          </w:p>
        </w:tc>
        <w:tc>
          <w:tcPr>
            <w:tcW w:w="44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940" w:type="dxa"/>
            <w:vAlign w:val="bottom"/>
          </w:tcPr>
          <w:p>
            <w:pPr>
              <w:spacing w:after="0"/>
              <w:rPr>
                <w:sz w:val="24"/>
                <w:szCs w:val="24"/>
                <w:color w:val="auto"/>
              </w:rPr>
            </w:pPr>
          </w:p>
        </w:tc>
        <w:tc>
          <w:tcPr>
            <w:tcW w:w="4480" w:type="dxa"/>
            <w:vAlign w:val="bottom"/>
          </w:tcPr>
          <w:p>
            <w:pPr>
              <w:jc w:val="center"/>
              <w:ind w:right="867"/>
              <w:spacing w:after="0"/>
              <w:rPr>
                <w:sz w:val="20"/>
                <w:szCs w:val="20"/>
                <w:color w:val="auto"/>
              </w:rPr>
            </w:pPr>
            <w:r>
              <w:rPr>
                <w:rFonts w:ascii="Arial" w:cs="Arial" w:eastAsia="Arial" w:hAnsi="Arial"/>
                <w:sz w:val="15"/>
                <w:szCs w:val="15"/>
                <w:color w:val="auto"/>
                <w:w w:val="91"/>
              </w:rPr>
              <w:t>/s/ LAWRENCE J. SALVA</w:t>
            </w:r>
          </w:p>
        </w:tc>
        <w:tc>
          <w:tcPr>
            <w:tcW w:w="4420" w:type="dxa"/>
            <w:vAlign w:val="bottom"/>
          </w:tcPr>
          <w:p>
            <w:pPr>
              <w:jc w:val="center"/>
              <w:spacing w:after="0"/>
              <w:rPr>
                <w:sz w:val="20"/>
                <w:szCs w:val="20"/>
                <w:color w:val="auto"/>
              </w:rPr>
            </w:pPr>
            <w:r>
              <w:rPr>
                <w:rFonts w:ascii="Arial" w:cs="Arial" w:eastAsia="Arial" w:hAnsi="Arial"/>
                <w:sz w:val="15"/>
                <w:szCs w:val="15"/>
                <w:color w:val="auto"/>
                <w:w w:val="90"/>
              </w:rPr>
              <w:t>Senior Vice President (Principal Accounting Officer)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940" w:type="dxa"/>
            <w:vAlign w:val="bottom"/>
            <w:tcBorders>
              <w:bottom w:val="single" w:sz="8" w:color="808080"/>
            </w:tcBorders>
          </w:tcPr>
          <w:p>
            <w:pPr>
              <w:spacing w:after="0"/>
              <w:rPr>
                <w:sz w:val="6"/>
                <w:szCs w:val="6"/>
                <w:color w:val="auto"/>
              </w:rPr>
            </w:pPr>
          </w:p>
        </w:tc>
        <w:tc>
          <w:tcPr>
            <w:tcW w:w="4480" w:type="dxa"/>
            <w:vAlign w:val="bottom"/>
            <w:tcBorders>
              <w:bottom w:val="single" w:sz="8" w:color="808080"/>
            </w:tcBorders>
          </w:tcPr>
          <w:p>
            <w:pPr>
              <w:spacing w:after="0"/>
              <w:rPr>
                <w:sz w:val="6"/>
                <w:szCs w:val="6"/>
                <w:color w:val="auto"/>
              </w:rPr>
            </w:pPr>
          </w:p>
        </w:tc>
        <w:tc>
          <w:tcPr>
            <w:tcW w:w="4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480" w:type="dxa"/>
            <w:vAlign w:val="bottom"/>
          </w:tcPr>
          <w:p>
            <w:pPr>
              <w:jc w:val="center"/>
              <w:ind w:right="867"/>
              <w:spacing w:after="0"/>
              <w:rPr>
                <w:sz w:val="20"/>
                <w:szCs w:val="20"/>
                <w:color w:val="auto"/>
              </w:rPr>
            </w:pPr>
            <w:r>
              <w:rPr>
                <w:rFonts w:ascii="Arial" w:cs="Arial" w:eastAsia="Arial" w:hAnsi="Arial"/>
                <w:sz w:val="15"/>
                <w:szCs w:val="15"/>
                <w:color w:val="auto"/>
                <w:w w:val="86"/>
              </w:rPr>
              <w:t>Lawrence J. Salva</w:t>
            </w:r>
          </w:p>
        </w:tc>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gridSpan w:val="2"/>
          </w:tcPr>
          <w:p>
            <w:pPr>
              <w:spacing w:after="0"/>
              <w:rPr>
                <w:sz w:val="20"/>
                <w:szCs w:val="20"/>
                <w:color w:val="auto"/>
              </w:rPr>
            </w:pPr>
            <w:r>
              <w:rPr>
                <w:rFonts w:ascii="Arial" w:cs="Arial" w:eastAsia="Arial" w:hAnsi="Arial"/>
                <w:sz w:val="15"/>
                <w:szCs w:val="15"/>
                <w:color w:val="auto"/>
              </w:rPr>
              <w:t>COMCAST CABLE COMMUNICATIONS HOLDINGS, INC.</w:t>
            </w:r>
          </w:p>
        </w:tc>
        <w:tc>
          <w:tcPr>
            <w:tcW w:w="4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940" w:type="dxa"/>
            <w:vAlign w:val="bottom"/>
          </w:tcPr>
          <w:p>
            <w:pPr>
              <w:ind w:left="200"/>
              <w:spacing w:after="0"/>
              <w:rPr>
                <w:sz w:val="20"/>
                <w:szCs w:val="20"/>
                <w:color w:val="auto"/>
              </w:rPr>
            </w:pPr>
            <w:r>
              <w:rPr>
                <w:rFonts w:ascii="Arial" w:cs="Arial" w:eastAsia="Arial" w:hAnsi="Arial"/>
                <w:sz w:val="15"/>
                <w:szCs w:val="15"/>
                <w:color w:val="auto"/>
              </w:rPr>
              <w:t>By:</w:t>
            </w:r>
          </w:p>
        </w:tc>
        <w:tc>
          <w:tcPr>
            <w:tcW w:w="4480" w:type="dxa"/>
            <w:vAlign w:val="bottom"/>
          </w:tcPr>
          <w:p>
            <w:pPr>
              <w:jc w:val="center"/>
              <w:spacing w:after="0"/>
              <w:rPr>
                <w:sz w:val="20"/>
                <w:szCs w:val="20"/>
                <w:color w:val="auto"/>
              </w:rPr>
            </w:pPr>
            <w:r>
              <w:rPr>
                <w:rFonts w:ascii="Arial" w:cs="Arial" w:eastAsia="Arial" w:hAnsi="Arial"/>
                <w:sz w:val="15"/>
                <w:szCs w:val="15"/>
                <w:color w:val="auto"/>
                <w:w w:val="94"/>
              </w:rPr>
              <w:t>/s/ ARTHUR R. BLOCK</w:t>
            </w:r>
          </w:p>
        </w:tc>
        <w:tc>
          <w:tcPr>
            <w:tcW w:w="4420" w:type="dxa"/>
            <w:vAlign w:val="bottom"/>
          </w:tcPr>
          <w:p>
            <w:pPr>
              <w:jc w:val="center"/>
              <w:spacing w:after="0"/>
              <w:rPr>
                <w:sz w:val="20"/>
                <w:szCs w:val="20"/>
                <w:color w:val="auto"/>
              </w:rPr>
            </w:pPr>
            <w:r>
              <w:rPr>
                <w:rFonts w:ascii="Arial" w:cs="Arial" w:eastAsia="Arial" w:hAnsi="Arial"/>
                <w:sz w:val="15"/>
                <w:szCs w:val="15"/>
                <w:color w:val="auto"/>
                <w:w w:val="87"/>
              </w:rPr>
              <w:t>Sole Member</w:t>
            </w:r>
          </w:p>
        </w:tc>
        <w:tc>
          <w:tcPr>
            <w:tcW w:w="1620" w:type="dxa"/>
            <w:vAlign w:val="bottom"/>
          </w:tcPr>
          <w:p>
            <w:pPr>
              <w:ind w:left="36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940" w:type="dxa"/>
            <w:vAlign w:val="bottom"/>
          </w:tcPr>
          <w:p>
            <w:pPr>
              <w:spacing w:after="0"/>
              <w:rPr>
                <w:sz w:val="6"/>
                <w:szCs w:val="6"/>
                <w:color w:val="auto"/>
              </w:rPr>
            </w:pPr>
          </w:p>
        </w:tc>
        <w:tc>
          <w:tcPr>
            <w:tcW w:w="4480" w:type="dxa"/>
            <w:vAlign w:val="bottom"/>
            <w:tcBorders>
              <w:bottom w:val="single" w:sz="8" w:color="808080"/>
            </w:tcBorders>
          </w:tcPr>
          <w:p>
            <w:pPr>
              <w:spacing w:after="0"/>
              <w:rPr>
                <w:sz w:val="6"/>
                <w:szCs w:val="6"/>
                <w:color w:val="auto"/>
              </w:rPr>
            </w:pPr>
          </w:p>
        </w:tc>
        <w:tc>
          <w:tcPr>
            <w:tcW w:w="4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94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5"/>
                <w:szCs w:val="15"/>
                <w:color w:val="auto"/>
                <w:w w:val="93"/>
              </w:rPr>
              <w:t>Arthur R. Block</w:t>
            </w:r>
          </w:p>
        </w:tc>
        <w:tc>
          <w:tcPr>
            <w:tcW w:w="4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94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5"/>
                <w:szCs w:val="15"/>
                <w:i w:val="1"/>
                <w:iCs w:val="1"/>
                <w:color w:val="auto"/>
                <w:w w:val="85"/>
              </w:rPr>
              <w:t>Senior Vice President</w:t>
            </w:r>
          </w:p>
        </w:tc>
        <w:tc>
          <w:tcPr>
            <w:tcW w:w="4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9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20" w:type="dxa"/>
            <w:vAlign w:val="bottom"/>
          </w:tcPr>
          <w:p>
            <w:pPr>
              <w:ind w:left="160"/>
              <w:spacing w:after="0"/>
              <w:rPr>
                <w:sz w:val="20"/>
                <w:szCs w:val="20"/>
                <w:color w:val="auto"/>
              </w:rPr>
            </w:pPr>
            <w:r>
              <w:rPr>
                <w:rFonts w:ascii="Arial" w:cs="Arial" w:eastAsia="Arial" w:hAnsi="Arial"/>
                <w:sz w:val="15"/>
                <w:szCs w:val="15"/>
                <w:color w:val="auto"/>
              </w:rPr>
              <w:t>II-14</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40" w:type="dxa"/>
            <w:vAlign w:val="bottom"/>
            <w:tcBorders>
              <w:bottom w:val="single" w:sz="8" w:color="808080"/>
            </w:tcBorders>
          </w:tcPr>
          <w:p>
            <w:pPr>
              <w:spacing w:after="0"/>
              <w:rPr>
                <w:sz w:val="16"/>
                <w:szCs w:val="16"/>
                <w:color w:val="auto"/>
              </w:rPr>
            </w:pPr>
          </w:p>
        </w:tc>
        <w:tc>
          <w:tcPr>
            <w:tcW w:w="4480" w:type="dxa"/>
            <w:vAlign w:val="bottom"/>
            <w:tcBorders>
              <w:bottom w:val="single" w:sz="8" w:color="808080"/>
            </w:tcBorders>
          </w:tcPr>
          <w:p>
            <w:pPr>
              <w:spacing w:after="0"/>
              <w:rPr>
                <w:sz w:val="16"/>
                <w:szCs w:val="16"/>
                <w:color w:val="auto"/>
              </w:rPr>
            </w:pPr>
          </w:p>
        </w:tc>
        <w:tc>
          <w:tcPr>
            <w:tcW w:w="442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 AND POWER OF ATTORNEY FOR COMCAST MO GROUP, INC.</w:t>
      </w:r>
    </w:p>
    <w:p>
      <w:pPr>
        <w:spacing w:after="0" w:line="213" w:lineRule="exact"/>
        <w:rPr>
          <w:sz w:val="20"/>
          <w:szCs w:val="20"/>
          <w:color w:val="auto"/>
        </w:rPr>
      </w:pPr>
    </w:p>
    <w:p>
      <w:pPr>
        <w:ind w:right="140" w:firstLine="269"/>
        <w:spacing w:after="0" w:line="395" w:lineRule="auto"/>
        <w:rPr>
          <w:sz w:val="20"/>
          <w:szCs w:val="20"/>
          <w:color w:val="auto"/>
        </w:rPr>
      </w:pPr>
      <w:r>
        <w:rPr>
          <w:rFonts w:ascii="Arial" w:cs="Arial" w:eastAsia="Arial" w:hAnsi="Arial"/>
          <w:sz w:val="12"/>
          <w:szCs w:val="12"/>
          <w:color w:val="auto"/>
        </w:rPr>
        <w:t>Pursuant to the requirements of the Securities Act of 1933, Comcast MO Group, Inc. certifies that it has reasonable grounds to believe that it meets all of the requirements for filing on Form S-3 and has duly caused this Registration Statement to be signed on its behalf by the undersigned, thereunto duly authorized in Philadelphia, Pennsylvania, on the 26th day of March, 2003.</w:t>
      </w:r>
    </w:p>
    <w:p>
      <w:pPr>
        <w:spacing w:after="0" w:line="84" w:lineRule="exact"/>
        <w:rPr>
          <w:sz w:val="20"/>
          <w:szCs w:val="20"/>
          <w:color w:val="auto"/>
        </w:rPr>
      </w:pPr>
    </w:p>
    <w:tbl>
      <w:tblPr>
        <w:tblLayout w:type="fixed"/>
        <w:tblInd w:w="4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5"/>
                <w:szCs w:val="15"/>
                <w:color w:val="auto"/>
              </w:rPr>
              <w:t>COMCAST MO GROUP, INC.</w:t>
            </w:r>
          </w:p>
        </w:tc>
        <w:tc>
          <w:tcPr>
            <w:tcW w:w="4540" w:type="dxa"/>
            <w:vAlign w:val="bottom"/>
          </w:tcPr>
          <w:p>
            <w:pPr>
              <w:spacing w:after="0"/>
              <w:rPr>
                <w:sz w:val="16"/>
                <w:szCs w:val="16"/>
                <w:color w:val="auto"/>
              </w:rPr>
            </w:pPr>
          </w:p>
        </w:tc>
      </w:tr>
      <w:tr>
        <w:trPr>
          <w:trHeight w:val="381"/>
        </w:trPr>
        <w:tc>
          <w:tcPr>
            <w:tcW w:w="2340" w:type="dxa"/>
            <w:vAlign w:val="bottom"/>
            <w:gridSpan w:val="2"/>
          </w:tcPr>
          <w:p>
            <w:pPr>
              <w:spacing w:after="0"/>
              <w:rPr>
                <w:sz w:val="20"/>
                <w:szCs w:val="20"/>
                <w:color w:val="auto"/>
              </w:rPr>
            </w:pPr>
            <w:r>
              <w:rPr>
                <w:rFonts w:ascii="Arial" w:cs="Arial" w:eastAsia="Arial" w:hAnsi="Arial"/>
                <w:sz w:val="15"/>
                <w:szCs w:val="15"/>
                <w:color w:val="auto"/>
              </w:rPr>
              <w:t>By:</w:t>
            </w:r>
          </w:p>
        </w:tc>
        <w:tc>
          <w:tcPr>
            <w:tcW w:w="4540" w:type="dxa"/>
            <w:vAlign w:val="bottom"/>
          </w:tcPr>
          <w:p>
            <w:pPr>
              <w:ind w:left="500"/>
              <w:spacing w:after="0"/>
              <w:rPr>
                <w:sz w:val="20"/>
                <w:szCs w:val="20"/>
                <w:color w:val="auto"/>
              </w:rPr>
            </w:pPr>
            <w:r>
              <w:rPr>
                <w:rFonts w:ascii="Arial" w:cs="Arial" w:eastAsia="Arial" w:hAnsi="Arial"/>
                <w:sz w:val="15"/>
                <w:szCs w:val="15"/>
                <w:color w:val="auto"/>
              </w:rPr>
              <w:t>/s/ ARTHUR R. BLOCK</w:t>
            </w:r>
          </w:p>
        </w:tc>
      </w:tr>
      <w:tr>
        <w:trPr>
          <w:trHeight w:val="113"/>
        </w:trPr>
        <w:tc>
          <w:tcPr>
            <w:tcW w:w="2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r>
      <w:tr>
        <w:trPr>
          <w:trHeight w:val="271"/>
        </w:trPr>
        <w:tc>
          <w:tcPr>
            <w:tcW w:w="20" w:type="dxa"/>
            <w:vAlign w:val="bottom"/>
          </w:tcPr>
          <w:p>
            <w:pPr>
              <w:spacing w:after="0"/>
              <w:rPr>
                <w:sz w:val="23"/>
                <w:szCs w:val="23"/>
                <w:color w:val="auto"/>
              </w:rPr>
            </w:pPr>
          </w:p>
        </w:tc>
        <w:tc>
          <w:tcPr>
            <w:tcW w:w="2320" w:type="dxa"/>
            <w:vAlign w:val="bottom"/>
          </w:tcPr>
          <w:p>
            <w:pPr>
              <w:spacing w:after="0"/>
              <w:rPr>
                <w:sz w:val="20"/>
                <w:szCs w:val="20"/>
                <w:color w:val="auto"/>
              </w:rPr>
            </w:pPr>
            <w:r>
              <w:rPr>
                <w:rFonts w:ascii="Arial" w:cs="Arial" w:eastAsia="Arial" w:hAnsi="Arial"/>
                <w:sz w:val="15"/>
                <w:szCs w:val="15"/>
                <w:color w:val="auto"/>
              </w:rPr>
              <w:t>Name: Arthur R. Block</w:t>
            </w:r>
          </w:p>
        </w:tc>
        <w:tc>
          <w:tcPr>
            <w:tcW w:w="4540" w:type="dxa"/>
            <w:vAlign w:val="bottom"/>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5"/>
                <w:szCs w:val="15"/>
                <w:color w:val="auto"/>
              </w:rPr>
              <w:t xml:space="preserve">Title: </w:t>
            </w:r>
            <w:r>
              <w:rPr>
                <w:rFonts w:ascii="Arial" w:cs="Arial" w:eastAsia="Arial" w:hAnsi="Arial"/>
                <w:sz w:val="15"/>
                <w:szCs w:val="15"/>
                <w:i w:val="1"/>
                <w:iCs w:val="1"/>
                <w:color w:val="auto"/>
              </w:rPr>
              <w:t>Senior Vice President</w:t>
            </w:r>
          </w:p>
        </w:tc>
        <w:tc>
          <w:tcPr>
            <w:tcW w:w="4540" w:type="dxa"/>
            <w:vAlign w:val="bottom"/>
          </w:tcPr>
          <w:p>
            <w:pPr>
              <w:spacing w:after="0"/>
              <w:rPr>
                <w:sz w:val="17"/>
                <w:szCs w:val="17"/>
                <w:color w:val="auto"/>
              </w:rPr>
            </w:pPr>
          </w:p>
        </w:tc>
      </w:tr>
    </w:tbl>
    <w:p>
      <w:pPr>
        <w:spacing w:after="0" w:line="218" w:lineRule="exact"/>
        <w:rPr>
          <w:sz w:val="20"/>
          <w:szCs w:val="20"/>
          <w:color w:val="auto"/>
        </w:rPr>
      </w:pPr>
    </w:p>
    <w:p>
      <w:pPr>
        <w:ind w:right="40" w:firstLine="269"/>
        <w:spacing w:after="0" w:line="273" w:lineRule="auto"/>
        <w:rPr>
          <w:sz w:val="20"/>
          <w:szCs w:val="20"/>
          <w:color w:val="auto"/>
        </w:rPr>
      </w:pPr>
      <w:r>
        <w:rPr>
          <w:rFonts w:ascii="Arial" w:cs="Arial" w:eastAsia="Arial" w:hAnsi="Arial"/>
          <w:sz w:val="14"/>
          <w:szCs w:val="14"/>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below by the following persons in the capacities and on the dates indicated.</w:t>
      </w:r>
    </w:p>
    <w:p>
      <w:pPr>
        <w:spacing w:after="0" w:line="374" w:lineRule="exact"/>
        <w:rPr>
          <w:sz w:val="20"/>
          <w:szCs w:val="20"/>
          <w:color w:val="auto"/>
        </w:rPr>
      </w:pPr>
    </w:p>
    <w:p>
      <w:pPr>
        <w:ind w:left="2480"/>
        <w:spacing w:after="0"/>
        <w:tabs>
          <w:tab w:leader="none" w:pos="7680" w:val="left"/>
          <w:tab w:leader="none" w:pos="1070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62230</wp:posOffset>
            </wp:positionV>
            <wp:extent cx="727011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20" w:type="dxa"/>
            <w:vAlign w:val="bottom"/>
          </w:tcPr>
          <w:p>
            <w:pPr>
              <w:jc w:val="center"/>
              <w:spacing w:after="0"/>
              <w:rPr>
                <w:sz w:val="20"/>
                <w:szCs w:val="20"/>
                <w:color w:val="auto"/>
              </w:rPr>
            </w:pPr>
            <w:r>
              <w:rPr>
                <w:rFonts w:ascii="Arial" w:cs="Arial" w:eastAsia="Arial" w:hAnsi="Arial"/>
                <w:sz w:val="15"/>
                <w:szCs w:val="15"/>
                <w:color w:val="auto"/>
                <w:w w:val="91"/>
              </w:rPr>
              <w:t>/s/ BRIAN L. ROBERTS</w:t>
            </w:r>
          </w:p>
        </w:tc>
        <w:tc>
          <w:tcPr>
            <w:tcW w:w="4660" w:type="dxa"/>
            <w:vAlign w:val="bottom"/>
          </w:tcPr>
          <w:p>
            <w:pPr>
              <w:jc w:val="center"/>
              <w:ind w:left="47"/>
              <w:spacing w:after="0"/>
              <w:rPr>
                <w:sz w:val="20"/>
                <w:szCs w:val="20"/>
                <w:color w:val="auto"/>
              </w:rPr>
            </w:pPr>
            <w:r>
              <w:rPr>
                <w:rFonts w:ascii="Arial" w:cs="Arial" w:eastAsia="Arial" w:hAnsi="Arial"/>
                <w:sz w:val="15"/>
                <w:szCs w:val="15"/>
                <w:color w:val="auto"/>
                <w:w w:val="89"/>
              </w:rPr>
              <w:t>Chairman</w:t>
            </w:r>
          </w:p>
        </w:tc>
        <w:tc>
          <w:tcPr>
            <w:tcW w:w="138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86"/>
        </w:trPr>
        <w:tc>
          <w:tcPr>
            <w:tcW w:w="5420" w:type="dxa"/>
            <w:vAlign w:val="bottom"/>
            <w:tcBorders>
              <w:bottom w:val="single" w:sz="8" w:color="808080"/>
            </w:tcBorders>
          </w:tcPr>
          <w:p>
            <w:pPr>
              <w:spacing w:after="0"/>
              <w:rPr>
                <w:sz w:val="7"/>
                <w:szCs w:val="7"/>
                <w:color w:val="auto"/>
              </w:rPr>
            </w:pPr>
          </w:p>
        </w:tc>
        <w:tc>
          <w:tcPr>
            <w:tcW w:w="4660" w:type="dxa"/>
            <w:vAlign w:val="bottom"/>
            <w:vMerge w:val="restart"/>
          </w:tcPr>
          <w:p>
            <w:pPr>
              <w:jc w:val="center"/>
              <w:ind w:left="47"/>
              <w:spacing w:after="0"/>
              <w:rPr>
                <w:sz w:val="20"/>
                <w:szCs w:val="20"/>
                <w:color w:val="auto"/>
              </w:rPr>
            </w:pPr>
            <w:r>
              <w:rPr>
                <w:rFonts w:ascii="Arial" w:cs="Arial" w:eastAsia="Arial" w:hAnsi="Arial"/>
                <w:sz w:val="15"/>
                <w:szCs w:val="15"/>
                <w:color w:val="auto"/>
                <w:w w:val="91"/>
              </w:rPr>
              <w:t>(Principal Executive Officer)</w:t>
            </w: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420" w:type="dxa"/>
            <w:vAlign w:val="bottom"/>
            <w:vMerge w:val="restart"/>
          </w:tcPr>
          <w:p>
            <w:pPr>
              <w:jc w:val="center"/>
              <w:spacing w:after="0"/>
              <w:rPr>
                <w:sz w:val="20"/>
                <w:szCs w:val="20"/>
                <w:color w:val="auto"/>
              </w:rPr>
            </w:pPr>
            <w:r>
              <w:rPr>
                <w:rFonts w:ascii="Arial" w:cs="Arial" w:eastAsia="Arial" w:hAnsi="Arial"/>
                <w:sz w:val="15"/>
                <w:szCs w:val="15"/>
                <w:color w:val="auto"/>
                <w:w w:val="90"/>
              </w:rPr>
              <w:t>Brian L. Roberts</w:t>
            </w:r>
          </w:p>
        </w:tc>
        <w:tc>
          <w:tcPr>
            <w:tcW w:w="466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20" w:type="dxa"/>
            <w:vAlign w:val="bottom"/>
            <w:vMerge w:val="continue"/>
          </w:tcPr>
          <w:p>
            <w:pPr>
              <w:spacing w:after="0"/>
              <w:rPr>
                <w:sz w:val="13"/>
                <w:szCs w:val="13"/>
                <w:color w:val="auto"/>
              </w:rPr>
            </w:pPr>
          </w:p>
        </w:tc>
        <w:tc>
          <w:tcPr>
            <w:tcW w:w="4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2"/>
              </w:rPr>
              <w:t>/s/ LAWRENCE S. SMITH</w:t>
            </w:r>
          </w:p>
        </w:tc>
        <w:tc>
          <w:tcPr>
            <w:tcW w:w="4660" w:type="dxa"/>
            <w:vAlign w:val="bottom"/>
          </w:tcPr>
          <w:p>
            <w:pPr>
              <w:jc w:val="center"/>
              <w:ind w:left="47"/>
              <w:spacing w:after="0"/>
              <w:rPr>
                <w:sz w:val="20"/>
                <w:szCs w:val="20"/>
                <w:color w:val="auto"/>
              </w:rPr>
            </w:pPr>
            <w:r>
              <w:rPr>
                <w:rFonts w:ascii="Arial" w:cs="Arial" w:eastAsia="Arial" w:hAnsi="Arial"/>
                <w:sz w:val="15"/>
                <w:szCs w:val="15"/>
                <w:color w:val="auto"/>
                <w:w w:val="90"/>
              </w:rPr>
              <w:t>Executive Vice President (Co-Principal Financial Officer); Director</w:t>
            </w:r>
          </w:p>
        </w:tc>
        <w:tc>
          <w:tcPr>
            <w:tcW w:w="138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6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87"/>
              </w:rPr>
              <w:t>Lawrence S. Smith</w:t>
            </w:r>
          </w:p>
        </w:tc>
        <w:tc>
          <w:tcPr>
            <w:tcW w:w="4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5420" w:type="dxa"/>
            <w:vAlign w:val="bottom"/>
          </w:tcPr>
          <w:p>
            <w:pPr>
              <w:jc w:val="center"/>
              <w:spacing w:after="0"/>
              <w:rPr>
                <w:sz w:val="20"/>
                <w:szCs w:val="20"/>
                <w:color w:val="auto"/>
              </w:rPr>
            </w:pPr>
            <w:r>
              <w:rPr>
                <w:rFonts w:ascii="Arial" w:cs="Arial" w:eastAsia="Arial" w:hAnsi="Arial"/>
                <w:sz w:val="15"/>
                <w:szCs w:val="15"/>
                <w:color w:val="auto"/>
                <w:w w:val="93"/>
              </w:rPr>
              <w:t>/s/ JOHN R. ALCHIN</w:t>
            </w:r>
          </w:p>
        </w:tc>
        <w:tc>
          <w:tcPr>
            <w:tcW w:w="4660" w:type="dxa"/>
            <w:vAlign w:val="bottom"/>
          </w:tcPr>
          <w:p>
            <w:pPr>
              <w:jc w:val="center"/>
              <w:ind w:left="47"/>
              <w:spacing w:after="0"/>
              <w:rPr>
                <w:sz w:val="20"/>
                <w:szCs w:val="20"/>
                <w:color w:val="auto"/>
              </w:rPr>
            </w:pPr>
            <w:r>
              <w:rPr>
                <w:rFonts w:ascii="Arial" w:cs="Arial" w:eastAsia="Arial" w:hAnsi="Arial"/>
                <w:sz w:val="15"/>
                <w:szCs w:val="15"/>
                <w:color w:val="auto"/>
                <w:w w:val="88"/>
              </w:rPr>
              <w:t>Executive Vice President and Treasurer (Co-Principal Financial</w:t>
            </w:r>
          </w:p>
        </w:tc>
        <w:tc>
          <w:tcPr>
            <w:tcW w:w="138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86"/>
        </w:trPr>
        <w:tc>
          <w:tcPr>
            <w:tcW w:w="5420" w:type="dxa"/>
            <w:vAlign w:val="bottom"/>
            <w:tcBorders>
              <w:bottom w:val="single" w:sz="8" w:color="808080"/>
            </w:tcBorders>
          </w:tcPr>
          <w:p>
            <w:pPr>
              <w:spacing w:after="0"/>
              <w:rPr>
                <w:sz w:val="7"/>
                <w:szCs w:val="7"/>
                <w:color w:val="auto"/>
              </w:rPr>
            </w:pPr>
          </w:p>
        </w:tc>
        <w:tc>
          <w:tcPr>
            <w:tcW w:w="4660" w:type="dxa"/>
            <w:vAlign w:val="bottom"/>
            <w:vMerge w:val="restart"/>
          </w:tcPr>
          <w:p>
            <w:pPr>
              <w:jc w:val="center"/>
              <w:ind w:left="47"/>
              <w:spacing w:after="0"/>
              <w:rPr>
                <w:sz w:val="20"/>
                <w:szCs w:val="20"/>
                <w:color w:val="auto"/>
              </w:rPr>
            </w:pPr>
            <w:r>
              <w:rPr>
                <w:rFonts w:ascii="Arial" w:cs="Arial" w:eastAsia="Arial" w:hAnsi="Arial"/>
                <w:sz w:val="15"/>
                <w:szCs w:val="15"/>
                <w:color w:val="auto"/>
                <w:w w:val="93"/>
              </w:rPr>
              <w:t>Officer)</w:t>
            </w: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420" w:type="dxa"/>
            <w:vAlign w:val="bottom"/>
            <w:vMerge w:val="restart"/>
          </w:tcPr>
          <w:p>
            <w:pPr>
              <w:jc w:val="center"/>
              <w:spacing w:after="0"/>
              <w:rPr>
                <w:sz w:val="20"/>
                <w:szCs w:val="20"/>
                <w:color w:val="auto"/>
              </w:rPr>
            </w:pPr>
            <w:r>
              <w:rPr>
                <w:rFonts w:ascii="Arial" w:cs="Arial" w:eastAsia="Arial" w:hAnsi="Arial"/>
                <w:sz w:val="15"/>
                <w:szCs w:val="15"/>
                <w:color w:val="auto"/>
                <w:w w:val="90"/>
              </w:rPr>
              <w:t>John R. Alchin</w:t>
            </w:r>
          </w:p>
        </w:tc>
        <w:tc>
          <w:tcPr>
            <w:tcW w:w="466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20" w:type="dxa"/>
            <w:vAlign w:val="bottom"/>
            <w:vMerge w:val="continue"/>
          </w:tcPr>
          <w:p>
            <w:pPr>
              <w:spacing w:after="0"/>
              <w:rPr>
                <w:sz w:val="13"/>
                <w:szCs w:val="13"/>
                <w:color w:val="auto"/>
              </w:rPr>
            </w:pPr>
          </w:p>
        </w:tc>
        <w:tc>
          <w:tcPr>
            <w:tcW w:w="4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5"/>
              </w:rPr>
              <w:t>/s/ DAVID L. COHEN</w:t>
            </w:r>
          </w:p>
        </w:tc>
        <w:tc>
          <w:tcPr>
            <w:tcW w:w="4660" w:type="dxa"/>
            <w:vAlign w:val="bottom"/>
          </w:tcPr>
          <w:p>
            <w:pPr>
              <w:jc w:val="center"/>
              <w:ind w:left="47"/>
              <w:spacing w:after="0"/>
              <w:rPr>
                <w:sz w:val="20"/>
                <w:szCs w:val="20"/>
                <w:color w:val="auto"/>
              </w:rPr>
            </w:pPr>
            <w:r>
              <w:rPr>
                <w:rFonts w:ascii="Arial" w:cs="Arial" w:eastAsia="Arial" w:hAnsi="Arial"/>
                <w:sz w:val="15"/>
                <w:szCs w:val="15"/>
                <w:color w:val="auto"/>
                <w:w w:val="89"/>
              </w:rPr>
              <w:t>Executive Vice President; Director</w:t>
            </w:r>
          </w:p>
        </w:tc>
        <w:tc>
          <w:tcPr>
            <w:tcW w:w="138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6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90"/>
              </w:rPr>
              <w:t>David L. Cohen</w:t>
            </w:r>
          </w:p>
        </w:tc>
        <w:tc>
          <w:tcPr>
            <w:tcW w:w="4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3"/>
              </w:rPr>
              <w:t>/s/ ARTHUR R. BLOCK</w:t>
            </w:r>
          </w:p>
        </w:tc>
        <w:tc>
          <w:tcPr>
            <w:tcW w:w="4660" w:type="dxa"/>
            <w:vAlign w:val="bottom"/>
          </w:tcPr>
          <w:p>
            <w:pPr>
              <w:jc w:val="center"/>
              <w:ind w:left="47"/>
              <w:spacing w:after="0"/>
              <w:rPr>
                <w:sz w:val="20"/>
                <w:szCs w:val="20"/>
                <w:color w:val="auto"/>
              </w:rPr>
            </w:pPr>
            <w:r>
              <w:rPr>
                <w:rFonts w:ascii="Arial" w:cs="Arial" w:eastAsia="Arial" w:hAnsi="Arial"/>
                <w:sz w:val="15"/>
                <w:szCs w:val="15"/>
                <w:color w:val="auto"/>
                <w:w w:val="88"/>
              </w:rPr>
              <w:t>Senior Vice President; Director</w:t>
            </w:r>
          </w:p>
        </w:tc>
        <w:tc>
          <w:tcPr>
            <w:tcW w:w="138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6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93"/>
              </w:rPr>
              <w:t>Arthur R. Block</w:t>
            </w:r>
          </w:p>
        </w:tc>
        <w:tc>
          <w:tcPr>
            <w:tcW w:w="4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1"/>
              </w:rPr>
              <w:t>/s/ LAWRENCE J. SALVA</w:t>
            </w:r>
          </w:p>
        </w:tc>
        <w:tc>
          <w:tcPr>
            <w:tcW w:w="4660" w:type="dxa"/>
            <w:vAlign w:val="bottom"/>
          </w:tcPr>
          <w:p>
            <w:pPr>
              <w:jc w:val="center"/>
              <w:ind w:left="47"/>
              <w:spacing w:after="0"/>
              <w:rPr>
                <w:sz w:val="20"/>
                <w:szCs w:val="20"/>
                <w:color w:val="auto"/>
              </w:rPr>
            </w:pPr>
            <w:r>
              <w:rPr>
                <w:rFonts w:ascii="Arial" w:cs="Arial" w:eastAsia="Arial" w:hAnsi="Arial"/>
                <w:sz w:val="15"/>
                <w:szCs w:val="15"/>
                <w:color w:val="auto"/>
                <w:w w:val="90"/>
              </w:rPr>
              <w:t>Senior Vice President (Principal Accounting Officer)</w:t>
            </w:r>
          </w:p>
        </w:tc>
        <w:tc>
          <w:tcPr>
            <w:tcW w:w="138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6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86"/>
              </w:rPr>
              <w:t>Lawrence J. Salva</w:t>
            </w:r>
          </w:p>
        </w:tc>
        <w:tc>
          <w:tcPr>
            <w:tcW w:w="4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tcPr>
          <w:p>
            <w:pPr>
              <w:spacing w:after="0"/>
              <w:rPr>
                <w:sz w:val="24"/>
                <w:szCs w:val="24"/>
                <w:color w:val="auto"/>
              </w:rPr>
            </w:pPr>
          </w:p>
        </w:tc>
        <w:tc>
          <w:tcPr>
            <w:tcW w:w="4660" w:type="dxa"/>
            <w:vAlign w:val="bottom"/>
          </w:tcPr>
          <w:p>
            <w:pPr>
              <w:ind w:left="160"/>
              <w:spacing w:after="0"/>
              <w:rPr>
                <w:sz w:val="20"/>
                <w:szCs w:val="20"/>
                <w:color w:val="auto"/>
              </w:rPr>
            </w:pPr>
            <w:r>
              <w:rPr>
                <w:rFonts w:ascii="Arial" w:cs="Arial" w:eastAsia="Arial" w:hAnsi="Arial"/>
                <w:sz w:val="15"/>
                <w:szCs w:val="15"/>
                <w:color w:val="auto"/>
              </w:rPr>
              <w:t>II-15</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20" w:type="dxa"/>
            <w:vAlign w:val="bottom"/>
            <w:tcBorders>
              <w:bottom w:val="single" w:sz="8" w:color="808080"/>
            </w:tcBorders>
          </w:tcPr>
          <w:p>
            <w:pPr>
              <w:spacing w:after="0"/>
              <w:rPr>
                <w:sz w:val="16"/>
                <w:szCs w:val="16"/>
                <w:color w:val="auto"/>
              </w:rPr>
            </w:pPr>
          </w:p>
        </w:tc>
        <w:tc>
          <w:tcPr>
            <w:tcW w:w="4660" w:type="dxa"/>
            <w:vAlign w:val="bottom"/>
            <w:tcBorders>
              <w:bottom w:val="single" w:sz="8" w:color="808080"/>
            </w:tcBorders>
          </w:tcPr>
          <w:p>
            <w:pPr>
              <w:spacing w:after="0"/>
              <w:rPr>
                <w:sz w:val="16"/>
                <w:szCs w:val="16"/>
                <w:color w:val="auto"/>
              </w:rPr>
            </w:pPr>
          </w:p>
        </w:tc>
        <w:tc>
          <w:tcPr>
            <w:tcW w:w="13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 AND POWER OF ATTORNEY FOR COMCAST MO OF DELAWARE, INC.</w:t>
      </w:r>
    </w:p>
    <w:p>
      <w:pPr>
        <w:spacing w:after="0" w:line="213" w:lineRule="exact"/>
        <w:rPr>
          <w:sz w:val="20"/>
          <w:szCs w:val="20"/>
          <w:color w:val="auto"/>
        </w:rPr>
      </w:pPr>
    </w:p>
    <w:p>
      <w:pPr>
        <w:jc w:val="both"/>
        <w:ind w:right="140" w:firstLine="269"/>
        <w:spacing w:after="0" w:line="395" w:lineRule="auto"/>
        <w:rPr>
          <w:sz w:val="20"/>
          <w:szCs w:val="20"/>
          <w:color w:val="auto"/>
        </w:rPr>
      </w:pPr>
      <w:r>
        <w:rPr>
          <w:rFonts w:ascii="Arial" w:cs="Arial" w:eastAsia="Arial" w:hAnsi="Arial"/>
          <w:sz w:val="12"/>
          <w:szCs w:val="12"/>
          <w:color w:val="auto"/>
        </w:rPr>
        <w:t>Pursuant to the requirements of the Securities Act of 1933, Comcast MO of Delaware, Inc. certifies that it has reasonable grounds to believe that it meets all of the requirements for filing on Form S-3 and has duly caused this Registration Statement to be signed on its behalf by the undersigned, thereunto duly authorized in Philadelphia, Pennsylvania, on the 26th day of March, 2003.</w:t>
      </w:r>
    </w:p>
    <w:p>
      <w:pPr>
        <w:spacing w:after="0" w:line="84"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COMCAST MO OF DELAWARE, INC.</w:t>
      </w:r>
    </w:p>
    <w:p>
      <w:pPr>
        <w:spacing w:after="0" w:line="209" w:lineRule="exact"/>
        <w:rPr>
          <w:sz w:val="20"/>
          <w:szCs w:val="20"/>
          <w:color w:val="auto"/>
        </w:rPr>
      </w:pPr>
    </w:p>
    <w:p>
      <w:pPr>
        <w:ind w:left="4580"/>
        <w:spacing w:after="0"/>
        <w:tabs>
          <w:tab w:leader="none" w:pos="74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80010</wp:posOffset>
            </wp:positionV>
            <wp:extent cx="435737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57370" cy="6985"/>
                    </a:xfrm>
                    <a:prstGeom prst="rect">
                      <a:avLst/>
                    </a:prstGeom>
                    <a:noFill/>
                  </pic:spPr>
                </pic:pic>
              </a:graphicData>
            </a:graphic>
          </wp:anchor>
        </w:drawing>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Arthur R. Block</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 xml:space="preserve">Title: </w:t>
      </w:r>
      <w:r>
        <w:rPr>
          <w:rFonts w:ascii="Arial" w:cs="Arial" w:eastAsia="Arial" w:hAnsi="Arial"/>
          <w:sz w:val="15"/>
          <w:szCs w:val="15"/>
          <w:i w:val="1"/>
          <w:iCs w:val="1"/>
          <w:color w:val="auto"/>
        </w:rPr>
        <w:t>Senior Vice President</w:t>
      </w:r>
    </w:p>
    <w:p>
      <w:pPr>
        <w:spacing w:after="0" w:line="231" w:lineRule="exact"/>
        <w:rPr>
          <w:sz w:val="20"/>
          <w:szCs w:val="20"/>
          <w:color w:val="auto"/>
        </w:rPr>
      </w:pPr>
    </w:p>
    <w:p>
      <w:pPr>
        <w:ind w:right="40" w:firstLine="269"/>
        <w:spacing w:after="0" w:line="273" w:lineRule="auto"/>
        <w:rPr>
          <w:sz w:val="20"/>
          <w:szCs w:val="20"/>
          <w:color w:val="auto"/>
        </w:rPr>
      </w:pPr>
      <w:r>
        <w:rPr>
          <w:rFonts w:ascii="Arial" w:cs="Arial" w:eastAsia="Arial" w:hAnsi="Arial"/>
          <w:sz w:val="14"/>
          <w:szCs w:val="14"/>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below by the following persons in the capacities and on the dates indicated.</w:t>
      </w:r>
    </w:p>
    <w:p>
      <w:pPr>
        <w:spacing w:after="0" w:line="374" w:lineRule="exact"/>
        <w:rPr>
          <w:sz w:val="20"/>
          <w:szCs w:val="20"/>
          <w:color w:val="auto"/>
        </w:rPr>
      </w:pPr>
    </w:p>
    <w:p>
      <w:pPr>
        <w:ind w:left="2480"/>
        <w:spacing w:after="0"/>
        <w:tabs>
          <w:tab w:leader="none" w:pos="7680" w:val="left"/>
          <w:tab w:leader="none" w:pos="1070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62230</wp:posOffset>
            </wp:positionV>
            <wp:extent cx="727011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20" w:type="dxa"/>
            <w:vAlign w:val="bottom"/>
          </w:tcPr>
          <w:p>
            <w:pPr>
              <w:jc w:val="center"/>
              <w:spacing w:after="0"/>
              <w:rPr>
                <w:sz w:val="20"/>
                <w:szCs w:val="20"/>
                <w:color w:val="auto"/>
              </w:rPr>
            </w:pPr>
            <w:r>
              <w:rPr>
                <w:rFonts w:ascii="Arial" w:cs="Arial" w:eastAsia="Arial" w:hAnsi="Arial"/>
                <w:sz w:val="15"/>
                <w:szCs w:val="15"/>
                <w:color w:val="auto"/>
                <w:w w:val="91"/>
              </w:rPr>
              <w:t>/s/ BRIAN L. ROBERTS</w:t>
            </w:r>
          </w:p>
        </w:tc>
        <w:tc>
          <w:tcPr>
            <w:tcW w:w="4660" w:type="dxa"/>
            <w:vAlign w:val="bottom"/>
          </w:tcPr>
          <w:p>
            <w:pPr>
              <w:jc w:val="center"/>
              <w:ind w:left="47"/>
              <w:spacing w:after="0"/>
              <w:rPr>
                <w:sz w:val="20"/>
                <w:szCs w:val="20"/>
                <w:color w:val="auto"/>
              </w:rPr>
            </w:pPr>
            <w:r>
              <w:rPr>
                <w:rFonts w:ascii="Arial" w:cs="Arial" w:eastAsia="Arial" w:hAnsi="Arial"/>
                <w:sz w:val="15"/>
                <w:szCs w:val="15"/>
                <w:color w:val="auto"/>
                <w:w w:val="89"/>
              </w:rPr>
              <w:t>Chairman</w:t>
            </w:r>
          </w:p>
        </w:tc>
        <w:tc>
          <w:tcPr>
            <w:tcW w:w="138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86"/>
        </w:trPr>
        <w:tc>
          <w:tcPr>
            <w:tcW w:w="5420" w:type="dxa"/>
            <w:vAlign w:val="bottom"/>
            <w:tcBorders>
              <w:bottom w:val="single" w:sz="8" w:color="808080"/>
            </w:tcBorders>
          </w:tcPr>
          <w:p>
            <w:pPr>
              <w:spacing w:after="0"/>
              <w:rPr>
                <w:sz w:val="7"/>
                <w:szCs w:val="7"/>
                <w:color w:val="auto"/>
              </w:rPr>
            </w:pPr>
          </w:p>
        </w:tc>
        <w:tc>
          <w:tcPr>
            <w:tcW w:w="4660" w:type="dxa"/>
            <w:vAlign w:val="bottom"/>
            <w:vMerge w:val="restart"/>
          </w:tcPr>
          <w:p>
            <w:pPr>
              <w:jc w:val="center"/>
              <w:ind w:left="47"/>
              <w:spacing w:after="0"/>
              <w:rPr>
                <w:sz w:val="20"/>
                <w:szCs w:val="20"/>
                <w:color w:val="auto"/>
              </w:rPr>
            </w:pPr>
            <w:r>
              <w:rPr>
                <w:rFonts w:ascii="Arial" w:cs="Arial" w:eastAsia="Arial" w:hAnsi="Arial"/>
                <w:sz w:val="15"/>
                <w:szCs w:val="15"/>
                <w:color w:val="auto"/>
                <w:w w:val="91"/>
              </w:rPr>
              <w:t>(Principal Executive Officer)</w:t>
            </w: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420" w:type="dxa"/>
            <w:vAlign w:val="bottom"/>
            <w:vMerge w:val="restart"/>
          </w:tcPr>
          <w:p>
            <w:pPr>
              <w:jc w:val="center"/>
              <w:spacing w:after="0"/>
              <w:rPr>
                <w:sz w:val="20"/>
                <w:szCs w:val="20"/>
                <w:color w:val="auto"/>
              </w:rPr>
            </w:pPr>
            <w:r>
              <w:rPr>
                <w:rFonts w:ascii="Arial" w:cs="Arial" w:eastAsia="Arial" w:hAnsi="Arial"/>
                <w:sz w:val="15"/>
                <w:szCs w:val="15"/>
                <w:color w:val="auto"/>
                <w:w w:val="90"/>
              </w:rPr>
              <w:t>Brian L. Roberts</w:t>
            </w:r>
          </w:p>
        </w:tc>
        <w:tc>
          <w:tcPr>
            <w:tcW w:w="466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20" w:type="dxa"/>
            <w:vAlign w:val="bottom"/>
            <w:vMerge w:val="continue"/>
          </w:tcPr>
          <w:p>
            <w:pPr>
              <w:spacing w:after="0"/>
              <w:rPr>
                <w:sz w:val="13"/>
                <w:szCs w:val="13"/>
                <w:color w:val="auto"/>
              </w:rPr>
            </w:pPr>
          </w:p>
        </w:tc>
        <w:tc>
          <w:tcPr>
            <w:tcW w:w="4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2"/>
              </w:rPr>
              <w:t>/s/ LAWRENCE S. SMITH</w:t>
            </w:r>
          </w:p>
        </w:tc>
        <w:tc>
          <w:tcPr>
            <w:tcW w:w="4660" w:type="dxa"/>
            <w:vAlign w:val="bottom"/>
          </w:tcPr>
          <w:p>
            <w:pPr>
              <w:jc w:val="center"/>
              <w:ind w:left="47"/>
              <w:spacing w:after="0"/>
              <w:rPr>
                <w:sz w:val="20"/>
                <w:szCs w:val="20"/>
                <w:color w:val="auto"/>
              </w:rPr>
            </w:pPr>
            <w:r>
              <w:rPr>
                <w:rFonts w:ascii="Arial" w:cs="Arial" w:eastAsia="Arial" w:hAnsi="Arial"/>
                <w:sz w:val="15"/>
                <w:szCs w:val="15"/>
                <w:color w:val="auto"/>
                <w:w w:val="90"/>
              </w:rPr>
              <w:t>Executive Vice President (Co-Principal Financial Officer); Director</w:t>
            </w:r>
          </w:p>
        </w:tc>
        <w:tc>
          <w:tcPr>
            <w:tcW w:w="138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6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87"/>
              </w:rPr>
              <w:t>Lawrence S. Smith</w:t>
            </w:r>
          </w:p>
        </w:tc>
        <w:tc>
          <w:tcPr>
            <w:tcW w:w="4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5420" w:type="dxa"/>
            <w:vAlign w:val="bottom"/>
          </w:tcPr>
          <w:p>
            <w:pPr>
              <w:jc w:val="center"/>
              <w:spacing w:after="0"/>
              <w:rPr>
                <w:sz w:val="20"/>
                <w:szCs w:val="20"/>
                <w:color w:val="auto"/>
              </w:rPr>
            </w:pPr>
            <w:r>
              <w:rPr>
                <w:rFonts w:ascii="Arial" w:cs="Arial" w:eastAsia="Arial" w:hAnsi="Arial"/>
                <w:sz w:val="15"/>
                <w:szCs w:val="15"/>
                <w:color w:val="auto"/>
                <w:w w:val="93"/>
              </w:rPr>
              <w:t>/s/ JOHN R. ALCHIN</w:t>
            </w:r>
          </w:p>
        </w:tc>
        <w:tc>
          <w:tcPr>
            <w:tcW w:w="4660" w:type="dxa"/>
            <w:vAlign w:val="bottom"/>
          </w:tcPr>
          <w:p>
            <w:pPr>
              <w:jc w:val="center"/>
              <w:ind w:left="47"/>
              <w:spacing w:after="0"/>
              <w:rPr>
                <w:sz w:val="20"/>
                <w:szCs w:val="20"/>
                <w:color w:val="auto"/>
              </w:rPr>
            </w:pPr>
            <w:r>
              <w:rPr>
                <w:rFonts w:ascii="Arial" w:cs="Arial" w:eastAsia="Arial" w:hAnsi="Arial"/>
                <w:sz w:val="15"/>
                <w:szCs w:val="15"/>
                <w:color w:val="auto"/>
                <w:w w:val="88"/>
              </w:rPr>
              <w:t>Executive Vice President and Treasurer (Co-Principal Financial</w:t>
            </w:r>
          </w:p>
        </w:tc>
        <w:tc>
          <w:tcPr>
            <w:tcW w:w="138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86"/>
        </w:trPr>
        <w:tc>
          <w:tcPr>
            <w:tcW w:w="5420" w:type="dxa"/>
            <w:vAlign w:val="bottom"/>
            <w:tcBorders>
              <w:bottom w:val="single" w:sz="8" w:color="808080"/>
            </w:tcBorders>
          </w:tcPr>
          <w:p>
            <w:pPr>
              <w:spacing w:after="0"/>
              <w:rPr>
                <w:sz w:val="7"/>
                <w:szCs w:val="7"/>
                <w:color w:val="auto"/>
              </w:rPr>
            </w:pPr>
          </w:p>
        </w:tc>
        <w:tc>
          <w:tcPr>
            <w:tcW w:w="4660" w:type="dxa"/>
            <w:vAlign w:val="bottom"/>
            <w:vMerge w:val="restart"/>
          </w:tcPr>
          <w:p>
            <w:pPr>
              <w:jc w:val="center"/>
              <w:ind w:left="47"/>
              <w:spacing w:after="0"/>
              <w:rPr>
                <w:sz w:val="20"/>
                <w:szCs w:val="20"/>
                <w:color w:val="auto"/>
              </w:rPr>
            </w:pPr>
            <w:r>
              <w:rPr>
                <w:rFonts w:ascii="Arial" w:cs="Arial" w:eastAsia="Arial" w:hAnsi="Arial"/>
                <w:sz w:val="15"/>
                <w:szCs w:val="15"/>
                <w:color w:val="auto"/>
                <w:w w:val="93"/>
              </w:rPr>
              <w:t>Officer)</w:t>
            </w: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420" w:type="dxa"/>
            <w:vAlign w:val="bottom"/>
            <w:vMerge w:val="restart"/>
          </w:tcPr>
          <w:p>
            <w:pPr>
              <w:jc w:val="center"/>
              <w:spacing w:after="0"/>
              <w:rPr>
                <w:sz w:val="20"/>
                <w:szCs w:val="20"/>
                <w:color w:val="auto"/>
              </w:rPr>
            </w:pPr>
            <w:r>
              <w:rPr>
                <w:rFonts w:ascii="Arial" w:cs="Arial" w:eastAsia="Arial" w:hAnsi="Arial"/>
                <w:sz w:val="15"/>
                <w:szCs w:val="15"/>
                <w:color w:val="auto"/>
                <w:w w:val="90"/>
              </w:rPr>
              <w:t>John R. Alchin</w:t>
            </w:r>
          </w:p>
        </w:tc>
        <w:tc>
          <w:tcPr>
            <w:tcW w:w="466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20" w:type="dxa"/>
            <w:vAlign w:val="bottom"/>
            <w:vMerge w:val="continue"/>
          </w:tcPr>
          <w:p>
            <w:pPr>
              <w:spacing w:after="0"/>
              <w:rPr>
                <w:sz w:val="13"/>
                <w:szCs w:val="13"/>
                <w:color w:val="auto"/>
              </w:rPr>
            </w:pPr>
          </w:p>
        </w:tc>
        <w:tc>
          <w:tcPr>
            <w:tcW w:w="4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5"/>
              </w:rPr>
              <w:t>/s/ DAVID L. COHEN</w:t>
            </w:r>
          </w:p>
        </w:tc>
        <w:tc>
          <w:tcPr>
            <w:tcW w:w="4660" w:type="dxa"/>
            <w:vAlign w:val="bottom"/>
          </w:tcPr>
          <w:p>
            <w:pPr>
              <w:jc w:val="center"/>
              <w:ind w:left="47"/>
              <w:spacing w:after="0"/>
              <w:rPr>
                <w:sz w:val="20"/>
                <w:szCs w:val="20"/>
                <w:color w:val="auto"/>
              </w:rPr>
            </w:pPr>
            <w:r>
              <w:rPr>
                <w:rFonts w:ascii="Arial" w:cs="Arial" w:eastAsia="Arial" w:hAnsi="Arial"/>
                <w:sz w:val="15"/>
                <w:szCs w:val="15"/>
                <w:color w:val="auto"/>
                <w:w w:val="89"/>
              </w:rPr>
              <w:t>Executive Vice President; Director</w:t>
            </w:r>
          </w:p>
        </w:tc>
        <w:tc>
          <w:tcPr>
            <w:tcW w:w="138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6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90"/>
              </w:rPr>
              <w:t>David L. Cohen</w:t>
            </w:r>
          </w:p>
        </w:tc>
        <w:tc>
          <w:tcPr>
            <w:tcW w:w="4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3"/>
              </w:rPr>
              <w:t>/s/ ARTHUR R. BLOCK</w:t>
            </w:r>
          </w:p>
        </w:tc>
        <w:tc>
          <w:tcPr>
            <w:tcW w:w="4660" w:type="dxa"/>
            <w:vAlign w:val="bottom"/>
          </w:tcPr>
          <w:p>
            <w:pPr>
              <w:jc w:val="center"/>
              <w:ind w:left="47"/>
              <w:spacing w:after="0"/>
              <w:rPr>
                <w:sz w:val="20"/>
                <w:szCs w:val="20"/>
                <w:color w:val="auto"/>
              </w:rPr>
            </w:pPr>
            <w:r>
              <w:rPr>
                <w:rFonts w:ascii="Arial" w:cs="Arial" w:eastAsia="Arial" w:hAnsi="Arial"/>
                <w:sz w:val="15"/>
                <w:szCs w:val="15"/>
                <w:color w:val="auto"/>
                <w:w w:val="88"/>
              </w:rPr>
              <w:t>Senior Vice President; Director</w:t>
            </w:r>
          </w:p>
        </w:tc>
        <w:tc>
          <w:tcPr>
            <w:tcW w:w="138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6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93"/>
              </w:rPr>
              <w:t>Arthur R. Block</w:t>
            </w:r>
          </w:p>
        </w:tc>
        <w:tc>
          <w:tcPr>
            <w:tcW w:w="4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tcPr>
          <w:p>
            <w:pPr>
              <w:jc w:val="center"/>
              <w:spacing w:after="0"/>
              <w:rPr>
                <w:sz w:val="20"/>
                <w:szCs w:val="20"/>
                <w:color w:val="auto"/>
              </w:rPr>
            </w:pPr>
            <w:r>
              <w:rPr>
                <w:rFonts w:ascii="Arial" w:cs="Arial" w:eastAsia="Arial" w:hAnsi="Arial"/>
                <w:sz w:val="15"/>
                <w:szCs w:val="15"/>
                <w:color w:val="auto"/>
                <w:w w:val="91"/>
              </w:rPr>
              <w:t>/s/ LAWRENCE J. SALVA</w:t>
            </w:r>
          </w:p>
        </w:tc>
        <w:tc>
          <w:tcPr>
            <w:tcW w:w="4660" w:type="dxa"/>
            <w:vAlign w:val="bottom"/>
          </w:tcPr>
          <w:p>
            <w:pPr>
              <w:jc w:val="center"/>
              <w:ind w:left="47"/>
              <w:spacing w:after="0"/>
              <w:rPr>
                <w:sz w:val="20"/>
                <w:szCs w:val="20"/>
                <w:color w:val="auto"/>
              </w:rPr>
            </w:pPr>
            <w:r>
              <w:rPr>
                <w:rFonts w:ascii="Arial" w:cs="Arial" w:eastAsia="Arial" w:hAnsi="Arial"/>
                <w:sz w:val="15"/>
                <w:szCs w:val="15"/>
                <w:color w:val="auto"/>
                <w:w w:val="90"/>
              </w:rPr>
              <w:t>Senior Vice President (Principal Accounting Officer)</w:t>
            </w:r>
          </w:p>
        </w:tc>
        <w:tc>
          <w:tcPr>
            <w:tcW w:w="1380" w:type="dxa"/>
            <w:vAlign w:val="bottom"/>
          </w:tcPr>
          <w:p>
            <w:pPr>
              <w:ind w:left="280"/>
              <w:spacing w:after="0"/>
              <w:rPr>
                <w:sz w:val="20"/>
                <w:szCs w:val="20"/>
                <w:color w:val="auto"/>
              </w:rPr>
            </w:pPr>
            <w:r>
              <w:rPr>
                <w:rFonts w:ascii="Arial" w:cs="Arial" w:eastAsia="Arial" w:hAnsi="Arial"/>
                <w:sz w:val="15"/>
                <w:szCs w:val="15"/>
                <w:color w:val="auto"/>
              </w:rPr>
              <w:t>March 26, 2003</w:t>
            </w:r>
          </w:p>
        </w:tc>
        <w:tc>
          <w:tcPr>
            <w:tcW w:w="0" w:type="dxa"/>
            <w:vAlign w:val="bottom"/>
          </w:tcPr>
          <w:p>
            <w:pPr>
              <w:spacing w:after="0"/>
              <w:rPr>
                <w:sz w:val="1"/>
                <w:szCs w:val="1"/>
                <w:color w:val="auto"/>
              </w:rPr>
            </w:pPr>
          </w:p>
        </w:tc>
      </w:tr>
      <w:tr>
        <w:trPr>
          <w:trHeight w:val="79"/>
        </w:trPr>
        <w:tc>
          <w:tcPr>
            <w:tcW w:w="5420" w:type="dxa"/>
            <w:vAlign w:val="bottom"/>
            <w:tcBorders>
              <w:bottom w:val="single" w:sz="8" w:color="808080"/>
            </w:tcBorders>
          </w:tcPr>
          <w:p>
            <w:pPr>
              <w:spacing w:after="0"/>
              <w:rPr>
                <w:sz w:val="6"/>
                <w:szCs w:val="6"/>
                <w:color w:val="auto"/>
              </w:rPr>
            </w:pPr>
          </w:p>
        </w:tc>
        <w:tc>
          <w:tcPr>
            <w:tcW w:w="46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5"/>
                <w:szCs w:val="15"/>
                <w:color w:val="auto"/>
                <w:w w:val="86"/>
              </w:rPr>
              <w:t>Lawrence J. Salva</w:t>
            </w:r>
          </w:p>
        </w:tc>
        <w:tc>
          <w:tcPr>
            <w:tcW w:w="4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20" w:type="dxa"/>
            <w:vAlign w:val="bottom"/>
          </w:tcPr>
          <w:p>
            <w:pPr>
              <w:spacing w:after="0"/>
              <w:rPr>
                <w:sz w:val="24"/>
                <w:szCs w:val="24"/>
                <w:color w:val="auto"/>
              </w:rPr>
            </w:pPr>
          </w:p>
        </w:tc>
        <w:tc>
          <w:tcPr>
            <w:tcW w:w="4660" w:type="dxa"/>
            <w:vAlign w:val="bottom"/>
          </w:tcPr>
          <w:p>
            <w:pPr>
              <w:ind w:left="160"/>
              <w:spacing w:after="0"/>
              <w:rPr>
                <w:sz w:val="20"/>
                <w:szCs w:val="20"/>
                <w:color w:val="auto"/>
              </w:rPr>
            </w:pPr>
            <w:r>
              <w:rPr>
                <w:rFonts w:ascii="Arial" w:cs="Arial" w:eastAsia="Arial" w:hAnsi="Arial"/>
                <w:sz w:val="15"/>
                <w:szCs w:val="15"/>
                <w:color w:val="auto"/>
              </w:rPr>
              <w:t>II-16</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20" w:type="dxa"/>
            <w:vAlign w:val="bottom"/>
            <w:tcBorders>
              <w:bottom w:val="single" w:sz="8" w:color="808080"/>
            </w:tcBorders>
          </w:tcPr>
          <w:p>
            <w:pPr>
              <w:spacing w:after="0"/>
              <w:rPr>
                <w:sz w:val="16"/>
                <w:szCs w:val="16"/>
                <w:color w:val="auto"/>
              </w:rPr>
            </w:pPr>
          </w:p>
        </w:tc>
        <w:tc>
          <w:tcPr>
            <w:tcW w:w="4660" w:type="dxa"/>
            <w:vAlign w:val="bottom"/>
            <w:tcBorders>
              <w:bottom w:val="single" w:sz="8" w:color="808080"/>
            </w:tcBorders>
          </w:tcPr>
          <w:p>
            <w:pPr>
              <w:spacing w:after="0"/>
              <w:rPr>
                <w:sz w:val="16"/>
                <w:szCs w:val="16"/>
                <w:color w:val="auto"/>
              </w:rPr>
            </w:pPr>
          </w:p>
        </w:tc>
        <w:tc>
          <w:tcPr>
            <w:tcW w:w="13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Exhibit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94678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785" cy="6985"/>
                    </a:xfrm>
                    <a:prstGeom prst="rect">
                      <a:avLst/>
                    </a:prstGeom>
                    <a:noFill/>
                  </pic:spPr>
                </pic:pic>
              </a:graphicData>
            </a:graphic>
          </wp:anchor>
        </w:drawing>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5"/>
          <w:szCs w:val="15"/>
          <w:color w:val="auto"/>
        </w:rPr>
        <w:t>1.1</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1.2</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2.1</w:t>
      </w:r>
    </w:p>
    <w:p>
      <w:pPr>
        <w:spacing w:after="0" w:line="399" w:lineRule="exact"/>
        <w:rPr>
          <w:sz w:val="20"/>
          <w:szCs w:val="20"/>
          <w:color w:val="auto"/>
        </w:rPr>
      </w:pPr>
    </w:p>
    <w:p>
      <w:pPr>
        <w:ind w:left="740"/>
        <w:spacing w:after="0"/>
        <w:rPr>
          <w:sz w:val="20"/>
          <w:szCs w:val="20"/>
          <w:color w:val="auto"/>
        </w:rPr>
      </w:pPr>
      <w:r>
        <w:rPr>
          <w:rFonts w:ascii="Arial" w:cs="Arial" w:eastAsia="Arial" w:hAnsi="Arial"/>
          <w:sz w:val="15"/>
          <w:szCs w:val="15"/>
          <w:color w:val="auto"/>
        </w:rPr>
        <w:t>2.2</w:t>
      </w:r>
    </w:p>
    <w:p>
      <w:pPr>
        <w:spacing w:after="0" w:line="22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2.3</w:t>
      </w:r>
    </w:p>
    <w:p>
      <w:pPr>
        <w:spacing w:after="0" w:line="22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2.4</w:t>
      </w:r>
    </w:p>
    <w:p>
      <w:pPr>
        <w:spacing w:after="0" w:line="22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2.5</w:t>
      </w:r>
    </w:p>
    <w:p>
      <w:pPr>
        <w:spacing w:after="0" w:line="22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2.6</w:t>
      </w:r>
    </w:p>
    <w:p>
      <w:pPr>
        <w:spacing w:after="0" w:line="22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2.7</w:t>
      </w:r>
    </w:p>
    <w:p>
      <w:pPr>
        <w:spacing w:after="0" w:line="22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4.1</w:t>
      </w:r>
    </w:p>
    <w:p>
      <w:pPr>
        <w:spacing w:after="0" w:line="399"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4.2</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4.3</w:t>
      </w:r>
    </w:p>
    <w:p>
      <w:pPr>
        <w:spacing w:after="0" w:line="22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4.4</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4.5</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4.6</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4.7</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5"/>
          <w:szCs w:val="15"/>
          <w:color w:val="auto"/>
        </w:rPr>
        <w:t>4.8</w:t>
      </w:r>
    </w:p>
    <w:p>
      <w:pPr>
        <w:spacing w:after="0" w:line="34" w:lineRule="exact"/>
        <w:rPr>
          <w:sz w:val="20"/>
          <w:szCs w:val="20"/>
          <w:color w:val="auto"/>
        </w:rPr>
      </w:pPr>
    </w:p>
    <w:p>
      <w:pPr>
        <w:jc w:val="right"/>
        <w:ind w:right="200"/>
        <w:spacing w:after="0"/>
        <w:rPr>
          <w:sz w:val="20"/>
          <w:szCs w:val="20"/>
          <w:color w:val="auto"/>
        </w:rPr>
      </w:pPr>
      <w:r>
        <w:rPr>
          <w:rFonts w:ascii="Arial" w:cs="Arial" w:eastAsia="Arial" w:hAnsi="Arial"/>
          <w:sz w:val="15"/>
          <w:szCs w:val="15"/>
          <w:color w:val="auto"/>
        </w:rPr>
        <w:t>4.9</w:t>
      </w:r>
    </w:p>
    <w:p>
      <w:pPr>
        <w:spacing w:after="0" w:line="41" w:lineRule="exact"/>
        <w:rPr>
          <w:sz w:val="20"/>
          <w:szCs w:val="20"/>
          <w:color w:val="auto"/>
        </w:rPr>
      </w:pPr>
    </w:p>
    <w:p>
      <w:pPr>
        <w:jc w:val="right"/>
        <w:ind w:right="200"/>
        <w:spacing w:after="0"/>
        <w:rPr>
          <w:sz w:val="20"/>
          <w:szCs w:val="20"/>
          <w:color w:val="auto"/>
        </w:rPr>
      </w:pPr>
      <w:r>
        <w:rPr>
          <w:rFonts w:ascii="Arial" w:cs="Arial" w:eastAsia="Arial" w:hAnsi="Arial"/>
          <w:sz w:val="15"/>
          <w:szCs w:val="15"/>
          <w:color w:val="auto"/>
        </w:rPr>
        <w:t>4.10</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5"/>
          <w:szCs w:val="15"/>
          <w:color w:val="auto"/>
        </w:rPr>
        <w:t>4.11</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4.12</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5"/>
          <w:szCs w:val="15"/>
          <w:color w:val="auto"/>
        </w:rPr>
        <w:t>4.13</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4.14</w:t>
      </w:r>
    </w:p>
    <w:p>
      <w:pPr>
        <w:spacing w:after="0" w:line="4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4.15</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5"/>
          <w:szCs w:val="15"/>
          <w:color w:val="auto"/>
        </w:rPr>
        <w:t>4.16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3400"/>
        <w:spacing w:after="0"/>
        <w:rPr>
          <w:sz w:val="20"/>
          <w:szCs w:val="20"/>
          <w:color w:val="auto"/>
        </w:rPr>
      </w:pPr>
      <w:r>
        <w:rPr>
          <w:rFonts w:ascii="Arial" w:cs="Arial" w:eastAsia="Arial" w:hAnsi="Arial"/>
          <w:sz w:val="15"/>
          <w:szCs w:val="15"/>
          <w:b w:val="1"/>
          <w:bCs w:val="1"/>
          <w:color w:val="auto"/>
        </w:rPr>
        <w:t>EXHIBIT LIST</w:t>
      </w:r>
    </w:p>
    <w:p>
      <w:pPr>
        <w:spacing w:after="0" w:line="200" w:lineRule="exact"/>
        <w:rPr>
          <w:sz w:val="20"/>
          <w:szCs w:val="20"/>
          <w:color w:val="auto"/>
        </w:rPr>
      </w:pPr>
    </w:p>
    <w:p>
      <w:pPr>
        <w:spacing w:after="0" w:line="289" w:lineRule="exact"/>
        <w:rPr>
          <w:sz w:val="20"/>
          <w:szCs w:val="20"/>
          <w:color w:val="auto"/>
        </w:rPr>
      </w:pPr>
    </w:p>
    <w:p>
      <w:pPr>
        <w:ind w:left="4540"/>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610933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09335" cy="6985"/>
                    </a:xfrm>
                    <a:prstGeom prst="rect">
                      <a:avLst/>
                    </a:prstGeom>
                    <a:noFill/>
                  </pic:spPr>
                </pic:pic>
              </a:graphicData>
            </a:graphic>
          </wp:anchor>
        </w:drawing>
      </w:r>
    </w:p>
    <w:p>
      <w:pPr>
        <w:spacing w:after="0" w:line="172" w:lineRule="exact"/>
        <w:rPr>
          <w:sz w:val="20"/>
          <w:szCs w:val="20"/>
          <w:color w:val="auto"/>
        </w:rPr>
      </w:pPr>
    </w:p>
    <w:p>
      <w:pPr>
        <w:ind w:right="4080"/>
        <w:spacing w:after="0" w:line="217" w:lineRule="auto"/>
        <w:rPr>
          <w:sz w:val="20"/>
          <w:szCs w:val="20"/>
          <w:color w:val="auto"/>
        </w:rPr>
      </w:pPr>
      <w:r>
        <w:rPr>
          <w:rFonts w:ascii="Arial" w:cs="Arial" w:eastAsia="Arial" w:hAnsi="Arial"/>
          <w:sz w:val="13"/>
          <w:szCs w:val="13"/>
          <w:color w:val="auto"/>
        </w:rPr>
        <w:t>Form of Underwriting Agreement (Debt Securities, Warrants, Purchase Contracts and Units).</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Form of Underwriting Agreement (Preferred Stock, Depositary Shares, Common Stock).</w:t>
      </w:r>
      <w:r>
        <w:rPr>
          <w:rFonts w:ascii="Arial" w:cs="Arial" w:eastAsia="Arial" w:hAnsi="Arial"/>
          <w:sz w:val="21"/>
          <w:szCs w:val="21"/>
          <w:color w:val="auto"/>
          <w:vertAlign w:val="superscript"/>
        </w:rPr>
        <w:t>1</w:t>
      </w:r>
    </w:p>
    <w:p>
      <w:pPr>
        <w:spacing w:after="0" w:line="221" w:lineRule="auto"/>
        <w:rPr>
          <w:sz w:val="20"/>
          <w:szCs w:val="20"/>
          <w:color w:val="auto"/>
        </w:rPr>
      </w:pPr>
      <w:r>
        <w:rPr>
          <w:rFonts w:ascii="Arial" w:cs="Arial" w:eastAsia="Arial" w:hAnsi="Arial"/>
          <w:sz w:val="15"/>
          <w:szCs w:val="15"/>
          <w:color w:val="auto"/>
        </w:rPr>
        <w:t>Composite copy of Agreement and Plan of Merger dated as of December 19, 2001, as amended, among Comcast Holdings Corporation (formerly known as Comcast Corporation), AT&amp;T Corp., Comcast Cable Communications Holdings, Inc. (formerly known as AT&amp;T Broadband Corp.), Comcast Corporation (formerly known as AT&amp;T Comcast Corporation) and the other parties signatory thereto.</w:t>
      </w:r>
      <w:r>
        <w:rPr>
          <w:rFonts w:ascii="Arial" w:cs="Arial" w:eastAsia="Arial" w:hAnsi="Arial"/>
          <w:sz w:val="24"/>
          <w:szCs w:val="24"/>
          <w:color w:val="auto"/>
          <w:vertAlign w:val="superscript"/>
        </w:rPr>
        <w:t>2</w:t>
      </w:r>
    </w:p>
    <w:p>
      <w:pPr>
        <w:spacing w:after="0"/>
        <w:rPr>
          <w:sz w:val="20"/>
          <w:szCs w:val="20"/>
          <w:color w:val="auto"/>
        </w:rPr>
      </w:pPr>
      <w:r>
        <w:rPr>
          <w:rFonts w:ascii="Arial" w:cs="Arial" w:eastAsia="Arial" w:hAnsi="Arial"/>
          <w:sz w:val="12"/>
          <w:szCs w:val="12"/>
          <w:color w:val="auto"/>
        </w:rPr>
        <w:t>Composite copy of Separation and Distribution Agreement dated as of December 19, 2001, as amended, between AT&amp;T Corp. and Comcast Cable Communications</w:t>
      </w:r>
    </w:p>
    <w:p>
      <w:pPr>
        <w:spacing w:after="0" w:line="221" w:lineRule="auto"/>
        <w:rPr>
          <w:sz w:val="20"/>
          <w:szCs w:val="20"/>
          <w:color w:val="auto"/>
        </w:rPr>
      </w:pPr>
      <w:r>
        <w:rPr>
          <w:rFonts w:ascii="Arial" w:cs="Arial" w:eastAsia="Arial" w:hAnsi="Arial"/>
          <w:sz w:val="15"/>
          <w:szCs w:val="15"/>
          <w:color w:val="auto"/>
        </w:rPr>
        <w:t>Holdings, Inc. (formerly known as AT&amp;T Broadband Corp.).</w:t>
      </w:r>
      <w:r>
        <w:rPr>
          <w:rFonts w:ascii="Arial" w:cs="Arial" w:eastAsia="Arial" w:hAnsi="Arial"/>
          <w:sz w:val="24"/>
          <w:szCs w:val="24"/>
          <w:color w:val="auto"/>
          <w:vertAlign w:val="superscript"/>
        </w:rPr>
        <w:t>2</w:t>
      </w:r>
    </w:p>
    <w:p>
      <w:pPr>
        <w:spacing w:after="0"/>
        <w:rPr>
          <w:sz w:val="20"/>
          <w:szCs w:val="20"/>
          <w:color w:val="auto"/>
        </w:rPr>
      </w:pPr>
      <w:r>
        <w:rPr>
          <w:rFonts w:ascii="Arial" w:cs="Arial" w:eastAsia="Arial" w:hAnsi="Arial"/>
          <w:sz w:val="12"/>
          <w:szCs w:val="12"/>
          <w:color w:val="auto"/>
        </w:rPr>
        <w:t>Support Agreement dated as of December 19, 2001, as amended, among AT&amp;T Corp., Comcast Holdings Corporation (formerly known as Comcast Corporation),</w:t>
      </w:r>
    </w:p>
    <w:p>
      <w:pPr>
        <w:spacing w:after="0" w:line="221" w:lineRule="auto"/>
        <w:rPr>
          <w:sz w:val="20"/>
          <w:szCs w:val="20"/>
          <w:color w:val="auto"/>
        </w:rPr>
      </w:pPr>
      <w:r>
        <w:rPr>
          <w:rFonts w:ascii="Arial" w:cs="Arial" w:eastAsia="Arial" w:hAnsi="Arial"/>
          <w:sz w:val="15"/>
          <w:szCs w:val="15"/>
          <w:color w:val="auto"/>
        </w:rPr>
        <w:t>Comcast Corporation (formerly known as AT&amp;T Comcast Corporation), Sural LLC and Brian L. Roberts.</w:t>
      </w:r>
      <w:r>
        <w:rPr>
          <w:rFonts w:ascii="Arial" w:cs="Arial" w:eastAsia="Arial" w:hAnsi="Arial"/>
          <w:sz w:val="24"/>
          <w:szCs w:val="24"/>
          <w:color w:val="auto"/>
          <w:vertAlign w:val="superscript"/>
        </w:rPr>
        <w:t>3</w:t>
      </w:r>
    </w:p>
    <w:p>
      <w:pPr>
        <w:spacing w:after="0"/>
        <w:rPr>
          <w:sz w:val="20"/>
          <w:szCs w:val="20"/>
          <w:color w:val="auto"/>
        </w:rPr>
      </w:pPr>
      <w:r>
        <w:rPr>
          <w:rFonts w:ascii="Arial" w:cs="Arial" w:eastAsia="Arial" w:hAnsi="Arial"/>
          <w:sz w:val="12"/>
          <w:szCs w:val="12"/>
          <w:color w:val="auto"/>
        </w:rPr>
        <w:t>Tax Sharing Agreement dated as of December 19, 2001 between AT&amp;T Corp. and Comcast Cable Communications Holdings, Inc. (formerly known as AT&amp;T</w:t>
      </w:r>
    </w:p>
    <w:p>
      <w:pPr>
        <w:spacing w:after="0" w:line="221" w:lineRule="auto"/>
        <w:rPr>
          <w:sz w:val="20"/>
          <w:szCs w:val="20"/>
          <w:color w:val="auto"/>
        </w:rPr>
      </w:pPr>
      <w:r>
        <w:rPr>
          <w:rFonts w:ascii="Arial" w:cs="Arial" w:eastAsia="Arial" w:hAnsi="Arial"/>
          <w:sz w:val="15"/>
          <w:szCs w:val="15"/>
          <w:color w:val="auto"/>
        </w:rPr>
        <w:t>Broadband Corp.).</w:t>
      </w:r>
      <w:r>
        <w:rPr>
          <w:rFonts w:ascii="Arial" w:cs="Arial" w:eastAsia="Arial" w:hAnsi="Arial"/>
          <w:sz w:val="24"/>
          <w:szCs w:val="24"/>
          <w:color w:val="auto"/>
          <w:vertAlign w:val="superscript"/>
        </w:rPr>
        <w:t>3</w:t>
      </w:r>
    </w:p>
    <w:p>
      <w:pPr>
        <w:spacing w:after="0"/>
        <w:rPr>
          <w:sz w:val="20"/>
          <w:szCs w:val="20"/>
          <w:color w:val="auto"/>
        </w:rPr>
      </w:pPr>
      <w:r>
        <w:rPr>
          <w:rFonts w:ascii="Arial" w:cs="Arial" w:eastAsia="Arial" w:hAnsi="Arial"/>
          <w:sz w:val="12"/>
          <w:szCs w:val="12"/>
          <w:color w:val="auto"/>
        </w:rPr>
        <w:t>Composite Copy of Employee Benefits Agreement dated as of December 19, 2001; as amended; between AT&amp;T Corp. and Comcast Cable Communications</w:t>
      </w:r>
    </w:p>
    <w:p>
      <w:pPr>
        <w:spacing w:after="0" w:line="221" w:lineRule="auto"/>
        <w:rPr>
          <w:sz w:val="20"/>
          <w:szCs w:val="20"/>
          <w:color w:val="auto"/>
        </w:rPr>
      </w:pPr>
      <w:r>
        <w:rPr>
          <w:rFonts w:ascii="Arial" w:cs="Arial" w:eastAsia="Arial" w:hAnsi="Arial"/>
          <w:sz w:val="15"/>
          <w:szCs w:val="15"/>
          <w:color w:val="auto"/>
        </w:rPr>
        <w:t>Holdings, Inc. (formerly known as AT&amp;T Broadband Corp.).</w:t>
      </w:r>
      <w:r>
        <w:rPr>
          <w:rFonts w:ascii="Arial" w:cs="Arial" w:eastAsia="Arial" w:hAnsi="Arial"/>
          <w:sz w:val="24"/>
          <w:szCs w:val="24"/>
          <w:color w:val="auto"/>
          <w:vertAlign w:val="superscript"/>
        </w:rPr>
        <w:t>4</w:t>
      </w:r>
    </w:p>
    <w:p>
      <w:pPr>
        <w:spacing w:after="0"/>
        <w:rPr>
          <w:sz w:val="20"/>
          <w:szCs w:val="20"/>
          <w:color w:val="auto"/>
        </w:rPr>
      </w:pPr>
      <w:r>
        <w:rPr>
          <w:rFonts w:ascii="Arial" w:cs="Arial" w:eastAsia="Arial" w:hAnsi="Arial"/>
          <w:sz w:val="12"/>
          <w:szCs w:val="12"/>
          <w:color w:val="auto"/>
        </w:rPr>
        <w:t>Exchange Agreement dated as of December 7, 2001, as amended, between Microsoft Corporation and Comcast Holdings Corporation (formerly known as Comcast</w:t>
      </w:r>
    </w:p>
    <w:p>
      <w:pPr>
        <w:spacing w:after="0" w:line="221" w:lineRule="auto"/>
        <w:rPr>
          <w:sz w:val="20"/>
          <w:szCs w:val="20"/>
          <w:color w:val="auto"/>
        </w:rPr>
      </w:pPr>
      <w:r>
        <w:rPr>
          <w:rFonts w:ascii="Arial" w:cs="Arial" w:eastAsia="Arial" w:hAnsi="Arial"/>
          <w:sz w:val="15"/>
          <w:szCs w:val="15"/>
          <w:color w:val="auto"/>
        </w:rPr>
        <w:t>Corporation).</w:t>
      </w:r>
      <w:r>
        <w:rPr>
          <w:rFonts w:ascii="Arial" w:cs="Arial" w:eastAsia="Arial" w:hAnsi="Arial"/>
          <w:sz w:val="24"/>
          <w:szCs w:val="24"/>
          <w:color w:val="auto"/>
          <w:vertAlign w:val="superscript"/>
        </w:rPr>
        <w:t>3</w:t>
      </w:r>
    </w:p>
    <w:p>
      <w:pPr>
        <w:spacing w:after="0"/>
        <w:rPr>
          <w:sz w:val="20"/>
          <w:szCs w:val="20"/>
          <w:color w:val="auto"/>
        </w:rPr>
      </w:pPr>
      <w:r>
        <w:rPr>
          <w:rFonts w:ascii="Arial" w:cs="Arial" w:eastAsia="Arial" w:hAnsi="Arial"/>
          <w:sz w:val="12"/>
          <w:szCs w:val="12"/>
          <w:color w:val="auto"/>
        </w:rPr>
        <w:t>Instrument of Admission dated as of December 19, 2001, as amended, between Comcast Corporation (formerly known as AT&amp;T Comcast Corporation) and AT&amp;T</w:t>
      </w:r>
    </w:p>
    <w:p>
      <w:pPr>
        <w:spacing w:after="0" w:line="221" w:lineRule="auto"/>
        <w:rPr>
          <w:sz w:val="20"/>
          <w:szCs w:val="20"/>
          <w:color w:val="auto"/>
        </w:rPr>
      </w:pPr>
      <w:r>
        <w:rPr>
          <w:rFonts w:ascii="Arial" w:cs="Arial" w:eastAsia="Arial" w:hAnsi="Arial"/>
          <w:sz w:val="15"/>
          <w:szCs w:val="15"/>
          <w:color w:val="auto"/>
        </w:rPr>
        <w:t>Corp.</w:t>
      </w:r>
      <w:r>
        <w:rPr>
          <w:rFonts w:ascii="Arial" w:cs="Arial" w:eastAsia="Arial" w:hAnsi="Arial"/>
          <w:sz w:val="24"/>
          <w:szCs w:val="24"/>
          <w:color w:val="auto"/>
          <w:vertAlign w:val="superscript"/>
        </w:rPr>
        <w:t>3</w:t>
      </w:r>
    </w:p>
    <w:p>
      <w:pPr>
        <w:ind w:right="40"/>
        <w:spacing w:after="0" w:line="220" w:lineRule="auto"/>
        <w:rPr>
          <w:sz w:val="20"/>
          <w:szCs w:val="20"/>
          <w:color w:val="auto"/>
        </w:rPr>
      </w:pPr>
      <w:r>
        <w:rPr>
          <w:rFonts w:ascii="Arial" w:cs="Arial" w:eastAsia="Arial" w:hAnsi="Arial"/>
          <w:sz w:val="15"/>
          <w:szCs w:val="15"/>
          <w:color w:val="auto"/>
        </w:rPr>
        <w:t xml:space="preserve">Rights Agreement dated as of November 18, 2002 between Comcast Corporation (formerly known as AT&amp;T Comcast Corporation) and EquiServe Trust Company, N.A., as Rights Agent, which includes the Form of Certificate of Designation of Series A Participating Cumulative Preferred Stock as Exhibit A and the Form of Right Certificate as Exhibit B. </w:t>
      </w:r>
      <w:r>
        <w:rPr>
          <w:rFonts w:ascii="Arial" w:cs="Arial" w:eastAsia="Arial" w:hAnsi="Arial"/>
          <w:sz w:val="24"/>
          <w:szCs w:val="24"/>
          <w:color w:val="auto"/>
          <w:vertAlign w:val="superscript"/>
        </w:rPr>
        <w:t>5</w:t>
      </w:r>
    </w:p>
    <w:p>
      <w:pPr>
        <w:spacing w:after="0" w:line="187" w:lineRule="auto"/>
        <w:rPr>
          <w:sz w:val="20"/>
          <w:szCs w:val="20"/>
          <w:color w:val="auto"/>
        </w:rPr>
      </w:pPr>
      <w:r>
        <w:rPr>
          <w:rFonts w:ascii="Arial" w:cs="Arial" w:eastAsia="Arial" w:hAnsi="Arial"/>
          <w:sz w:val="15"/>
          <w:szCs w:val="15"/>
          <w:color w:val="auto"/>
        </w:rPr>
        <w:t>Form of Senior Indenture among the Company, the cable guarantors party thereto and The Bank of New York, as Trustee.</w:t>
      </w:r>
      <w:r>
        <w:rPr>
          <w:rFonts w:ascii="Arial" w:cs="Arial" w:eastAsia="Arial" w:hAnsi="Arial"/>
          <w:sz w:val="24"/>
          <w:szCs w:val="24"/>
          <w:color w:val="auto"/>
          <w:vertAlign w:val="superscript"/>
        </w:rPr>
        <w:t>6</w:t>
      </w:r>
    </w:p>
    <w:p>
      <w:pPr>
        <w:spacing w:after="0" w:line="1" w:lineRule="exact"/>
        <w:rPr>
          <w:sz w:val="20"/>
          <w:szCs w:val="20"/>
          <w:color w:val="auto"/>
        </w:rPr>
      </w:pPr>
    </w:p>
    <w:p>
      <w:pPr>
        <w:ind w:right="220"/>
        <w:spacing w:after="0" w:line="209" w:lineRule="auto"/>
        <w:rPr>
          <w:sz w:val="20"/>
          <w:szCs w:val="20"/>
          <w:color w:val="auto"/>
        </w:rPr>
      </w:pPr>
      <w:r>
        <w:rPr>
          <w:rFonts w:ascii="Arial" w:cs="Arial" w:eastAsia="Arial" w:hAnsi="Arial"/>
          <w:sz w:val="15"/>
          <w:szCs w:val="15"/>
          <w:color w:val="auto"/>
        </w:rPr>
        <w:t>Form of Amendment to Senior Indenture among the Company, Comcast MO of Delaware, Inc. (formerly known as MediaOne of Delaware, Inc.) the other cable guarantors party thereto and The Bank of New York, as Trustee.</w:t>
      </w:r>
      <w:r>
        <w:rPr>
          <w:rFonts w:ascii="Arial" w:cs="Arial" w:eastAsia="Arial" w:hAnsi="Arial"/>
          <w:sz w:val="24"/>
          <w:szCs w:val="24"/>
          <w:color w:val="auto"/>
          <w:vertAlign w:val="superscript"/>
        </w:rPr>
        <w:t>7</w:t>
      </w:r>
    </w:p>
    <w:p>
      <w:pPr>
        <w:spacing w:after="0" w:line="1" w:lineRule="exact"/>
        <w:rPr>
          <w:sz w:val="20"/>
          <w:szCs w:val="20"/>
          <w:color w:val="auto"/>
        </w:rPr>
      </w:pPr>
    </w:p>
    <w:p>
      <w:pPr>
        <w:ind w:right="2020"/>
        <w:spacing w:after="0" w:line="228" w:lineRule="auto"/>
        <w:rPr>
          <w:sz w:val="20"/>
          <w:szCs w:val="20"/>
          <w:color w:val="auto"/>
        </w:rPr>
      </w:pPr>
      <w:r>
        <w:rPr>
          <w:rFonts w:ascii="Arial" w:cs="Arial" w:eastAsia="Arial" w:hAnsi="Arial"/>
          <w:sz w:val="15"/>
          <w:szCs w:val="15"/>
          <w:color w:val="auto"/>
        </w:rPr>
        <w:t>Form of Subordinated Indenture among the Company, the cable guarantors party thereto and The Bank of New York, as Trustee.</w:t>
      </w:r>
      <w:r>
        <w:rPr>
          <w:rFonts w:ascii="Arial" w:cs="Arial" w:eastAsia="Arial" w:hAnsi="Arial"/>
          <w:sz w:val="24"/>
          <w:szCs w:val="24"/>
          <w:color w:val="auto"/>
          <w:vertAlign w:val="superscript"/>
        </w:rPr>
        <w:t>6</w:t>
      </w:r>
      <w:r>
        <w:rPr>
          <w:rFonts w:ascii="Arial" w:cs="Arial" w:eastAsia="Arial" w:hAnsi="Arial"/>
          <w:sz w:val="15"/>
          <w:szCs w:val="15"/>
          <w:color w:val="auto"/>
        </w:rPr>
        <w:t xml:space="preserve"> Form of Senior Debt Security.</w:t>
      </w:r>
      <w:r>
        <w:rPr>
          <w:rFonts w:ascii="Arial" w:cs="Arial" w:eastAsia="Arial" w:hAnsi="Arial"/>
          <w:sz w:val="24"/>
          <w:szCs w:val="24"/>
          <w:color w:val="auto"/>
          <w:vertAlign w:val="superscript"/>
        </w:rPr>
        <w:t>6</w:t>
      </w:r>
    </w:p>
    <w:p>
      <w:pPr>
        <w:spacing w:after="0" w:line="185" w:lineRule="auto"/>
        <w:rPr>
          <w:sz w:val="20"/>
          <w:szCs w:val="20"/>
          <w:color w:val="auto"/>
        </w:rPr>
      </w:pPr>
      <w:r>
        <w:rPr>
          <w:rFonts w:ascii="Arial" w:cs="Arial" w:eastAsia="Arial" w:hAnsi="Arial"/>
          <w:sz w:val="15"/>
          <w:szCs w:val="15"/>
          <w:color w:val="auto"/>
        </w:rPr>
        <w:t>Form of Subordinated Debt Security.</w:t>
      </w:r>
      <w:r>
        <w:rPr>
          <w:rFonts w:ascii="Arial" w:cs="Arial" w:eastAsia="Arial" w:hAnsi="Arial"/>
          <w:sz w:val="24"/>
          <w:szCs w:val="24"/>
          <w:color w:val="auto"/>
          <w:vertAlign w:val="superscript"/>
        </w:rPr>
        <w:t>6</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Form of Purchase Contract Agreement relating to Purchase Contracts (included in Exhibit 4.10).</w:t>
      </w:r>
    </w:p>
    <w:p>
      <w:pPr>
        <w:spacing w:after="0" w:line="190" w:lineRule="auto"/>
        <w:rPr>
          <w:sz w:val="20"/>
          <w:szCs w:val="20"/>
          <w:color w:val="auto"/>
        </w:rPr>
      </w:pPr>
      <w:r>
        <w:rPr>
          <w:rFonts w:ascii="Arial" w:cs="Arial" w:eastAsia="Arial" w:hAnsi="Arial"/>
          <w:sz w:val="15"/>
          <w:szCs w:val="15"/>
          <w:color w:val="auto"/>
        </w:rPr>
        <w:t>Form of Unit Agreement.</w:t>
      </w:r>
      <w:r>
        <w:rPr>
          <w:rFonts w:ascii="Arial" w:cs="Arial" w:eastAsia="Arial" w:hAnsi="Arial"/>
          <w:sz w:val="24"/>
          <w:szCs w:val="24"/>
          <w:color w:val="auto"/>
          <w:vertAlign w:val="superscript"/>
        </w:rPr>
        <w:t>8</w:t>
      </w:r>
    </w:p>
    <w:p>
      <w:pPr>
        <w:spacing w:after="0" w:line="186" w:lineRule="auto"/>
        <w:rPr>
          <w:sz w:val="20"/>
          <w:szCs w:val="20"/>
          <w:color w:val="auto"/>
        </w:rPr>
      </w:pPr>
      <w:r>
        <w:rPr>
          <w:rFonts w:ascii="Arial" w:cs="Arial" w:eastAsia="Arial" w:hAnsi="Arial"/>
          <w:sz w:val="15"/>
          <w:szCs w:val="15"/>
          <w:color w:val="auto"/>
        </w:rPr>
        <w:t>Form of Warrant Agreement for Warrants sold separately.</w:t>
      </w:r>
      <w:r>
        <w:rPr>
          <w:rFonts w:ascii="Arial" w:cs="Arial" w:eastAsia="Arial" w:hAnsi="Arial"/>
          <w:sz w:val="24"/>
          <w:szCs w:val="24"/>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Form of Warrant for Warrants sold separately (included in Exhibit 4.9).</w:t>
      </w:r>
    </w:p>
    <w:p>
      <w:pPr>
        <w:spacing w:after="0" w:line="191" w:lineRule="auto"/>
        <w:rPr>
          <w:sz w:val="20"/>
          <w:szCs w:val="20"/>
          <w:color w:val="auto"/>
        </w:rPr>
      </w:pPr>
      <w:r>
        <w:rPr>
          <w:rFonts w:ascii="Arial" w:cs="Arial" w:eastAsia="Arial" w:hAnsi="Arial"/>
          <w:sz w:val="15"/>
          <w:szCs w:val="15"/>
          <w:color w:val="auto"/>
        </w:rPr>
        <w:t>Form of Warrant Agreement for Warrants sold attached to other Securities.</w:t>
      </w:r>
      <w:r>
        <w:rPr>
          <w:rFonts w:ascii="Arial" w:cs="Arial" w:eastAsia="Arial" w:hAnsi="Arial"/>
          <w:sz w:val="24"/>
          <w:szCs w:val="24"/>
          <w:color w:val="auto"/>
          <w:vertAlign w:val="superscript"/>
        </w:rPr>
        <w:t>1</w:t>
      </w:r>
    </w:p>
    <w:p>
      <w:pPr>
        <w:spacing w:after="0"/>
        <w:rPr>
          <w:sz w:val="20"/>
          <w:szCs w:val="20"/>
          <w:color w:val="auto"/>
        </w:rPr>
      </w:pPr>
      <w:r>
        <w:rPr>
          <w:rFonts w:ascii="Arial" w:cs="Arial" w:eastAsia="Arial" w:hAnsi="Arial"/>
          <w:sz w:val="15"/>
          <w:szCs w:val="15"/>
          <w:color w:val="auto"/>
        </w:rPr>
        <w:t>Form of Warrant for Warrants sold attached to other Securities (included in Exhibit 4.17).</w:t>
      </w:r>
    </w:p>
    <w:p>
      <w:pPr>
        <w:spacing w:after="0" w:line="190" w:lineRule="auto"/>
        <w:rPr>
          <w:sz w:val="20"/>
          <w:szCs w:val="20"/>
          <w:color w:val="auto"/>
        </w:rPr>
      </w:pPr>
      <w:r>
        <w:rPr>
          <w:rFonts w:ascii="Arial" w:cs="Arial" w:eastAsia="Arial" w:hAnsi="Arial"/>
          <w:sz w:val="15"/>
          <w:szCs w:val="15"/>
          <w:color w:val="auto"/>
        </w:rPr>
        <w:t>Form of Pledge Agreement.</w:t>
      </w:r>
      <w:r>
        <w:rPr>
          <w:rFonts w:ascii="Arial" w:cs="Arial" w:eastAsia="Arial" w:hAnsi="Arial"/>
          <w:sz w:val="24"/>
          <w:szCs w:val="24"/>
          <w:color w:val="auto"/>
          <w:vertAlign w:val="superscript"/>
        </w:rPr>
        <w:t>1</w:t>
      </w:r>
    </w:p>
    <w:p>
      <w:pPr>
        <w:spacing w:after="0" w:line="186" w:lineRule="auto"/>
        <w:rPr>
          <w:sz w:val="20"/>
          <w:szCs w:val="20"/>
          <w:color w:val="auto"/>
        </w:rPr>
      </w:pPr>
      <w:r>
        <w:rPr>
          <w:rFonts w:ascii="Arial" w:cs="Arial" w:eastAsia="Arial" w:hAnsi="Arial"/>
          <w:sz w:val="15"/>
          <w:szCs w:val="15"/>
          <w:color w:val="auto"/>
        </w:rPr>
        <w:t>Form of Deposit Agreement.</w:t>
      </w:r>
      <w:r>
        <w:rPr>
          <w:rFonts w:ascii="Arial" w:cs="Arial" w:eastAsia="Arial" w:hAnsi="Arial"/>
          <w:sz w:val="24"/>
          <w:szCs w:val="24"/>
          <w:color w:val="auto"/>
          <w:vertAlign w:val="superscript"/>
        </w:rPr>
        <w:t>8</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Form of Depositary Share (included in Exhibit 4.14).</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Form of Guarantee (Warrants, Purchase Contracts and Units). </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71755</wp:posOffset>
            </wp:positionV>
            <wp:extent cx="7275195"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2">
            <w:col w:w="1120" w:space="720"/>
            <w:col w:w="9580"/>
          </w:cols>
          <w:pgMar w:left="220" w:top="372" w:right="25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Exhibit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94678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6785" cy="6985"/>
                    </a:xfrm>
                    <a:prstGeom prst="rect">
                      <a:avLst/>
                    </a:prstGeom>
                    <a:noFill/>
                  </pic:spPr>
                </pic:pic>
              </a:graphicData>
            </a:graphic>
          </wp:anchor>
        </w:drawing>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5"/>
          <w:szCs w:val="15"/>
          <w:color w:val="auto"/>
        </w:rPr>
        <w:t>5.1</w:t>
      </w:r>
    </w:p>
    <w:p>
      <w:pPr>
        <w:spacing w:after="0" w:line="41" w:lineRule="exact"/>
        <w:rPr>
          <w:sz w:val="20"/>
          <w:szCs w:val="20"/>
          <w:color w:val="auto"/>
        </w:rPr>
      </w:pPr>
    </w:p>
    <w:p>
      <w:pPr>
        <w:jc w:val="right"/>
        <w:ind w:right="200"/>
        <w:spacing w:after="0"/>
        <w:rPr>
          <w:sz w:val="20"/>
          <w:szCs w:val="20"/>
          <w:color w:val="auto"/>
        </w:rPr>
      </w:pPr>
      <w:r>
        <w:rPr>
          <w:rFonts w:ascii="Arial" w:cs="Arial" w:eastAsia="Arial" w:hAnsi="Arial"/>
          <w:sz w:val="15"/>
          <w:szCs w:val="15"/>
          <w:color w:val="auto"/>
        </w:rPr>
        <w:t>5.2</w:t>
      </w:r>
    </w:p>
    <w:p>
      <w:pPr>
        <w:spacing w:after="0" w:line="41" w:lineRule="exact"/>
        <w:rPr>
          <w:sz w:val="20"/>
          <w:szCs w:val="20"/>
          <w:color w:val="auto"/>
        </w:rPr>
      </w:pPr>
    </w:p>
    <w:p>
      <w:pPr>
        <w:jc w:val="right"/>
        <w:ind w:right="200"/>
        <w:spacing w:after="0"/>
        <w:rPr>
          <w:sz w:val="20"/>
          <w:szCs w:val="20"/>
          <w:color w:val="auto"/>
        </w:rPr>
      </w:pPr>
      <w:r>
        <w:rPr>
          <w:rFonts w:ascii="Arial" w:cs="Arial" w:eastAsia="Arial" w:hAnsi="Arial"/>
          <w:sz w:val="15"/>
          <w:szCs w:val="15"/>
          <w:color w:val="auto"/>
        </w:rPr>
        <w:t>12.1</w:t>
      </w:r>
    </w:p>
    <w:p>
      <w:pPr>
        <w:spacing w:after="0" w:line="4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12.2</w:t>
      </w:r>
    </w:p>
    <w:p>
      <w:pPr>
        <w:spacing w:after="0" w:line="4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23.1</w:t>
      </w:r>
    </w:p>
    <w:p>
      <w:pPr>
        <w:spacing w:after="0" w:line="4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23.2</w:t>
      </w:r>
    </w:p>
    <w:p>
      <w:pPr>
        <w:spacing w:after="0" w:line="4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23.3</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23.4</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24.1</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25.1</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144145</wp:posOffset>
            </wp:positionV>
            <wp:extent cx="132461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246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540"/>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610933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09335" cy="698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Opinion of Arthur R. Block, Esquire.</w:t>
      </w:r>
      <w:r>
        <w:rPr>
          <w:rFonts w:ascii="Arial" w:cs="Arial" w:eastAsia="Arial" w:hAnsi="Arial"/>
          <w:sz w:val="24"/>
          <w:szCs w:val="24"/>
          <w:color w:val="auto"/>
          <w:vertAlign w:val="superscript"/>
        </w:rPr>
        <w:t>7</w:t>
      </w:r>
    </w:p>
    <w:p>
      <w:pPr>
        <w:spacing w:after="0" w:line="185" w:lineRule="auto"/>
        <w:rPr>
          <w:sz w:val="20"/>
          <w:szCs w:val="20"/>
          <w:color w:val="auto"/>
        </w:rPr>
      </w:pPr>
      <w:r>
        <w:rPr>
          <w:rFonts w:ascii="Arial" w:cs="Arial" w:eastAsia="Arial" w:hAnsi="Arial"/>
          <w:sz w:val="15"/>
          <w:szCs w:val="15"/>
          <w:color w:val="auto"/>
        </w:rPr>
        <w:t>Opinion of Davis Polk &amp; Wardwell.</w:t>
      </w:r>
      <w:r>
        <w:rPr>
          <w:rFonts w:ascii="Arial" w:cs="Arial" w:eastAsia="Arial" w:hAnsi="Arial"/>
          <w:sz w:val="24"/>
          <w:szCs w:val="24"/>
          <w:color w:val="auto"/>
          <w:vertAlign w:val="superscript"/>
        </w:rPr>
        <w:t>7</w:t>
      </w:r>
    </w:p>
    <w:p>
      <w:pPr>
        <w:spacing w:after="0" w:line="185" w:lineRule="auto"/>
        <w:rPr>
          <w:sz w:val="20"/>
          <w:szCs w:val="20"/>
          <w:color w:val="auto"/>
        </w:rPr>
      </w:pPr>
      <w:r>
        <w:rPr>
          <w:rFonts w:ascii="Arial" w:cs="Arial" w:eastAsia="Arial" w:hAnsi="Arial"/>
          <w:sz w:val="15"/>
          <w:szCs w:val="15"/>
          <w:color w:val="auto"/>
        </w:rPr>
        <w:t>Statement Regarding Computation of Ratio of Earnings to Fixed Charges of Comcast Corporation.</w:t>
      </w:r>
      <w:r>
        <w:rPr>
          <w:rFonts w:ascii="Arial" w:cs="Arial" w:eastAsia="Arial" w:hAnsi="Arial"/>
          <w:sz w:val="24"/>
          <w:szCs w:val="24"/>
          <w:color w:val="auto"/>
          <w:vertAlign w:val="superscript"/>
        </w:rPr>
        <w:t>7</w:t>
      </w:r>
    </w:p>
    <w:p>
      <w:pPr>
        <w:spacing w:after="0" w:line="1" w:lineRule="exact"/>
        <w:rPr>
          <w:sz w:val="20"/>
          <w:szCs w:val="20"/>
          <w:color w:val="auto"/>
        </w:rPr>
      </w:pPr>
    </w:p>
    <w:p>
      <w:pPr>
        <w:ind w:right="800"/>
        <w:spacing w:after="0" w:line="228" w:lineRule="auto"/>
        <w:rPr>
          <w:sz w:val="20"/>
          <w:szCs w:val="20"/>
          <w:color w:val="auto"/>
        </w:rPr>
      </w:pPr>
      <w:r>
        <w:rPr>
          <w:rFonts w:ascii="Arial" w:cs="Arial" w:eastAsia="Arial" w:hAnsi="Arial"/>
          <w:sz w:val="15"/>
          <w:szCs w:val="15"/>
          <w:color w:val="auto"/>
        </w:rPr>
        <w:t>Statement Regarding Computation of Ratio of Earnings to Combined Fixed Charges and Preferred Dividends of Comcast Corporation.</w:t>
      </w:r>
      <w:r>
        <w:rPr>
          <w:rFonts w:ascii="Arial" w:cs="Arial" w:eastAsia="Arial" w:hAnsi="Arial"/>
          <w:sz w:val="24"/>
          <w:szCs w:val="24"/>
          <w:color w:val="auto"/>
          <w:vertAlign w:val="superscript"/>
        </w:rPr>
        <w:t>7</w:t>
      </w:r>
      <w:r>
        <w:rPr>
          <w:rFonts w:ascii="Arial" w:cs="Arial" w:eastAsia="Arial" w:hAnsi="Arial"/>
          <w:sz w:val="15"/>
          <w:szCs w:val="15"/>
          <w:color w:val="auto"/>
        </w:rPr>
        <w:t xml:space="preserve"> Consent of Deloitte &amp; Touche LLP with respect to Comcast Corporation.</w:t>
      </w:r>
      <w:r>
        <w:rPr>
          <w:rFonts w:ascii="Arial" w:cs="Arial" w:eastAsia="Arial" w:hAnsi="Arial"/>
          <w:sz w:val="24"/>
          <w:szCs w:val="24"/>
          <w:color w:val="auto"/>
          <w:vertAlign w:val="superscript"/>
        </w:rPr>
        <w:t>7</w:t>
      </w:r>
    </w:p>
    <w:p>
      <w:pPr>
        <w:ind w:right="3820"/>
        <w:spacing w:after="0" w:line="219" w:lineRule="auto"/>
        <w:rPr>
          <w:sz w:val="20"/>
          <w:szCs w:val="20"/>
          <w:color w:val="auto"/>
        </w:rPr>
      </w:pPr>
      <w:r>
        <w:rPr>
          <w:rFonts w:ascii="Arial" w:cs="Arial" w:eastAsia="Arial" w:hAnsi="Arial"/>
          <w:sz w:val="15"/>
          <w:szCs w:val="15"/>
          <w:color w:val="auto"/>
        </w:rPr>
        <w:t>Consent of PricewaterhouseCoopers LLP with respect to AT&amp;T Broadband Group.</w:t>
      </w:r>
      <w:r>
        <w:rPr>
          <w:rFonts w:ascii="Arial" w:cs="Arial" w:eastAsia="Arial" w:hAnsi="Arial"/>
          <w:sz w:val="24"/>
          <w:szCs w:val="24"/>
          <w:color w:val="auto"/>
          <w:vertAlign w:val="superscript"/>
        </w:rPr>
        <w:t>7</w:t>
      </w:r>
      <w:r>
        <w:rPr>
          <w:rFonts w:ascii="Arial" w:cs="Arial" w:eastAsia="Arial" w:hAnsi="Arial"/>
          <w:sz w:val="15"/>
          <w:szCs w:val="15"/>
          <w:color w:val="auto"/>
        </w:rPr>
        <w:t xml:space="preserve"> Consent of Arthur R. Block, Esquire (included in Exhibit 5.1). Consent of Davis Polk &amp; Wardwell (included in Exhibit 5.2).</w:t>
      </w:r>
    </w:p>
    <w:p>
      <w:pPr>
        <w:spacing w:after="0"/>
        <w:rPr>
          <w:sz w:val="20"/>
          <w:szCs w:val="20"/>
          <w:color w:val="auto"/>
        </w:rPr>
      </w:pPr>
      <w:r>
        <w:rPr>
          <w:rFonts w:ascii="Arial" w:cs="Arial" w:eastAsia="Arial" w:hAnsi="Arial"/>
          <w:sz w:val="15"/>
          <w:szCs w:val="15"/>
          <w:color w:val="auto"/>
        </w:rPr>
        <w:t>Powers of Attorney (included on the signature pages hereof).</w:t>
      </w:r>
    </w:p>
    <w:p>
      <w:pPr>
        <w:spacing w:after="0" w:line="7"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Statement of Eligibility under the Trust Indenture Act of 1939, as amended, of The Bank of New York, as Trustee under the Senior Indenture.</w:t>
      </w:r>
      <w:r>
        <w:rPr>
          <w:rFonts w:ascii="Arial" w:cs="Arial" w:eastAsia="Arial" w:hAnsi="Arial"/>
          <w:sz w:val="21"/>
          <w:szCs w:val="21"/>
          <w:color w:val="auto"/>
          <w:vertAlign w:val="superscript"/>
        </w:rPr>
        <w:t>6</w:t>
      </w:r>
      <w:r>
        <w:rPr>
          <w:rFonts w:ascii="Arial" w:cs="Arial" w:eastAsia="Arial" w:hAnsi="Arial"/>
          <w:sz w:val="13"/>
          <w:szCs w:val="13"/>
          <w:color w:val="auto"/>
        </w:rPr>
        <w:t xml:space="preserve"> Statement of Eligibility under the Trust Indenture Act of 1939, as amended, of The Bank of New York, as Trustee under the Subordinated Indenture.</w:t>
      </w:r>
      <w:r>
        <w:rPr>
          <w:rFonts w:ascii="Arial" w:cs="Arial" w:eastAsia="Arial" w:hAnsi="Arial"/>
          <w:sz w:val="21"/>
          <w:szCs w:val="21"/>
          <w:color w:val="auto"/>
          <w:vertAlign w:val="superscript"/>
        </w:rPr>
        <w:t>6</w:t>
      </w:r>
    </w:p>
    <w:p>
      <w:pPr>
        <w:spacing w:after="0" w:line="200" w:lineRule="exact"/>
        <w:rPr>
          <w:sz w:val="20"/>
          <w:szCs w:val="20"/>
          <w:color w:val="auto"/>
        </w:rPr>
      </w:pPr>
    </w:p>
    <w:p>
      <w:pPr>
        <w:sectPr>
          <w:pgSz w:w="11900" w:h="16838" w:orient="portrait"/>
          <w:cols w:equalWidth="0" w:num="2">
            <w:col w:w="1120" w:space="720"/>
            <w:col w:w="8720"/>
          </w:cols>
          <w:pgMar w:left="220" w:top="372" w:right="1119" w:bottom="1440" w:gutter="0" w:footer="0" w:header="0"/>
        </w:sectPr>
      </w:pPr>
    </w:p>
    <w:p>
      <w:pPr>
        <w:spacing w:after="0" w:line="24" w:lineRule="exact"/>
        <w:rPr>
          <w:sz w:val="20"/>
          <w:szCs w:val="20"/>
          <w:color w:val="auto"/>
        </w:rPr>
      </w:pPr>
    </w:p>
    <w:p>
      <w:pPr>
        <w:ind w:left="240" w:hanging="230"/>
        <w:spacing w:after="0"/>
        <w:tabs>
          <w:tab w:leader="none" w:pos="2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Incorporated by reference to our Amended Registration Statement on Form S-3/A, filed on December 23, 2002.</w:t>
      </w:r>
    </w:p>
    <w:p>
      <w:pPr>
        <w:spacing w:after="0" w:line="27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2  Incorporated by reference to our Current Report on Form 8-K12g3, filed on November 18, 2002.</w:t>
      </w:r>
    </w:p>
    <w:p>
      <w:pPr>
        <w:spacing w:after="0" w:line="27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3  Incorporated by reference to our Registration Statement on Form S-4, filed on February 11, 2002.</w:t>
      </w:r>
    </w:p>
    <w:p>
      <w:pPr>
        <w:spacing w:after="0" w:line="276" w:lineRule="exact"/>
        <w:rPr>
          <w:rFonts w:ascii="Arial" w:cs="Arial" w:eastAsia="Arial" w:hAnsi="Arial"/>
          <w:sz w:val="15"/>
          <w:szCs w:val="15"/>
          <w:color w:val="auto"/>
        </w:rPr>
      </w:pPr>
    </w:p>
    <w:p>
      <w:pPr>
        <w:ind w:right="2860"/>
        <w:spacing w:after="0" w:line="668" w:lineRule="auto"/>
        <w:rPr>
          <w:rFonts w:ascii="Arial" w:cs="Arial" w:eastAsia="Arial" w:hAnsi="Arial"/>
          <w:sz w:val="15"/>
          <w:szCs w:val="15"/>
          <w:color w:val="auto"/>
        </w:rPr>
      </w:pPr>
      <w:r>
        <w:rPr>
          <w:rFonts w:ascii="Arial" w:cs="Arial" w:eastAsia="Arial" w:hAnsi="Arial"/>
          <w:sz w:val="14"/>
          <w:szCs w:val="14"/>
          <w:color w:val="auto"/>
        </w:rPr>
        <w:t>4 Incorporated by reference to our Annual Report on Form 10-K for the year ended December 31, 2002, filed on March 20, 2003. 5 Incorporated by reference to our Registration Statement on Form 8-A12g, filed on November 18, 2002.</w:t>
      </w:r>
    </w:p>
    <w:p>
      <w:pPr>
        <w:ind w:right="4540"/>
        <w:spacing w:after="0" w:line="624" w:lineRule="auto"/>
        <w:rPr>
          <w:rFonts w:ascii="Arial" w:cs="Arial" w:eastAsia="Arial" w:hAnsi="Arial"/>
          <w:sz w:val="15"/>
          <w:szCs w:val="15"/>
          <w:color w:val="auto"/>
        </w:rPr>
      </w:pPr>
      <w:r>
        <w:rPr>
          <w:rFonts w:ascii="Arial" w:cs="Arial" w:eastAsia="Arial" w:hAnsi="Arial"/>
          <w:sz w:val="15"/>
          <w:szCs w:val="15"/>
          <w:color w:val="auto"/>
        </w:rPr>
        <w:t>6 Incorporated by reference to our Registration Statement on Form S-3, filed on December 16, 2002. 7 Filed herewith.</w:t>
      </w:r>
    </w:p>
    <w:p>
      <w:pPr>
        <w:spacing w:after="0"/>
        <w:rPr>
          <w:rFonts w:ascii="Arial" w:cs="Arial" w:eastAsia="Arial" w:hAnsi="Arial"/>
          <w:sz w:val="15"/>
          <w:szCs w:val="15"/>
          <w:color w:val="auto"/>
        </w:rPr>
      </w:pPr>
      <w:r>
        <w:rPr>
          <w:rFonts w:ascii="Arial" w:cs="Arial" w:eastAsia="Arial" w:hAnsi="Arial"/>
          <w:sz w:val="15"/>
          <w:szCs w:val="15"/>
          <w:color w:val="auto"/>
        </w:rPr>
        <w:t>8  To be filed by Current Report on Form 8-K.</w:t>
      </w:r>
    </w:p>
    <w:p>
      <w:pPr>
        <w:sectPr>
          <w:pgSz w:w="11900" w:h="16838" w:orient="portrait"/>
          <w:cols w:equalWidth="0" w:num="1">
            <w:col w:w="10560"/>
          </w:cols>
          <w:pgMar w:left="220" w:top="372" w:right="1119" w:bottom="1440" w:gutter="0" w:footer="0" w:header="0"/>
          <w:type w:val="continuous"/>
        </w:sectPr>
      </w:pPr>
    </w:p>
    <w:bookmarkStart w:id="70" w:name="page71"/>
    <w:bookmarkEnd w:id="70"/>
    <w:p>
      <w:pPr>
        <w:jc w:val="right"/>
        <w:ind w:right="3239"/>
        <w:spacing w:after="0"/>
        <w:rPr>
          <w:sz w:val="20"/>
          <w:szCs w:val="20"/>
          <w:color w:val="auto"/>
        </w:rPr>
      </w:pPr>
      <w:r>
        <w:rPr>
          <w:rFonts w:ascii="Courier New" w:cs="Courier New" w:eastAsia="Courier New" w:hAnsi="Courier New"/>
          <w:sz w:val="15"/>
          <w:szCs w:val="15"/>
          <w:color w:val="auto"/>
        </w:rPr>
        <w:t>EXHIBIT 4.3</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FIRST SUPPLEMENTAL INDENTURE</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FIRST SUPPLEMENTAL INDENTURE dated as of March 25, 2003 (this "SUPPLEMENTAL INDENTURE"), among Comcast Corporation, a Delaware corporation (excluding its Subsidiaries, the "COMPANY" or "COMCAST"), Comcast Cable Holdings, LLC, a Delaware limited liability company, (excluding its Subsidiaries, "COMCAST CABLE HOLDINGS"), Comcast Cable Communications Holdings, Inc., a Delaware corporation (excluding its Subsidiaries, "COMCAST CABLE COMMUNICATIONS HOLDINGS"), Comcast Cable Communications, Inc., a Delaware corporation (excluding its Subsidiaries, "COMCAST CABLE"), Comcast MO Group, Inc., a Delaware corporation (excluding its Subsidiaries, "COMCAST MO GROUP" and collectively with Comcast Cable Holdings, Comcast Cable Communications Holdings and Comcast Cable, each an "ORIGINAL GUARANTOR"), Comcast MO of Delaware, Inc., a Delaware corporation (excluding its Subsidiaries, "CONTINENTAL") and The Bank of New York, a New York banking corporation, as trustee (the "TRUSTEE").</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WHEREAS, the Company is the issuer under the Indenture, dated as of January 7, 2003 among the Company, the Trustee and the Original Guarantors (the "ORIGINAL INDENTURE" and together with this Supplemental Indenture, the "INDENTURE"), pursuant to which the Company issued, and the Trustee authenticated and delivered 5.85% Notes Due 2010, 6.50% Notes Due 2015, 5.50% Notes Due 2011, and 7.05% Notes Due 2033 which are, as of the date hereof, outstanding (the "OUTSTANDING SECURITIES") and pursuant to which the Company may issue Securities in the future (the "NEW SECURITIES," and together with the Outstanding Securities, the "SECURITIES");</w:t>
      </w:r>
    </w:p>
    <w:p>
      <w:pPr>
        <w:spacing w:after="0" w:line="178" w:lineRule="exact"/>
        <w:rPr>
          <w:sz w:val="20"/>
          <w:szCs w:val="20"/>
          <w:color w:val="auto"/>
        </w:rPr>
      </w:pPr>
    </w:p>
    <w:p>
      <w:pPr>
        <w:ind w:right="3579" w:firstLine="525"/>
        <w:spacing w:after="0" w:line="235" w:lineRule="auto"/>
        <w:rPr>
          <w:sz w:val="20"/>
          <w:szCs w:val="20"/>
          <w:color w:val="auto"/>
        </w:rPr>
      </w:pPr>
      <w:r>
        <w:rPr>
          <w:rFonts w:ascii="Courier New" w:cs="Courier New" w:eastAsia="Courier New" w:hAnsi="Courier New"/>
          <w:sz w:val="15"/>
          <w:szCs w:val="15"/>
          <w:color w:val="auto"/>
        </w:rPr>
        <w:t>WHEREAS, each of Comcast Cable Communications Holdings, Comcast Cable, Comcast MO Group, Comcast Cable Holdings and Continental is a Wholly-Owned Subsidiary of Comcast;</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WHEREAS, the Company is the obligor with respect to the Securities;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WHEREAS, the Original Guarantors irrevocably, fully and unconditionally guaranteed,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Company under the Indenture;</w:t>
      </w:r>
    </w:p>
    <w:p>
      <w:pPr>
        <w:spacing w:after="0" w:line="175" w:lineRule="exact"/>
        <w:rPr>
          <w:sz w:val="20"/>
          <w:szCs w:val="20"/>
          <w:color w:val="auto"/>
        </w:rPr>
      </w:pPr>
    </w:p>
    <w:p>
      <w:pPr>
        <w:ind w:right="3399" w:firstLine="525"/>
        <w:spacing w:after="0" w:line="256" w:lineRule="auto"/>
        <w:rPr>
          <w:sz w:val="20"/>
          <w:szCs w:val="20"/>
          <w:color w:val="auto"/>
        </w:rPr>
      </w:pPr>
      <w:r>
        <w:rPr>
          <w:rFonts w:ascii="Courier New" w:cs="Courier New" w:eastAsia="Courier New" w:hAnsi="Courier New"/>
          <w:sz w:val="14"/>
          <w:szCs w:val="14"/>
          <w:color w:val="auto"/>
        </w:rPr>
        <w:t>WHEREAS, Continental desires to irrevocably, fully and unconditionally guarantee, jointly and severally with the Original Guarantors, on an unsecured basis, the full and punctual payment (whether at maturity, upon redemption, or otherwise) of the principal of and interest on, and all other amounts payable</w:t>
      </w:r>
    </w:p>
    <w:p>
      <w:pPr>
        <w:sectPr>
          <w:pgSz w:w="11900" w:h="16838" w:orient="portrait"/>
          <w:cols w:equalWidth="0" w:num="1">
            <w:col w:w="10239"/>
          </w:cols>
          <w:pgMar w:left="220" w:top="303" w:right="1440" w:bottom="1440" w:gutter="0" w:footer="0" w:header="0"/>
        </w:sectPr>
      </w:pPr>
    </w:p>
    <w:bookmarkStart w:id="71" w:name="page72"/>
    <w:bookmarkEnd w:id="71"/>
    <w:p>
      <w:pPr>
        <w:ind w:right="3579"/>
        <w:spacing w:after="0" w:line="234" w:lineRule="auto"/>
        <w:rPr>
          <w:sz w:val="20"/>
          <w:szCs w:val="20"/>
          <w:color w:val="auto"/>
        </w:rPr>
      </w:pPr>
      <w:r>
        <w:rPr>
          <w:rFonts w:ascii="Courier New" w:cs="Courier New" w:eastAsia="Courier New" w:hAnsi="Courier New"/>
          <w:sz w:val="15"/>
          <w:szCs w:val="15"/>
          <w:color w:val="auto"/>
        </w:rPr>
        <w:t>under, each Security, and the full and punctual payment of all other amounts payable by the Company under the Indenture; and</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WHEREAS, the Company, the Original Guarantors and Continental have requested that the Trustee execute and deliver this Supplemental Indenture and all requirements necessary to make this Supplemental Indenture a valid instrument in accordance with its terms and to make the guarantees provided under the Indenture the valid obligations of Continental, and the execution and delivery of this Supplemental Indenture have been duly authorized in all respects.</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NOW, THEREFORE, in consideration of the mutual promises contained herein and for other good and valuable consideration, the receipt and sufficiency of which are hereby acknowledged, the Company, each Original Guarantor, Continental and the Trustee hereby agree as follows for the equal and ratable benefit of the holders of the Securities: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499" w:firstLine="525"/>
        <w:spacing w:after="0" w:line="234" w:lineRule="auto"/>
        <w:rPr>
          <w:sz w:val="20"/>
          <w:szCs w:val="20"/>
          <w:color w:val="auto"/>
        </w:rPr>
      </w:pPr>
      <w:r>
        <w:rPr>
          <w:rFonts w:ascii="Courier New" w:cs="Courier New" w:eastAsia="Courier New" w:hAnsi="Courier New"/>
          <w:sz w:val="15"/>
          <w:szCs w:val="15"/>
          <w:color w:val="auto"/>
        </w:rPr>
        <w:t>Section 1.01. Certain Terms Defined. The Indenture is hereby amended as follows:</w:t>
      </w:r>
    </w:p>
    <w:p>
      <w:pPr>
        <w:spacing w:after="0" w:line="173" w:lineRule="exact"/>
        <w:rPr>
          <w:sz w:val="20"/>
          <w:szCs w:val="20"/>
          <w:color w:val="auto"/>
        </w:rPr>
      </w:pPr>
    </w:p>
    <w:p>
      <w:pPr>
        <w:ind w:right="3679" w:firstLine="525"/>
        <w:spacing w:after="0" w:line="261" w:lineRule="auto"/>
        <w:rPr>
          <w:sz w:val="20"/>
          <w:szCs w:val="20"/>
          <w:color w:val="auto"/>
        </w:rPr>
      </w:pPr>
      <w:r>
        <w:rPr>
          <w:rFonts w:ascii="Courier New" w:cs="Courier New" w:eastAsia="Courier New" w:hAnsi="Courier New"/>
          <w:sz w:val="14"/>
          <w:szCs w:val="14"/>
          <w:color w:val="auto"/>
        </w:rPr>
        <w:t>"CABLE GUARANTOR" means each of Comcast Cable Holdings, Comcast Cable Communications Holdings, Comcast Cable, Comcast MO Group, and Continental.</w:t>
      </w:r>
    </w:p>
    <w:p>
      <w:pPr>
        <w:spacing w:after="0" w:line="15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2</w:t>
      </w:r>
    </w:p>
    <w:p>
      <w:pPr>
        <w:ind w:left="3080"/>
        <w:spacing w:after="0" w:line="237" w:lineRule="auto"/>
        <w:rPr>
          <w:sz w:val="20"/>
          <w:szCs w:val="20"/>
          <w:color w:val="auto"/>
        </w:rPr>
      </w:pPr>
      <w:r>
        <w:rPr>
          <w:rFonts w:ascii="Courier New" w:cs="Courier New" w:eastAsia="Courier New" w:hAnsi="Courier New"/>
          <w:sz w:val="15"/>
          <w:szCs w:val="15"/>
          <w:color w:val="auto"/>
        </w:rPr>
        <w:t>GUARANTEES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2.01. Guarantee. Continental hereby agrees to be bound by all obligations of a Cable Guarantor as set forth under the Indenture including, but not limited to irrevocably, fully and unconditionally guaranteeing,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Company under the Indenture, upon the terms and subject to the conditions of the Indenture.</w:t>
      </w:r>
    </w:p>
    <w:p>
      <w:pPr>
        <w:spacing w:after="0" w:line="177"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The following Section 13.10 is hereby added to Article 13 of the Original Indenture:</w:t>
      </w:r>
    </w:p>
    <w:p>
      <w:pPr>
        <w:spacing w:after="0" w:line="173" w:lineRule="exact"/>
        <w:rPr>
          <w:sz w:val="20"/>
          <w:szCs w:val="20"/>
          <w:color w:val="auto"/>
        </w:rPr>
      </w:pPr>
    </w:p>
    <w:p>
      <w:pPr>
        <w:ind w:right="3319" w:firstLine="525"/>
        <w:spacing w:after="0" w:line="261" w:lineRule="auto"/>
        <w:rPr>
          <w:sz w:val="20"/>
          <w:szCs w:val="20"/>
          <w:color w:val="auto"/>
        </w:rPr>
      </w:pPr>
      <w:r>
        <w:rPr>
          <w:rFonts w:ascii="Courier New" w:cs="Courier New" w:eastAsia="Courier New" w:hAnsi="Courier New"/>
          <w:sz w:val="14"/>
          <w:szCs w:val="14"/>
          <w:color w:val="auto"/>
        </w:rPr>
        <w:t>"Section 13.10. Additional Cable Guarantors. If, from time to time, a Comcast Subsidiary desires to be added as a Cable Guarantor under the Indenture</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55" w:right="1440" w:bottom="1440" w:gutter="0" w:footer="0" w:header="0"/>
        </w:sectPr>
      </w:pPr>
    </w:p>
    <w:bookmarkStart w:id="72" w:name="page73"/>
    <w:bookmarkEnd w:id="72"/>
    <w:p>
      <w:pPr>
        <w:ind w:right="3319"/>
        <w:spacing w:after="0" w:line="237" w:lineRule="auto"/>
        <w:rPr>
          <w:sz w:val="20"/>
          <w:szCs w:val="20"/>
          <w:color w:val="auto"/>
        </w:rPr>
      </w:pPr>
      <w:r>
        <w:rPr>
          <w:rFonts w:ascii="Courier New" w:cs="Courier New" w:eastAsia="Courier New" w:hAnsi="Courier New"/>
          <w:sz w:val="15"/>
          <w:szCs w:val="15"/>
          <w:color w:val="auto"/>
        </w:rPr>
        <w:t>and such Subsidiary agrees to assume all the obligations of a Cable Guarantor under the Indenture including without limitation, the obligations specified under this Article 13, such Subsidiary may be added to the definition of "Cable Guarantor" under the Indenture by entering into a written agreement with the Company and the Trustee in the form attached as Exhibit A. Execution of such written agreement by a Subsidiary evidences the Cable Guarantee of such Subsidiary and constitutes due delivery of the Cable Guarantee as set forth in this Supplemental Indenture on behalf of the Subsidiary with respect to the Outstanding Securities. The execution of such written agreement evidences the Cable Guarantee of such Subsidiary with respect to any New Security, whether or not the person signing as an officer of the Subsidiary still holds that office at the time of authentication of such New Security. The delivery of any New Security by the Trustee after authentication constitutes due delivery of the Cable Guarantees as set forth in this Supplemental Indenture on behalf of the Subsidiary."</w:t>
      </w:r>
    </w:p>
    <w:p>
      <w:pPr>
        <w:spacing w:after="0" w:line="1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3</w:t>
      </w:r>
    </w:p>
    <w:p>
      <w:pPr>
        <w:jc w:val="center"/>
        <w:ind w:right="3139"/>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Section 3.01. Date and Time of Effectiveness. This Supplemental Indenture shall become a legally effective and binding instrument at and as of the date hereof.</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Section 3.02. Supplemental Indenture Incorporated Into Indenture. The terms and conditions of this Supplemental Indenture shall be deemed to be part of the Indenture for all purposes relating to the Securities. The Original Indenture is hereby incorporated by reference herein and the Original Indenture, as supplemented by this Supplemental Indenture, is in all respects adopted, ratified and confirmed.</w:t>
      </w:r>
    </w:p>
    <w:p>
      <w:pPr>
        <w:spacing w:after="0" w:line="175" w:lineRule="exact"/>
        <w:rPr>
          <w:sz w:val="20"/>
          <w:szCs w:val="20"/>
          <w:color w:val="auto"/>
        </w:rPr>
      </w:pPr>
    </w:p>
    <w:p>
      <w:pPr>
        <w:ind w:right="3679" w:firstLine="525"/>
        <w:spacing w:after="0" w:line="236" w:lineRule="auto"/>
        <w:rPr>
          <w:sz w:val="20"/>
          <w:szCs w:val="20"/>
          <w:color w:val="auto"/>
        </w:rPr>
      </w:pPr>
      <w:r>
        <w:rPr>
          <w:rFonts w:ascii="Courier New" w:cs="Courier New" w:eastAsia="Courier New" w:hAnsi="Courier New"/>
          <w:sz w:val="15"/>
          <w:szCs w:val="15"/>
          <w:color w:val="auto"/>
        </w:rPr>
        <w:t>Section 3.03. Outstanding Securities Deemed Conformed. As of the date hereof, the provisions of the Outstanding Securities shall be deemed o be conformed, without the necessity for any reissuance or exchange of such Outstanding Security or any other action on the party of the holders of Outstanding Securities, the Company or the Trustee, so as to reflect this Supplemental Indenture.</w:t>
      </w:r>
    </w:p>
    <w:p>
      <w:pPr>
        <w:spacing w:after="0" w:line="175" w:lineRule="exact"/>
        <w:rPr>
          <w:sz w:val="20"/>
          <w:szCs w:val="20"/>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Section 3.04. Separability. In case any provision in this Supplemental Indenture, or in the Indenture, shall be invalid, illegal or unenforceable, the validity, legality and enforceability of the remaining provisions shall not in any way be affected or impaired thereby, it being intended that all of the provisions hereof shall be enforceable to the full extent permitted by law.</w:t>
      </w:r>
    </w:p>
    <w:p>
      <w:pPr>
        <w:spacing w:after="0" w:line="163"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Section 3.05. Benefits of Supplemental Indenture. Nothing in this Supplemental Indenture, expressed or implied, shall give or be construed to give</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55" w:right="1440" w:bottom="1440" w:gutter="0" w:footer="0" w:header="0"/>
        </w:sectPr>
      </w:pPr>
    </w:p>
    <w:bookmarkStart w:id="73" w:name="page74"/>
    <w:bookmarkEnd w:id="73"/>
    <w:p>
      <w:pPr>
        <w:ind w:right="3499"/>
        <w:spacing w:after="0" w:line="235" w:lineRule="auto"/>
        <w:rPr>
          <w:sz w:val="20"/>
          <w:szCs w:val="20"/>
          <w:color w:val="auto"/>
        </w:rPr>
      </w:pPr>
      <w:r>
        <w:rPr>
          <w:rFonts w:ascii="Courier New" w:cs="Courier New" w:eastAsia="Courier New" w:hAnsi="Courier New"/>
          <w:sz w:val="15"/>
          <w:szCs w:val="15"/>
          <w:color w:val="auto"/>
        </w:rPr>
        <w:t>to any person, firm or corporation, other than the parties hereto and the holders of Securities, any benefit or any legal or equitable right, remedy or claim under this Supplemental Indenture or the Indenture.</w:t>
      </w:r>
    </w:p>
    <w:p>
      <w:pPr>
        <w:spacing w:after="0" w:line="174"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Section 3.06. Successors. Subject to Section 13.09 of the Original Indenture dated as of January 7, 2003, all agreements of the Company, the Guarantors and the Trustee in this Supplemental Indenture and in the Indenture shall bind their respective successors.</w:t>
      </w:r>
    </w:p>
    <w:p>
      <w:pPr>
        <w:spacing w:after="0" w:line="175"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Section 3.07. New York Law to Govern. This Supplemental Indenture shall be deemed to be a contract under the laws of the State of New York, and for all purposes shall be construed in accordance with the laws of such State.</w:t>
      </w:r>
    </w:p>
    <w:p>
      <w:pPr>
        <w:spacing w:after="0" w:line="174"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Section 3.08. Counterparts. This Supplemental Indenture may be executed in any number of counterparts, each of which shall be an original; but such counterparts shall together constitute but one and the same instrument.</w:t>
      </w:r>
    </w:p>
    <w:p>
      <w:pPr>
        <w:spacing w:after="0" w:line="174" w:lineRule="exact"/>
        <w:rPr>
          <w:sz w:val="20"/>
          <w:szCs w:val="20"/>
          <w:color w:val="auto"/>
        </w:rPr>
      </w:pPr>
    </w:p>
    <w:p>
      <w:pPr>
        <w:ind w:right="3319" w:firstLine="525"/>
        <w:spacing w:after="0" w:line="261" w:lineRule="auto"/>
        <w:rPr>
          <w:sz w:val="20"/>
          <w:szCs w:val="20"/>
          <w:color w:val="auto"/>
        </w:rPr>
      </w:pPr>
      <w:r>
        <w:rPr>
          <w:rFonts w:ascii="Courier New" w:cs="Courier New" w:eastAsia="Courier New" w:hAnsi="Courier New"/>
          <w:sz w:val="14"/>
          <w:szCs w:val="14"/>
          <w:color w:val="auto"/>
        </w:rPr>
        <w:t>Section 3.09. Effect Of Headings. The Article and Section headings herein are for convenience only and shall not affect the construction hereof.</w:t>
      </w:r>
    </w:p>
    <w:p>
      <w:pPr>
        <w:spacing w:after="0" w:line="160"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Section 3.10 Trustee. The Trustee makes no representations as to the validity or sufficiency of this Supplemental Indenture. The statements and recitals herein are deemed to be those of the Company and the Guarantor and not of the Trustee.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55" w:right="1440" w:bottom="1440" w:gutter="0" w:footer="0" w:header="0"/>
        </w:sectPr>
      </w:pPr>
    </w:p>
    <w:bookmarkStart w:id="74" w:name="page75"/>
    <w:bookmarkEnd w:id="74"/>
    <w:p>
      <w:pPr>
        <w:ind w:right="3239" w:firstLine="525"/>
        <w:spacing w:after="0" w:line="235" w:lineRule="auto"/>
        <w:rPr>
          <w:sz w:val="20"/>
          <w:szCs w:val="20"/>
          <w:color w:val="auto"/>
        </w:rPr>
      </w:pPr>
      <w:r>
        <w:rPr>
          <w:rFonts w:ascii="Courier New" w:cs="Courier New" w:eastAsia="Courier New" w:hAnsi="Courier New"/>
          <w:sz w:val="15"/>
          <w:szCs w:val="15"/>
          <w:color w:val="auto"/>
        </w:rPr>
        <w:t>IN WITNESS WHEREOF, each the parties have caused this Supplemental Indenture to be duly executed, and its corporate seal to be hereunto affixed and attested, all as of the first date written above.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55" w:right="1440" w:bottom="1440" w:gutter="0" w:footer="0" w:header="0"/>
        </w:sectPr>
      </w:pPr>
    </w:p>
    <w:bookmarkStart w:id="75" w:name="page76"/>
    <w:bookmarkEnd w:id="75"/>
    <w:p>
      <w:pPr>
        <w:ind w:left="3160"/>
        <w:spacing w:after="0"/>
        <w:rPr>
          <w:sz w:val="20"/>
          <w:szCs w:val="20"/>
          <w:color w:val="auto"/>
        </w:rPr>
      </w:pPr>
      <w:r>
        <w:rPr>
          <w:rFonts w:ascii="Courier New" w:cs="Courier New" w:eastAsia="Courier New" w:hAnsi="Courier New"/>
          <w:sz w:val="15"/>
          <w:szCs w:val="15"/>
          <w:color w:val="auto"/>
        </w:rPr>
        <w:t>COMCAST MO GROUP, INC.</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COMCAST CABLE HOLDINGS, LLC</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COMCAST MO OF DELAWARE, INC.</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49" w:right="1440" w:bottom="1440" w:gutter="0" w:footer="0" w:header="0"/>
        </w:sectPr>
      </w:pPr>
    </w:p>
    <w:bookmarkStart w:id="76" w:name="page77"/>
    <w:bookmarkEnd w:id="76"/>
    <w:p>
      <w:pPr>
        <w:ind w:left="3160"/>
        <w:spacing w:after="0"/>
        <w:rPr>
          <w:sz w:val="20"/>
          <w:szCs w:val="20"/>
          <w:color w:val="auto"/>
        </w:rPr>
      </w:pPr>
      <w:r>
        <w:rPr>
          <w:rFonts w:ascii="Courier New" w:cs="Courier New" w:eastAsia="Courier New" w:hAnsi="Courier New"/>
          <w:sz w:val="15"/>
          <w:szCs w:val="15"/>
          <w:color w:val="auto"/>
        </w:rPr>
        <w:t>THE BANK OF NEW YORK, as Trustee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49" w:right="1440" w:bottom="1440" w:gutter="0" w:footer="0" w:header="0"/>
        </w:sectPr>
      </w:pPr>
    </w:p>
    <w:bookmarkStart w:id="77" w:name="page78"/>
    <w:bookmarkEnd w:id="77"/>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Additional Guarantor Agreement</w:t>
      </w:r>
    </w:p>
    <w:p>
      <w:pPr>
        <w:spacing w:after="0" w:line="173" w:lineRule="exact"/>
        <w:rPr>
          <w:sz w:val="20"/>
          <w:szCs w:val="20"/>
          <w:color w:val="auto"/>
        </w:rPr>
      </w:pPr>
    </w:p>
    <w:p>
      <w:pPr>
        <w:ind w:right="3399" w:firstLine="525"/>
        <w:spacing w:after="0" w:line="254" w:lineRule="auto"/>
        <w:rPr>
          <w:sz w:val="20"/>
          <w:szCs w:val="20"/>
          <w:color w:val="auto"/>
        </w:rPr>
      </w:pPr>
      <w:r>
        <w:rPr>
          <w:rFonts w:ascii="Courier New" w:cs="Courier New" w:eastAsia="Courier New" w:hAnsi="Courier New"/>
          <w:sz w:val="14"/>
          <w:szCs w:val="14"/>
          <w:color w:val="auto"/>
        </w:rPr>
        <w:t>This Additional Guarantor Agreement (the "AGREEMENT") is entered into as of ________, 200_ among Comcast Corporation, a Pennsylvania corporation (the</w:t>
      </w:r>
    </w:p>
    <w:p>
      <w:pPr>
        <w:spacing w:after="0" w:line="231" w:lineRule="auto"/>
        <w:rPr>
          <w:sz w:val="20"/>
          <w:szCs w:val="20"/>
          <w:color w:val="auto"/>
        </w:rPr>
      </w:pPr>
      <w:r>
        <w:rPr>
          <w:rFonts w:ascii="Courier New" w:cs="Courier New" w:eastAsia="Courier New" w:hAnsi="Courier New"/>
          <w:sz w:val="15"/>
          <w:szCs w:val="15"/>
          <w:color w:val="auto"/>
        </w:rPr>
        <w:t>"COMPANY" or "COMCAST"), [________________ ] (the "NEW CABLE GUARANTOR"), and</w:t>
      </w:r>
    </w:p>
    <w:p>
      <w:pPr>
        <w:spacing w:after="0" w:line="5"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The Bank of New York, a New York banking corporation, as trustee (the "TRUSTEE").</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WHEREAS, the Company is the issuer under the Indenture, dated as of January 7, 2003 and a First Supplemental Indenture dated as of March 25, 2003 (collectively, the "INDENTURE"), pursuant to which the Company issued, and the Trustee authenticated and delivered, certain Securities (as defined below) which are, as of the date hereof, outstanding (the "OUTSTANDING SECURITIES") and pursuant to which the Company may issue Securities in the future (the "NEW SECURITIES," and together with the Outstanding Securities, the "SECURITIES") which Securities have been guaranteed by Comcast Cable Holdings, LLC, a Delaware limited liability company, Comcast Cable Communications, Inc., a Delaware corporation, Comcast Cable Communications Holdings, Inc., a Delaware corporation, Comcast MO Group, Inc., a Delaware corporation, and Comcast MO of Delaware, Inc., a Delaware corporation;</w:t>
      </w:r>
    </w:p>
    <w:p>
      <w:pPr>
        <w:spacing w:after="0" w:line="173"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4"/>
          <w:szCs w:val="14"/>
          <w:color w:val="auto"/>
        </w:rPr>
        <w:t>WHEREAS, pursuant to Section 13.10 of the Indenture, the New Cable Guarantor may become a Cable Guarantor under the Indenture by entering into this Agreement among the New Cable Guarantor, the Company and the Trustee; and</w:t>
      </w:r>
    </w:p>
    <w:p>
      <w:pPr>
        <w:spacing w:after="0" w:line="161"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WHEREAS, the New Cable Guarantor wishes to enter into this Agreement to make the guarantees as provided under the Indenture a valid obligation of the New Cable Guarantor, and the execution and delivery of this Agreement have been duly authorized in all respects;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NOW, THEREFORE, in consideration of the mutual promises contained herein and for other good and valuable consideration, the receipt and sufficiency of which are hereby acknowledged, the Company, the New Cable Guarantor, and the Trustee hereby agree as follows for the equal and ratable benefit of the holders of the Securities:</w:t>
      </w:r>
    </w:p>
    <w:p>
      <w:pPr>
        <w:spacing w:after="0" w:line="174" w:lineRule="exact"/>
        <w:rPr>
          <w:sz w:val="20"/>
          <w:szCs w:val="20"/>
          <w:color w:val="auto"/>
        </w:rPr>
      </w:pPr>
    </w:p>
    <w:p>
      <w:pPr>
        <w:ind w:right="3319" w:firstLine="534"/>
        <w:spacing w:after="0" w:line="236" w:lineRule="auto"/>
        <w:tabs>
          <w:tab w:leader="none" w:pos="78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hereby agree to the addition of the New Cable Guarantor to the definition of "CABLE GUARANTOR" under the Indenture and the New Guarantor agrees to be bound by all obligations of a Cable Guarantor as set forth under the Indenture including, but not limited to irrevocably, fully and unconditionally guaranteeing, jointly and severally, on an unsecured basis, the full and punctual payment (whether at maturity, upon redemption, or otherwise) of the</w:t>
      </w:r>
    </w:p>
    <w:p>
      <w:pPr>
        <w:sectPr>
          <w:pgSz w:w="11900" w:h="16838" w:orient="portrait"/>
          <w:cols w:equalWidth="0" w:num="1">
            <w:col w:w="10239"/>
          </w:cols>
          <w:pgMar w:left="220" w:top="449" w:right="1440" w:bottom="1440" w:gutter="0" w:footer="0" w:header="0"/>
        </w:sectPr>
      </w:pPr>
    </w:p>
    <w:bookmarkStart w:id="78" w:name="page79"/>
    <w:bookmarkEnd w:id="78"/>
    <w:p>
      <w:pPr>
        <w:ind w:right="3239"/>
        <w:spacing w:after="0" w:line="235" w:lineRule="auto"/>
        <w:rPr>
          <w:sz w:val="20"/>
          <w:szCs w:val="20"/>
          <w:color w:val="auto"/>
        </w:rPr>
      </w:pPr>
      <w:r>
        <w:rPr>
          <w:rFonts w:ascii="Courier New" w:cs="Courier New" w:eastAsia="Courier New" w:hAnsi="Courier New"/>
          <w:sz w:val="15"/>
          <w:szCs w:val="15"/>
          <w:color w:val="auto"/>
        </w:rPr>
        <w:t>principal of and interest on, and all other amounts payable under, each Security, and the full and punctual payment of all other amounts payable by the Company under the Indenture, upon the terms and subject to the conditions of the Indenture.</w:t>
      </w:r>
    </w:p>
    <w:p>
      <w:pPr>
        <w:spacing w:after="0" w:line="175" w:lineRule="exact"/>
        <w:rPr>
          <w:sz w:val="20"/>
          <w:szCs w:val="20"/>
          <w:color w:val="auto"/>
        </w:rPr>
      </w:pPr>
    </w:p>
    <w:p>
      <w:pPr>
        <w:ind w:right="3399" w:firstLine="534"/>
        <w:spacing w:after="0" w:line="235" w:lineRule="auto"/>
        <w:tabs>
          <w:tab w:leader="none" w:pos="78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deemed to be a contract under the laws of the State of New York, and for all purposes shall be construed in accordance with the laws of such State.</w:t>
      </w:r>
    </w:p>
    <w:p>
      <w:pPr>
        <w:spacing w:after="0" w:line="173" w:lineRule="exact"/>
        <w:rPr>
          <w:rFonts w:ascii="Courier New" w:cs="Courier New" w:eastAsia="Courier New" w:hAnsi="Courier New"/>
          <w:sz w:val="15"/>
          <w:szCs w:val="15"/>
          <w:color w:val="auto"/>
        </w:rPr>
      </w:pPr>
    </w:p>
    <w:p>
      <w:pPr>
        <w:ind w:right="3319" w:firstLine="534"/>
        <w:spacing w:after="0" w:line="235" w:lineRule="auto"/>
        <w:tabs>
          <w:tab w:leader="none" w:pos="78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in any number of counterparts, each of which shall be an original; but such counterparts shall together constitute but one and the same instrument.</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[Signature page follows]</w:t>
      </w:r>
    </w:p>
    <w:p>
      <w:pPr>
        <w:sectPr>
          <w:pgSz w:w="11900" w:h="16838" w:orient="portrait"/>
          <w:cols w:equalWidth="0" w:num="1">
            <w:col w:w="10239"/>
          </w:cols>
          <w:pgMar w:left="220" w:top="455" w:right="1440" w:bottom="1440" w:gutter="0" w:footer="0" w:header="0"/>
        </w:sectPr>
      </w:pPr>
    </w:p>
    <w:bookmarkStart w:id="79" w:name="page80"/>
    <w:bookmarkEnd w:id="79"/>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IN WITNESS WHEREOF, each the parties have caused this Agreement to be duly executed, and its corporate seal to be hereunto affixed and attested, all as of the first date written above.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160"/>
        <w:spacing w:after="0"/>
        <w:tabs>
          <w:tab w:leader="none" w:pos="5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BANK OF NEW YORK, as Trustee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55" w:right="1440" w:bottom="1440" w:gutter="0" w:footer="0" w:header="0"/>
        </w:sectPr>
      </w:pPr>
    </w:p>
    <w:bookmarkStart w:id="80" w:name="page81"/>
    <w:bookmarkEnd w:id="80"/>
    <w:p>
      <w:pPr>
        <w:jc w:val="right"/>
        <w:ind w:right="3239"/>
        <w:spacing w:after="0"/>
        <w:rPr>
          <w:sz w:val="20"/>
          <w:szCs w:val="20"/>
          <w:color w:val="auto"/>
        </w:rPr>
      </w:pPr>
      <w:r>
        <w:rPr>
          <w:rFonts w:ascii="Courier New" w:cs="Courier New" w:eastAsia="Courier New" w:hAnsi="Courier New"/>
          <w:sz w:val="15"/>
          <w:szCs w:val="15"/>
          <w:color w:val="auto"/>
        </w:rPr>
        <w:t>EXHIBIT 5.1</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[LETTERHEAD OF COMCAST CORPORATION]</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March 26, 2003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237" w:lineRule="auto"/>
        <w:rPr>
          <w:sz w:val="20"/>
          <w:szCs w:val="20"/>
          <w:color w:val="auto"/>
        </w:rPr>
      </w:pPr>
      <w:r>
        <w:rPr>
          <w:rFonts w:ascii="Courier New" w:cs="Courier New" w:eastAsia="Courier New" w:hAnsi="Courier New"/>
          <w:sz w:val="15"/>
          <w:szCs w:val="15"/>
          <w:color w:val="auto"/>
        </w:rPr>
        <w:t>1500 Market Street</w:t>
      </w:r>
    </w:p>
    <w:p>
      <w:pPr>
        <w:spacing w:after="0" w:line="238" w:lineRule="auto"/>
        <w:rPr>
          <w:sz w:val="20"/>
          <w:szCs w:val="20"/>
          <w:color w:val="auto"/>
        </w:rPr>
      </w:pPr>
      <w:r>
        <w:rPr>
          <w:rFonts w:ascii="Courier New" w:cs="Courier New" w:eastAsia="Courier New" w:hAnsi="Courier New"/>
          <w:sz w:val="15"/>
          <w:szCs w:val="15"/>
          <w:color w:val="auto"/>
        </w:rPr>
        <w:t>Philadelphia, Pennsylvania 19102-2148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 am Senior Vice President, General Counsel and Secretary of Comcast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 Pennsylvania corporation (the "COMPANY") and have acted for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 connection with the Company's Registration Statement on Form S-3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 filed on the date hereof with the Securities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Commission pursuant to the Securities Act of 1933, as amended,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of the sale by the Company from time to time of up to</w:t>
      </w:r>
    </w:p>
    <w:p>
      <w:pPr>
        <w:spacing w:after="0" w:line="237" w:lineRule="auto"/>
        <w:rPr>
          <w:sz w:val="20"/>
          <w:szCs w:val="20"/>
          <w:color w:val="auto"/>
        </w:rPr>
      </w:pPr>
      <w:r>
        <w:rPr>
          <w:rFonts w:ascii="Courier New" w:cs="Courier New" w:eastAsia="Courier New" w:hAnsi="Courier New"/>
          <w:sz w:val="15"/>
          <w:szCs w:val="15"/>
          <w:color w:val="auto"/>
        </w:rPr>
        <w:t>$10,000,000,000 aggregate principal amount of (i) senior debt securities and</w:t>
      </w:r>
    </w:p>
    <w:p>
      <w:pPr>
        <w:spacing w:after="0" w:line="238" w:lineRule="auto"/>
        <w:rPr>
          <w:sz w:val="20"/>
          <w:szCs w:val="20"/>
          <w:color w:val="auto"/>
        </w:rPr>
      </w:pPr>
      <w:r>
        <w:rPr>
          <w:rFonts w:ascii="Courier New" w:cs="Courier New" w:eastAsia="Courier New" w:hAnsi="Courier New"/>
          <w:sz w:val="15"/>
          <w:szCs w:val="15"/>
          <w:color w:val="auto"/>
        </w:rPr>
        <w:t>subordinated debt securities (together, the "DEBT SECURITIES"), that shall be</w:t>
      </w:r>
    </w:p>
    <w:p>
      <w:pPr>
        <w:spacing w:after="0" w:line="237" w:lineRule="auto"/>
        <w:rPr>
          <w:sz w:val="20"/>
          <w:szCs w:val="20"/>
          <w:color w:val="auto"/>
        </w:rPr>
      </w:pPr>
      <w:r>
        <w:rPr>
          <w:rFonts w:ascii="Courier New" w:cs="Courier New" w:eastAsia="Courier New" w:hAnsi="Courier New"/>
          <w:sz w:val="15"/>
          <w:szCs w:val="15"/>
          <w:color w:val="auto"/>
        </w:rPr>
        <w:t>fully and unconditionally guaranteed by each of Comcast Cable Communications,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Comcast Cable Communications Holdings, Inc., Comcast Cable Holdings,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MO Group, Inc. and Comcast MO of Delaware, Inc. (together, the "CABLE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GUARANTORS"), (ii) shares of preferred stock, without par value (the "PREFERRED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(iii) shares of Class A Common Stock, $0.01 par value (the "CLASS A</w:t>
      </w:r>
    </w:p>
    <w:p>
      <w:pPr>
        <w:spacing w:after="0" w:line="237" w:lineRule="auto"/>
        <w:rPr>
          <w:sz w:val="20"/>
          <w:szCs w:val="20"/>
          <w:color w:val="auto"/>
        </w:rPr>
      </w:pPr>
      <w:r>
        <w:rPr>
          <w:rFonts w:ascii="Courier New" w:cs="Courier New" w:eastAsia="Courier New" w:hAnsi="Courier New"/>
          <w:sz w:val="15"/>
          <w:szCs w:val="15"/>
          <w:color w:val="auto"/>
        </w:rPr>
        <w:t>COMMON STOCK"), (iv) shares of Class A Special Common Stock, $0.01 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"CLASS A SPECIAL COMMON STOCK"), (v) warrants to purchase Debt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Class A Common Stock, Class A Special Common Stock or other</w:t>
      </w:r>
    </w:p>
    <w:p>
      <w:pPr>
        <w:spacing w:after="0" w:line="237" w:lineRule="auto"/>
        <w:rPr>
          <w:sz w:val="20"/>
          <w:szCs w:val="20"/>
          <w:color w:val="auto"/>
        </w:rPr>
      </w:pPr>
      <w:r>
        <w:rPr>
          <w:rFonts w:ascii="Courier New" w:cs="Courier New" w:eastAsia="Courier New" w:hAnsi="Courier New"/>
          <w:sz w:val="15"/>
          <w:szCs w:val="15"/>
          <w:color w:val="auto"/>
        </w:rPr>
        <w:t>securities or rights (the "WARRANTS"), (vi) purchase contracts (the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CONTRACTS") requiring the holders thereof to purchase or sell (A) the Company's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or securities of an entity unaffiliated or affiliated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 basket of such securities, an index or indices of such securities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combination of the above, (B) currencies or composite currencies or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commodities, (vii) units (the "UNITS") consisting of Debt Securities, Warrants,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Contracts, Preferred Stock, Class A Common Stock or Class A Special</w:t>
      </w:r>
    </w:p>
    <w:p>
      <w:pPr>
        <w:sectPr>
          <w:pgSz w:w="11900" w:h="16838" w:orient="portrait"/>
          <w:cols w:equalWidth="0" w:num="1">
            <w:col w:w="10239"/>
          </w:cols>
          <w:pgMar w:left="220" w:top="303" w:right="1440" w:bottom="1440" w:gutter="0" w:footer="0" w:header="0"/>
        </w:sectPr>
      </w:pPr>
    </w:p>
    <w:bookmarkStart w:id="81" w:name="page82"/>
    <w:bookmarkEnd w:id="81"/>
    <w:p>
      <w:pPr>
        <w:spacing w:after="0"/>
        <w:tabs>
          <w:tab w:leader="none" w:pos="3480" w:val="left"/>
          <w:tab w:leader="none" w:pos="58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4"/>
          <w:szCs w:val="14"/>
          <w:color w:val="auto"/>
        </w:rPr>
        <w:t>March 26,2003</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Common Stock or any combination of the foregoing, (viii) guarantees (the "CABLE GUARANTEES") of the Debt Securities by the Cable Guarantors and (ix) guarantees (the "ADDITIONAL GUARANTEES") of Warrants, Purchase Contracts and Units or any combination of the foregoing by the Cable Guarantors. The Debt Securities, Preferred Stock, Class A Common Stock, Class A Special Common Stock, Warrants, Purchase Contracts, Units, Cable Guarantees and Additional Guarantees are herein collectively referred to as the "Securities". The Debt Securities and the Preferred Stock may be convertible and/or exchangeable for Securities or other securities or rights. The senior Debt Securities are to be issued pursuant to an Indenture dated January 7, 2003, as amended (the "SENIOR INDENTURE") among the Company, the Cable Guarantors and The Bank of New York, as Trustee, substantially in the form included as exhibits to the Registration Statement. The subordinated Debt Securities are to be issued pursuant to an Indenture (the "SUBORDINATED INDENTURE") among the Company, the Cable Guarantors and The Bank of New York, as Trustee, substantially in the form incorporated as an exhibit to the Registration Statement. The Senior Indenture and the Subordinated Indenture are hereinafter referred to individually as an "INDENTURE" and collectively as the "INDENTURES". The Company may offer Depositary Shares (the "DEPOSITARY SHARES") representing interests in Preferred Stock deposited with a Depositary and evidenced by Depositary Receipts, and such Depositary Shares are also covered by the Registration Statement.</w:t>
      </w:r>
    </w:p>
    <w:p>
      <w:pPr>
        <w:spacing w:after="0" w:line="34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75" w:lineRule="exact"/>
        <w:rPr>
          <w:sz w:val="20"/>
          <w:szCs w:val="20"/>
          <w:color w:val="auto"/>
        </w:rPr>
      </w:pPr>
    </w:p>
    <w:p>
      <w:pPr>
        <w:ind w:right="3239" w:firstLine="797"/>
        <w:spacing w:after="0" w:line="237" w:lineRule="auto"/>
        <w:tabs>
          <w:tab w:leader="none" w:pos="10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designation of the preferences and relative, participating, optional and other special rights, and qualifications, limitations or restrictions,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against payment therefor in accordance with the applicable underwriting or other agreement or upon conversion in accordance with the terms of any other Security that has been duly authorized, issued, paid for and delivered, such shares will be validly issued, fully paid and non-assessable.</w:t>
      </w:r>
    </w:p>
    <w:p>
      <w:pPr>
        <w:spacing w:after="0" w:line="173" w:lineRule="exact"/>
        <w:rPr>
          <w:rFonts w:ascii="Courier New" w:cs="Courier New" w:eastAsia="Courier New" w:hAnsi="Courier New"/>
          <w:sz w:val="15"/>
          <w:szCs w:val="15"/>
          <w:color w:val="auto"/>
        </w:rPr>
      </w:pPr>
    </w:p>
    <w:p>
      <w:pPr>
        <w:ind w:right="3579" w:firstLine="797"/>
        <w:spacing w:after="0" w:line="261" w:lineRule="auto"/>
        <w:tabs>
          <w:tab w:leader="none" w:pos="104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specific terms of any offering or offerings of Class A Special Common Stock have been duly established by the Board of Directors of</w:t>
      </w:r>
    </w:p>
    <w:p>
      <w:pPr>
        <w:sectPr>
          <w:pgSz w:w="11900" w:h="16838" w:orient="portrait"/>
          <w:cols w:equalWidth="0" w:num="1">
            <w:col w:w="10239"/>
          </w:cols>
          <w:pgMar w:left="220" w:top="449" w:right="1440" w:bottom="1440" w:gutter="0" w:footer="0" w:header="0"/>
        </w:sectPr>
      </w:pPr>
    </w:p>
    <w:bookmarkStart w:id="82" w:name="page83"/>
    <w:bookmarkEnd w:id="82"/>
    <w:p>
      <w:pPr>
        <w:spacing w:after="0"/>
        <w:tabs>
          <w:tab w:leader="none" w:pos="3480" w:val="left"/>
          <w:tab w:leader="none" w:pos="58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4"/>
          <w:szCs w:val="14"/>
          <w:color w:val="auto"/>
        </w:rPr>
        <w:t>March 26,2003</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and in accordance with provisions of any applicable underwriting agreement so as not to violate any applicable law or agreement or instrument then binding on the Company, and shares of the Class A Special Common Stock have been issued and sold against payment therefor in accordance with the applicable underwriting or other agreement or upon exchange in accordance with the terms of any Security that has been duly authorized, issued, paid for and delivered, such shares will be validly issued, fully paid and nonassessable.</w:t>
      </w:r>
    </w:p>
    <w:p>
      <w:pPr>
        <w:spacing w:after="0" w:line="166" w:lineRule="exact"/>
        <w:rPr>
          <w:sz w:val="20"/>
          <w:szCs w:val="20"/>
          <w:color w:val="auto"/>
        </w:rPr>
      </w:pPr>
    </w:p>
    <w:p>
      <w:pPr>
        <w:ind w:right="3239" w:firstLine="797"/>
        <w:spacing w:after="0" w:line="236" w:lineRule="auto"/>
        <w:tabs>
          <w:tab w:leader="none" w:pos="10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specific terms of any offering or offerings of Class A Common Stock have been duly established by the Board of Directors of the Company and in accordance with provisions of any applicable underwriting agreement so as not to violate any applicable law or agreement or instrument then binding on the Company, and shares of the Class A Common Stock have been issued and sold against payment therefor in accordance with the applicable underwriting or other agreement or upon exchange in accordance with the terms of any other Security that has been duly authorized, issued, paid for and delivered, such shares will be validly issued, fully paid and non-assessable.</w:t>
      </w:r>
    </w:p>
    <w:p>
      <w:pPr>
        <w:spacing w:after="0" w:line="178"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connection with my opinions expressed above, I have assumed that, at or prior to the time of the delivery of any such Security, (i) the Board of Directors shall have duly established the terms of such Security, (ii) the Registration Statement shall have been declared effective and such effectiveness shall not have been terminated or rescinded and (iii) 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will result in a violation of any provision of any instrument or agreement then binding upon the Company, or any restriction imposed by any court or governmental body having jurisdiction over the Company.</w:t>
      </w:r>
    </w:p>
    <w:p>
      <w:pPr>
        <w:spacing w:after="0" w:line="16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 am a member of the Bar of the Commonwealth of Pennsylvania and the foregoing opinion is limited to the laws of the Commonwealth of Pennsylvania and the federal laws of the United States of America.</w:t>
      </w:r>
    </w:p>
    <w:p>
      <w:pPr>
        <w:sectPr>
          <w:pgSz w:w="11900" w:h="16838" w:orient="portrait"/>
          <w:cols w:equalWidth="0" w:num="1">
            <w:col w:w="10239"/>
          </w:cols>
          <w:pgMar w:left="220" w:top="449" w:right="1440" w:bottom="1440" w:gutter="0" w:footer="0" w:header="0"/>
        </w:sectPr>
      </w:pPr>
    </w:p>
    <w:bookmarkStart w:id="83" w:name="page84"/>
    <w:bookmarkEnd w:id="83"/>
    <w:p>
      <w:pPr>
        <w:spacing w:after="0"/>
        <w:tabs>
          <w:tab w:leader="none" w:pos="3480" w:val="left"/>
          <w:tab w:leader="none" w:pos="58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4"/>
          <w:szCs w:val="14"/>
          <w:color w:val="auto"/>
        </w:rPr>
        <w:t>March 26,2003</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 hereby consent to the filing of this opinion as an exhibit to the Registration Statement. In addition, I consent to the reference to me under the caption "Legal Matters" in the prospectus.</w:t>
      </w:r>
    </w:p>
    <w:p>
      <w:pPr>
        <w:sectPr>
          <w:pgSz w:w="11900" w:h="16838" w:orient="portrait"/>
          <w:cols w:equalWidth="0" w:num="1">
            <w:col w:w="10239"/>
          </w:cols>
          <w:pgMar w:left="220" w:top="449" w:right="1440" w:bottom="1440" w:gutter="0" w:footer="0" w:header="0"/>
        </w:sectPr>
      </w:pPr>
    </w:p>
    <w:bookmarkStart w:id="84" w:name="page85"/>
    <w:bookmarkEnd w:id="84"/>
    <w:p>
      <w:pPr>
        <w:spacing w:after="0"/>
        <w:tabs>
          <w:tab w:leader="none" w:pos="3480" w:val="left"/>
          <w:tab w:leader="none" w:pos="58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4"/>
          <w:szCs w:val="14"/>
          <w:color w:val="auto"/>
        </w:rPr>
        <w:t>March 26,2003</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This opinion is rendered solely to you in connection with the above matter. This opinion may not be relied upon by you for any other purpose or relied upon by or furnished to any other person without my prior written consent.</w:t>
      </w:r>
    </w:p>
    <w:p>
      <w:pPr>
        <w:spacing w:after="0" w:line="169"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/s/ Arthur R. Block</w:t>
      </w:r>
    </w:p>
    <w:p>
      <w:pPr>
        <w:ind w:left="4560"/>
        <w:spacing w:after="0" w:line="237" w:lineRule="auto"/>
        <w:rPr>
          <w:sz w:val="20"/>
          <w:szCs w:val="20"/>
          <w:color w:val="auto"/>
        </w:rPr>
      </w:pPr>
      <w:r>
        <w:rPr>
          <w:rFonts w:ascii="Courier New" w:cs="Courier New" w:eastAsia="Courier New" w:hAnsi="Courier New"/>
          <w:sz w:val="15"/>
          <w:szCs w:val="15"/>
          <w:color w:val="auto"/>
        </w:rPr>
        <w:t>Arthur R. Block</w:t>
      </w:r>
    </w:p>
    <w:p>
      <w:pPr>
        <w:sectPr>
          <w:pgSz w:w="11900" w:h="16838" w:orient="portrait"/>
          <w:cols w:equalWidth="0" w:num="1">
            <w:col w:w="10239"/>
          </w:cols>
          <w:pgMar w:left="220" w:top="449" w:right="1440" w:bottom="1440" w:gutter="0" w:footer="0" w:header="0"/>
        </w:sectPr>
      </w:pPr>
    </w:p>
    <w:bookmarkStart w:id="85" w:name="page86"/>
    <w:bookmarkEnd w:id="85"/>
    <w:p>
      <w:pPr>
        <w:jc w:val="right"/>
        <w:ind w:right="3239"/>
        <w:spacing w:after="0"/>
        <w:rPr>
          <w:sz w:val="20"/>
          <w:szCs w:val="20"/>
          <w:color w:val="auto"/>
        </w:rPr>
      </w:pPr>
      <w:r>
        <w:rPr>
          <w:rFonts w:ascii="Courier New" w:cs="Courier New" w:eastAsia="Courier New" w:hAnsi="Courier New"/>
          <w:sz w:val="15"/>
          <w:szCs w:val="15"/>
          <w:color w:val="auto"/>
        </w:rPr>
        <w:t>EXHIBIT 5.2</w:t>
      </w:r>
    </w:p>
    <w:p>
      <w:pPr>
        <w:spacing w:after="0" w:line="200" w:lineRule="exact"/>
        <w:rPr>
          <w:sz w:val="20"/>
          <w:szCs w:val="20"/>
          <w:color w:val="auto"/>
        </w:rPr>
      </w:pPr>
    </w:p>
    <w:p>
      <w:pPr>
        <w:spacing w:after="0" w:line="30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[LETTERHEAD OF DAVIS, POLK &amp; WARDWELL]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March 26, 2003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237" w:lineRule="auto"/>
        <w:rPr>
          <w:sz w:val="20"/>
          <w:szCs w:val="20"/>
          <w:color w:val="auto"/>
        </w:rPr>
      </w:pPr>
      <w:r>
        <w:rPr>
          <w:rFonts w:ascii="Courier New" w:cs="Courier New" w:eastAsia="Courier New" w:hAnsi="Courier New"/>
          <w:sz w:val="15"/>
          <w:szCs w:val="15"/>
          <w:color w:val="auto"/>
        </w:rPr>
        <w:t>1500 Market Street</w:t>
      </w:r>
    </w:p>
    <w:p>
      <w:pPr>
        <w:spacing w:after="0" w:line="238" w:lineRule="auto"/>
        <w:rPr>
          <w:sz w:val="20"/>
          <w:szCs w:val="20"/>
          <w:color w:val="auto"/>
        </w:rPr>
      </w:pPr>
      <w:r>
        <w:rPr>
          <w:rFonts w:ascii="Courier New" w:cs="Courier New" w:eastAsia="Courier New" w:hAnsi="Courier New"/>
          <w:sz w:val="15"/>
          <w:szCs w:val="15"/>
          <w:color w:val="auto"/>
        </w:rPr>
        <w:t>Philadelphia, Pennsylvania 19102-2148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We have acted as your counsel in connection with the Registration Statement on Form S-3 (the "REGISTRATION STATEMENT") of Comcast Corporation, a Pennsylvania corporation (the "COMPANY") filed on the date hereof with the Securities and Exchange Commission pursuant to the Securities Act of 1933, as amended, for the registration of the sale by the Company from time to time of up to $7,000,000,000 aggregate principal amount of (i) senior debt securities and subordinated debt securities (together, the "DEBT SECURITIES") that shall be fully and unconditionally guaranteed by each of Comcast Cable Communications, Inc., Comcast Cable Communications Holdings, Inc., Comcast Cable Holdings, LLC, Comcast MO Group, Inc., and Comcast MO of Delaware, Inc. (collectively, the "CABLE GUARANTORS," and together with the Company, the "OBLIGORS"), (ii) shares of preferred stock, without par value (the "PREFERRED STOCK"), (iii) shares of Class A Common Stock, $0.01 par value (the "CLASS A COMMON STOCK"), (iv) shares of Class A Special Common Stock, $0.01 par value (the "CLASS A SPECIAL COMMON STOCK"), (v) warrants to purchase Debt Securities, Preferred Stock, Class A Common Stock, Class A Special Common Stock or other securities or rights (the "WARRANTS"), (vi) purchase contracts (the "PURCHASE CONTRACTS") requiring the holders thereof to purchase or sell (A) the Company's securities or securities of an entity unaffiliated or affiliated with the Company, a basket of such securities, an index or indices of such securities or any combination of the above, (B) currencies or composite currencies or (C) commodities, (vii) units (the "UNITS") consisting of Debt Securities, Warrants, Purchase Contracts, Preferred Stock, Class A Common Stock or Class A Special Common Stock or any combination of the foregoing, (viii) guarantees (the "CABLE GUARANTEES") of the Debt Securities by the Cable Guarantors and (ix) guarantees (the "ADDITIONAL GUARANTEES") of Warrants, Purchase Contracts and Units or any combination of</w:t>
      </w:r>
    </w:p>
    <w:p>
      <w:pPr>
        <w:sectPr>
          <w:pgSz w:w="11900" w:h="16838" w:orient="portrait"/>
          <w:cols w:equalWidth="0" w:num="1">
            <w:col w:w="10239"/>
          </w:cols>
          <w:pgMar w:left="220" w:top="303" w:right="1440" w:bottom="1440" w:gutter="0" w:footer="0" w:header="0"/>
        </w:sectPr>
      </w:pPr>
    </w:p>
    <w:bookmarkStart w:id="86" w:name="page87"/>
    <w:bookmarkEnd w:id="86"/>
    <w:p>
      <w:pPr>
        <w:spacing w:after="0"/>
        <w:tabs>
          <w:tab w:leader="none" w:pos="3480" w:val="left"/>
          <w:tab w:leader="none" w:pos="58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4"/>
          <w:szCs w:val="14"/>
          <w:color w:val="auto"/>
        </w:rPr>
        <w:t>March 26,2003</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foregoing by the Cable Guarantors. The Debt Securities, Preferred Stock, Class A Common Stock, Class A Special Common Stock, Warrants, Purchase Contracts, Units, Cable Guarantees and Additional Guarantees are herein collectively referred to as the "SECURITIES." The Debt Securities and the Preferred Stock may be convertible and/or exchangeable for Securities or other securities or rights. The senior Debt Securities are to be issued pursuant to an Indenture, dated as of January 7, 2003, as amended by that First Supplemental Indenture, dated as of March 25, 2003 (together, the "SENIOR INDENTURE") among the Company, the Cable Guarantors and The Bank of New York, as Trustee. The subordinated Debt Securities are to be issued pursuant to an Indenture (the "SUBORDINATED INDENTURE") among the Company, the Cable Guarantors and The Bank of New York, as Trustee, substantially in the form attached as an exhibit to the Registration Statement. The Senior Indenture and the Subordinated Indenture are hereinafter referred to individually as an "INDENTURE" and collectively as the "INDENTURES." The Company may offer Depositary Shares (the "DEPOSITARY SHARES") representing interests in Preferred Stock deposited with a Depositary and evidenced by Depositary Receipts, and such Depositary Shares are also covered by the Registration Statement.</w:t>
      </w:r>
    </w:p>
    <w:p>
      <w:pPr>
        <w:spacing w:after="0" w:line="33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On the basis of the foregoing, we are of the opinion that:</w:t>
      </w:r>
    </w:p>
    <w:p>
      <w:pPr>
        <w:spacing w:after="0" w:line="173" w:lineRule="exact"/>
        <w:rPr>
          <w:sz w:val="20"/>
          <w:szCs w:val="20"/>
          <w:color w:val="auto"/>
        </w:rPr>
      </w:pPr>
    </w:p>
    <w:p>
      <w:pPr>
        <w:ind w:right="3239" w:firstLine="797"/>
        <w:spacing w:after="0" w:line="237" w:lineRule="auto"/>
        <w:tabs>
          <w:tab w:leader="none" w:pos="104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Indentures have been duly authorized, executed and delivered (or with respect to the Senior Indenture, assuming the Senior Indenture has been duly authorized, executed and delivered) by the Trustee, the Company and the Cable Guarantors, the specific terms of a particular Debt Security have been duly authorized and established in accordance with the applicable Indenture and such Debt Security has been duly authorized, executed, authenticated, issued and delivered in accordance with the applicable Indenture and the applicable underwriting or other agreement, such Debt Security will constitute a valid and binding obligation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173" w:lineRule="exact"/>
        <w:rPr>
          <w:rFonts w:ascii="Courier New" w:cs="Courier New" w:eastAsia="Courier New" w:hAnsi="Courier New"/>
          <w:sz w:val="15"/>
          <w:szCs w:val="15"/>
          <w:color w:val="auto"/>
        </w:rPr>
      </w:pPr>
    </w:p>
    <w:p>
      <w:pPr>
        <w:jc w:val="both"/>
        <w:ind w:right="3319" w:firstLine="797"/>
        <w:spacing w:after="0" w:line="235" w:lineRule="auto"/>
        <w:tabs>
          <w:tab w:leader="none" w:pos="104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Indentures have been duly authorized, executed and delivered (or with respect to the Senior Indenture, assuming the Senior Indenture has been duly authorized, executed and delivered) by the Trustee, the Company and the Cable Guarantors, the specific terms of a</w:t>
      </w:r>
    </w:p>
    <w:p>
      <w:pPr>
        <w:sectPr>
          <w:pgSz w:w="11900" w:h="16838" w:orient="portrait"/>
          <w:cols w:equalWidth="0" w:num="1">
            <w:col w:w="10239"/>
          </w:cols>
          <w:pgMar w:left="220" w:top="449" w:right="1440" w:bottom="1440" w:gutter="0" w:footer="0" w:header="0"/>
        </w:sectPr>
      </w:pPr>
    </w:p>
    <w:bookmarkStart w:id="87" w:name="page88"/>
    <w:bookmarkEnd w:id="87"/>
    <w:p>
      <w:pPr>
        <w:spacing w:after="0"/>
        <w:tabs>
          <w:tab w:leader="none" w:pos="3480" w:val="left"/>
          <w:tab w:leader="none" w:pos="58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4"/>
          <w:szCs w:val="14"/>
          <w:color w:val="auto"/>
        </w:rPr>
        <w:t>March 26,2003</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particular Debt Security have been authorized and established in accordance with the applicable Indenture and such Debt Security has been duly authorized, executed, authenticated, issued and delivered in accordance with the applicable Indenture and the applicable underwriting or other agreement, the Cable Guarantees relating to such Debt Security will be valid and binding obligations of the Cable Guarantors, enforceable in accordance with their terms (subject, as to enforcement of remedies, to applicable bankruptcy, reorganization, insolvency, fraudulent conveyance, moratorium or other similar law affecting creditors' rights generally from time to time in effect and to general equity principles).</w:t>
      </w:r>
    </w:p>
    <w:p>
      <w:pPr>
        <w:spacing w:after="0" w:line="179" w:lineRule="exact"/>
        <w:rPr>
          <w:sz w:val="20"/>
          <w:szCs w:val="20"/>
          <w:color w:val="auto"/>
        </w:rPr>
      </w:pPr>
    </w:p>
    <w:p>
      <w:pPr>
        <w:ind w:right="3399" w:firstLine="797"/>
        <w:spacing w:after="0" w:line="236" w:lineRule="auto"/>
        <w:tabs>
          <w:tab w:leader="none" w:pos="10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Warrants have been duly authorized by the Company, the applicable Warrant Agreement has been duly executed and delivered and the Warrants have been duly issued and delivered by the Company as contemplated by the Registration Statement and any prospectus supplement relating thereto, the Warrants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general equity principles).</w:t>
      </w:r>
    </w:p>
    <w:p>
      <w:pPr>
        <w:spacing w:after="0" w:line="178" w:lineRule="exact"/>
        <w:rPr>
          <w:rFonts w:ascii="Courier New" w:cs="Courier New" w:eastAsia="Courier New" w:hAnsi="Courier New"/>
          <w:sz w:val="15"/>
          <w:szCs w:val="15"/>
          <w:color w:val="auto"/>
        </w:rPr>
      </w:pPr>
    </w:p>
    <w:p>
      <w:pPr>
        <w:ind w:right="3319" w:firstLine="797"/>
        <w:spacing w:after="0" w:line="255" w:lineRule="auto"/>
        <w:tabs>
          <w:tab w:leader="none" w:pos="10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Additional Guarantees have been duly authorized by the Cable Guarantors, the applicable Guarantee Agreement has been duly executed and delivered and the applicable Warrants, Purchase Contracts and/or Units, as the case may be, have been duly issued and delivered by the Company as contemplated by the Registration Statement and any prospectus supplement relating thereto, the Additional Guarantees will constitute valid and binding obligations of the Cable Guarantors, enforceable in accordance with their terms (subject, as to enforcement of remedies, to applicable bankruptcy, reorganization, insolvency, fraudulent conveyance, moratorium or other similar laws affecting creditors' rights generally from time to time in effect and to general equity principles).</w:t>
      </w:r>
    </w:p>
    <w:p>
      <w:pPr>
        <w:spacing w:after="0" w:line="165" w:lineRule="exact"/>
        <w:rPr>
          <w:rFonts w:ascii="Courier New" w:cs="Courier New" w:eastAsia="Courier New" w:hAnsi="Courier New"/>
          <w:sz w:val="14"/>
          <w:szCs w:val="14"/>
          <w:color w:val="auto"/>
        </w:rPr>
      </w:pPr>
    </w:p>
    <w:p>
      <w:pPr>
        <w:ind w:right="3399" w:firstLine="797"/>
        <w:spacing w:after="0" w:line="236" w:lineRule="auto"/>
        <w:tabs>
          <w:tab w:leader="none" w:pos="10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Units and Purchase Contracts have been duly authorized by the Company, the applicable Unit Agreement, Purchase Contract Agreement and Pledge Agreement have been duly executed and delivered, the Units and Purchase Contracts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general equity principles).</w:t>
      </w:r>
    </w:p>
    <w:p>
      <w:pPr>
        <w:sectPr>
          <w:pgSz w:w="11900" w:h="16838" w:orient="portrait"/>
          <w:cols w:equalWidth="0" w:num="1">
            <w:col w:w="10239"/>
          </w:cols>
          <w:pgMar w:left="220" w:top="449" w:right="1440" w:bottom="1440" w:gutter="0" w:footer="0" w:header="0"/>
        </w:sectPr>
      </w:pPr>
    </w:p>
    <w:bookmarkStart w:id="88" w:name="page89"/>
    <w:bookmarkEnd w:id="88"/>
    <w:p>
      <w:pPr>
        <w:spacing w:after="0"/>
        <w:tabs>
          <w:tab w:leader="none" w:pos="3480" w:val="left"/>
          <w:tab w:leader="none" w:pos="58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4"/>
          <w:szCs w:val="14"/>
          <w:color w:val="auto"/>
        </w:rPr>
        <w:t>March 26,2003</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connection with the opinions expressed above, we have assumed that, at or prior to the time of the delivery of any such Security, (i) the Board of Directors shall have duly established the terms of such Security and duly authorized the issuance and sale of such Security and such authorization shall not have been modified or rescinded; (ii) the Registration Statement shall have been declared effective and such effectiveness shall not have been terminated or rescinded; and (iii) there shall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or the Cable Guarantors with the terms of such Security will violate any applicable law or will result in a violation of any provision of any instrument or agreement then binding upon the Company or the Cable Guarantors, or any restriction imposed by any court or governmental body having jurisdiction over the Company or the Cable Guarantors.</w:t>
      </w:r>
    </w:p>
    <w:p>
      <w:pPr>
        <w:spacing w:after="0" w:line="16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We are members of the Bars of the State of New York and California and the foregoing opinion is limited to the laws of the State of New York and the federal laws of the United States of America.</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In addition, we consent to the reference to us under the caption "Legal Matters" in the prospectus.</w:t>
      </w:r>
    </w:p>
    <w:p>
      <w:pPr>
        <w:spacing w:after="0" w:line="17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169"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/s/ Davis, Polk &amp; Wardwell</w:t>
      </w:r>
    </w:p>
    <w:p>
      <w:pPr>
        <w:sectPr>
          <w:pgSz w:w="11900" w:h="16838" w:orient="portrait"/>
          <w:cols w:equalWidth="0" w:num="1">
            <w:col w:w="10239"/>
          </w:cols>
          <w:pgMar w:left="220" w:top="617"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EXHIBIT</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12.1</w:t>
            </w: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4860" w:type="dxa"/>
            <w:vAlign w:val="bottom"/>
          </w:tcPr>
          <w:p>
            <w:pPr>
              <w:jc w:val="center"/>
              <w:ind w:left="2167"/>
              <w:spacing w:after="0"/>
              <w:rPr>
                <w:sz w:val="20"/>
                <w:szCs w:val="20"/>
                <w:color w:val="auto"/>
              </w:rPr>
            </w:pPr>
            <w:r>
              <w:rPr>
                <w:rFonts w:ascii="Courier New" w:cs="Courier New" w:eastAsia="Courier New" w:hAnsi="Courier New"/>
                <w:sz w:val="15"/>
                <w:szCs w:val="15"/>
                <w:color w:val="auto"/>
                <w:w w:val="97"/>
              </w:rPr>
              <w:t>COMCAST CORPORATION</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6620" w:type="dxa"/>
            <w:vAlign w:val="bottom"/>
            <w:gridSpan w:val="3"/>
          </w:tcPr>
          <w:p>
            <w:pPr>
              <w:jc w:val="center"/>
              <w:ind w:left="407"/>
              <w:spacing w:after="0" w:line="168" w:lineRule="exact"/>
              <w:rPr>
                <w:sz w:val="20"/>
                <w:szCs w:val="20"/>
                <w:color w:val="auto"/>
              </w:rPr>
            </w:pPr>
            <w:r>
              <w:rPr>
                <w:rFonts w:ascii="Courier New" w:cs="Courier New" w:eastAsia="Courier New" w:hAnsi="Courier New"/>
                <w:sz w:val="15"/>
                <w:szCs w:val="15"/>
                <w:color w:val="auto"/>
                <w:w w:val="96"/>
              </w:rPr>
              <w:t>STATEMENT REGARDING COMPUTATION OF RATIO OF EARNINGS TO FIXED CHARGES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860" w:type="dxa"/>
            <w:vAlign w:val="bottom"/>
          </w:tcPr>
          <w:p>
            <w:pPr>
              <w:jc w:val="center"/>
              <w:ind w:left="2187"/>
              <w:spacing w:after="0" w:line="168" w:lineRule="exact"/>
              <w:rPr>
                <w:sz w:val="20"/>
                <w:szCs w:val="20"/>
                <w:color w:val="auto"/>
              </w:rPr>
            </w:pPr>
            <w:r>
              <w:rPr>
                <w:rFonts w:ascii="Courier New" w:cs="Courier New" w:eastAsia="Courier New" w:hAnsi="Courier New"/>
                <w:sz w:val="15"/>
                <w:szCs w:val="15"/>
                <w:color w:val="auto"/>
                <w:w w:val="97"/>
              </w:rPr>
              <w:t>(DOLLARS IN MILLIONS)</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73"/>
        </w:trPr>
        <w:tc>
          <w:tcPr>
            <w:tcW w:w="4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860" w:type="dxa"/>
            <w:vAlign w:val="bottom"/>
          </w:tcPr>
          <w:p>
            <w:pPr>
              <w:spacing w:after="0"/>
              <w:rPr>
                <w:sz w:val="14"/>
                <w:szCs w:val="14"/>
                <w:color w:val="auto"/>
              </w:rPr>
            </w:pPr>
          </w:p>
        </w:tc>
        <w:tc>
          <w:tcPr>
            <w:tcW w:w="6600" w:type="dxa"/>
            <w:vAlign w:val="bottom"/>
            <w:gridSpan w:val="8"/>
          </w:tcPr>
          <w:p>
            <w:pPr>
              <w:ind w:left="4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w w:val="88"/>
              </w:rPr>
              <w:t>2002</w:t>
            </w:r>
          </w:p>
        </w:tc>
        <w:tc>
          <w:tcPr>
            <w:tcW w:w="22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860" w:type="dxa"/>
            <w:vAlign w:val="bottom"/>
          </w:tcPr>
          <w:p>
            <w:pPr>
              <w:spacing w:after="0"/>
              <w:rPr>
                <w:sz w:val="14"/>
                <w:szCs w:val="14"/>
                <w:color w:val="auto"/>
              </w:rPr>
            </w:pPr>
          </w:p>
        </w:tc>
        <w:tc>
          <w:tcPr>
            <w:tcW w:w="17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Earnings (loss) before fixed charges (1):</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Earnings (loss) from continuing operations</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before cumulative effect of accounting</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w:t>
            </w:r>
          </w:p>
        </w:tc>
        <w:tc>
          <w:tcPr>
            <w:tcW w:w="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276)</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224</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$ 2,021</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730</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$ 1,003</w:t>
            </w:r>
          </w:p>
        </w:tc>
      </w:tr>
      <w:tr>
        <w:trPr>
          <w:trHeight w:val="50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660" w:type="dxa"/>
            <w:vAlign w:val="bottom"/>
          </w:tcPr>
          <w:p>
            <w:pPr>
              <w:spacing w:after="0"/>
              <w:rPr>
                <w:sz w:val="24"/>
                <w:szCs w:val="2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212</w:t>
            </w:r>
          </w:p>
        </w:tc>
        <w:tc>
          <w:tcPr>
            <w:tcW w:w="220" w:type="dxa"/>
            <w:vAlign w:val="bottom"/>
          </w:tcPr>
          <w:p>
            <w:pPr>
              <w:spacing w:after="0"/>
              <w:rPr>
                <w:sz w:val="24"/>
                <w:szCs w:val="24"/>
                <w:color w:val="auto"/>
              </w:rPr>
            </w:pP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160</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115</w:t>
            </w:r>
          </w:p>
        </w:tc>
        <w:tc>
          <w:tcPr>
            <w:tcW w:w="18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r>
      <w:tr>
        <w:trPr>
          <w:trHeight w:val="336"/>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Income tax (benefit) expense</w:t>
            </w:r>
          </w:p>
        </w:tc>
        <w:tc>
          <w:tcPr>
            <w:tcW w:w="660" w:type="dxa"/>
            <w:vAlign w:val="bottom"/>
          </w:tcPr>
          <w:p>
            <w:pPr>
              <w:spacing w:after="0"/>
              <w:rPr>
                <w:sz w:val="24"/>
                <w:szCs w:val="2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134</w:t>
            </w:r>
          </w:p>
        </w:tc>
        <w:tc>
          <w:tcPr>
            <w:tcW w:w="220" w:type="dxa"/>
            <w:vAlign w:val="bottom"/>
          </w:tcPr>
          <w:p>
            <w:pPr>
              <w:spacing w:after="0"/>
              <w:rPr>
                <w:sz w:val="24"/>
                <w:szCs w:val="24"/>
                <w:color w:val="auto"/>
              </w:rPr>
            </w:pP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470</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1,429</w:t>
            </w:r>
          </w:p>
        </w:tc>
        <w:tc>
          <w:tcPr>
            <w:tcW w:w="18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696</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592</w:t>
            </w:r>
          </w:p>
        </w:tc>
      </w:tr>
      <w:tr>
        <w:trPr>
          <w:trHeight w:val="336"/>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Equity in net loss of affiliates</w:t>
            </w:r>
          </w:p>
        </w:tc>
        <w:tc>
          <w:tcPr>
            <w:tcW w:w="660" w:type="dxa"/>
            <w:vAlign w:val="bottom"/>
          </w:tcPr>
          <w:p>
            <w:pPr>
              <w:spacing w:after="0"/>
              <w:rPr>
                <w:sz w:val="24"/>
                <w:szCs w:val="2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103</w:t>
            </w:r>
          </w:p>
        </w:tc>
        <w:tc>
          <w:tcPr>
            <w:tcW w:w="220" w:type="dxa"/>
            <w:vAlign w:val="bottom"/>
          </w:tcPr>
          <w:p>
            <w:pPr>
              <w:spacing w:after="0"/>
              <w:rPr>
                <w:sz w:val="24"/>
                <w:szCs w:val="24"/>
                <w:color w:val="auto"/>
              </w:rPr>
            </w:pP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516</w:t>
            </w:r>
          </w:p>
        </w:tc>
      </w:tr>
      <w:tr>
        <w:trPr>
          <w:trHeight w:val="336"/>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Fixed charges</w:t>
            </w:r>
          </w:p>
        </w:tc>
        <w:tc>
          <w:tcPr>
            <w:tcW w:w="660" w:type="dxa"/>
            <w:vAlign w:val="bottom"/>
          </w:tcPr>
          <w:p>
            <w:pPr>
              <w:spacing w:after="0"/>
              <w:rPr>
                <w:sz w:val="24"/>
                <w:szCs w:val="2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884</w:t>
            </w:r>
          </w:p>
        </w:tc>
        <w:tc>
          <w:tcPr>
            <w:tcW w:w="220" w:type="dxa"/>
            <w:vAlign w:val="bottom"/>
          </w:tcPr>
          <w:p>
            <w:pPr>
              <w:spacing w:after="0"/>
              <w:rPr>
                <w:sz w:val="24"/>
                <w:szCs w:val="24"/>
                <w:color w:val="auto"/>
              </w:rPr>
            </w:pP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734</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728</w:t>
            </w:r>
          </w:p>
        </w:tc>
        <w:tc>
          <w:tcPr>
            <w:tcW w:w="18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617</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473</w:t>
            </w:r>
          </w:p>
        </w:tc>
      </w:tr>
      <w:tr>
        <w:trPr>
          <w:trHeight w:val="168"/>
        </w:trPr>
        <w:tc>
          <w:tcPr>
            <w:tcW w:w="4860" w:type="dxa"/>
            <w:vAlign w:val="bottom"/>
          </w:tcPr>
          <w:p>
            <w:pPr>
              <w:spacing w:after="0"/>
              <w:rPr>
                <w:sz w:val="14"/>
                <w:szCs w:val="14"/>
                <w:color w:val="auto"/>
              </w:rPr>
            </w:pPr>
          </w:p>
        </w:tc>
        <w:tc>
          <w:tcPr>
            <w:tcW w:w="17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4"/>
                <w:szCs w:val="24"/>
                <w:color w:val="auto"/>
              </w:rPr>
            </w:pPr>
          </w:p>
        </w:tc>
        <w:tc>
          <w:tcPr>
            <w:tcW w:w="176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$ 1,057</w:t>
            </w:r>
          </w:p>
        </w:tc>
        <w:tc>
          <w:tcPr>
            <w:tcW w:w="10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8"/>
              </w:rPr>
              <w:t>$ 1,617</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$ 4,315</w:t>
            </w:r>
          </w:p>
        </w:tc>
        <w:tc>
          <w:tcPr>
            <w:tcW w:w="11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5"/>
              </w:rPr>
              <w:t>$ 2,037</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$ 2,540</w:t>
            </w:r>
          </w:p>
        </w:tc>
      </w:tr>
      <w:tr>
        <w:trPr>
          <w:trHeight w:val="168"/>
        </w:trPr>
        <w:tc>
          <w:tcPr>
            <w:tcW w:w="4860" w:type="dxa"/>
            <w:vAlign w:val="bottom"/>
          </w:tcPr>
          <w:p>
            <w:pPr>
              <w:spacing w:after="0"/>
              <w:rPr>
                <w:sz w:val="14"/>
                <w:szCs w:val="14"/>
                <w:color w:val="auto"/>
              </w:rPr>
            </w:pPr>
          </w:p>
        </w:tc>
        <w:tc>
          <w:tcPr>
            <w:tcW w:w="17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6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884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734</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728</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617</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473</w:t>
            </w:r>
          </w:p>
        </w:tc>
      </w:tr>
      <w:tr>
        <w:trPr>
          <w:trHeight w:val="168"/>
        </w:trPr>
        <w:tc>
          <w:tcPr>
            <w:tcW w:w="4860" w:type="dxa"/>
            <w:vAlign w:val="bottom"/>
          </w:tcPr>
          <w:p>
            <w:pPr>
              <w:spacing w:after="0"/>
              <w:rPr>
                <w:sz w:val="14"/>
                <w:szCs w:val="14"/>
                <w:color w:val="auto"/>
              </w:rPr>
            </w:pPr>
          </w:p>
        </w:tc>
        <w:tc>
          <w:tcPr>
            <w:tcW w:w="17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(1)</w:t>
            </w:r>
          </w:p>
        </w:tc>
        <w:tc>
          <w:tcPr>
            <w:tcW w:w="660" w:type="dxa"/>
            <w:vAlign w:val="bottom"/>
          </w:tcPr>
          <w:p>
            <w:pPr>
              <w:spacing w:after="0"/>
              <w:rPr>
                <w:sz w:val="24"/>
                <w:szCs w:val="2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88"/>
              </w:rPr>
              <w:t>1.20</w:t>
            </w:r>
          </w:p>
        </w:tc>
        <w:tc>
          <w:tcPr>
            <w:tcW w:w="220" w:type="dxa"/>
            <w:vAlign w:val="bottom"/>
          </w:tcPr>
          <w:p>
            <w:pPr>
              <w:spacing w:after="0"/>
              <w:rPr>
                <w:sz w:val="24"/>
                <w:szCs w:val="24"/>
                <w:color w:val="auto"/>
              </w:rPr>
            </w:pP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2.20</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5.93</w:t>
            </w:r>
          </w:p>
        </w:tc>
        <w:tc>
          <w:tcPr>
            <w:tcW w:w="18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3.30</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5.37</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4460" w:firstLine="10"/>
        <w:spacing w:after="0" w:line="236" w:lineRule="auto"/>
        <w:tabs>
          <w:tab w:leader="none" w:pos="35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of earnings to fixed charges, earnings consist of income (loss) from continuing operations before income taxes, cumulative effect of accounting change, minority interest, equity in net (income) losses of affiliates and fixed charges. Fixed charges consist of interest expense.</w:t>
      </w:r>
    </w:p>
    <w:p>
      <w:pPr>
        <w:sectPr>
          <w:pgSz w:w="11900" w:h="16838" w:orient="portrait"/>
          <w:cols w:equalWidth="0" w:num="1">
            <w:col w:w="11460"/>
          </w:cols>
          <w:pgMar w:left="220" w:top="303" w:right="2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4"/>
              </w:rPr>
              <w:t>EXHIBIT 12.2</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505"/>
        </w:trPr>
        <w:tc>
          <w:tcPr>
            <w:tcW w:w="5480" w:type="dxa"/>
            <w:vAlign w:val="bottom"/>
          </w:tcPr>
          <w:p>
            <w:pPr>
              <w:jc w:val="center"/>
              <w:ind w:left="1547"/>
              <w:spacing w:after="0"/>
              <w:rPr>
                <w:sz w:val="20"/>
                <w:szCs w:val="20"/>
                <w:color w:val="auto"/>
              </w:rPr>
            </w:pPr>
            <w:r>
              <w:rPr>
                <w:rFonts w:ascii="Courier New" w:cs="Courier New" w:eastAsia="Courier New" w:hAnsi="Courier New"/>
                <w:sz w:val="15"/>
                <w:szCs w:val="15"/>
                <w:color w:val="auto"/>
                <w:w w:val="97"/>
              </w:rPr>
              <w:t>COMCAST CORPORATION</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7060" w:type="dxa"/>
            <w:vAlign w:val="bottom"/>
            <w:gridSpan w:val="3"/>
          </w:tcPr>
          <w:p>
            <w:pPr>
              <w:jc w:val="right"/>
              <w:ind w:right="687"/>
              <w:spacing w:after="0" w:line="168" w:lineRule="exact"/>
              <w:rPr>
                <w:sz w:val="20"/>
                <w:szCs w:val="20"/>
                <w:color w:val="auto"/>
              </w:rPr>
            </w:pPr>
            <w:r>
              <w:rPr>
                <w:rFonts w:ascii="Courier New" w:cs="Courier New" w:eastAsia="Courier New" w:hAnsi="Courier New"/>
                <w:sz w:val="15"/>
                <w:szCs w:val="15"/>
                <w:color w:val="auto"/>
              </w:rPr>
              <w:t>STATEMENT REGARDING COMPUTATION OF RATIO OF EARNINGS TO COMBINED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80" w:type="dxa"/>
            <w:vAlign w:val="bottom"/>
          </w:tcPr>
          <w:p>
            <w:pPr>
              <w:jc w:val="center"/>
              <w:ind w:left="1567"/>
              <w:spacing w:after="0" w:line="168" w:lineRule="exact"/>
              <w:rPr>
                <w:sz w:val="20"/>
                <w:szCs w:val="20"/>
                <w:color w:val="auto"/>
              </w:rPr>
            </w:pPr>
            <w:r>
              <w:rPr>
                <w:rFonts w:ascii="Courier New" w:cs="Courier New" w:eastAsia="Courier New" w:hAnsi="Courier New"/>
                <w:sz w:val="15"/>
                <w:szCs w:val="15"/>
                <w:color w:val="auto"/>
                <w:w w:val="97"/>
              </w:rPr>
              <w:t>FIXED CHARGES AND PREFERRED DIVIDENDS</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80" w:type="dxa"/>
            <w:vAlign w:val="bottom"/>
          </w:tcPr>
          <w:p>
            <w:pPr>
              <w:jc w:val="center"/>
              <w:ind w:left="1567"/>
              <w:spacing w:after="0" w:line="168" w:lineRule="exact"/>
              <w:rPr>
                <w:sz w:val="20"/>
                <w:szCs w:val="20"/>
                <w:color w:val="auto"/>
              </w:rPr>
            </w:pPr>
            <w:r>
              <w:rPr>
                <w:rFonts w:ascii="Courier New" w:cs="Courier New" w:eastAsia="Courier New" w:hAnsi="Courier New"/>
                <w:sz w:val="15"/>
                <w:szCs w:val="15"/>
                <w:color w:val="auto"/>
                <w:w w:val="97"/>
              </w:rPr>
              <w:t>(DOLLARS IN MILLIONS)</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73"/>
        </w:trPr>
        <w:tc>
          <w:tcPr>
            <w:tcW w:w="5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480" w:type="dxa"/>
            <w:vAlign w:val="bottom"/>
          </w:tcPr>
          <w:p>
            <w:pPr>
              <w:spacing w:after="0"/>
              <w:rPr>
                <w:sz w:val="14"/>
                <w:szCs w:val="14"/>
                <w:color w:val="auto"/>
              </w:rPr>
            </w:pPr>
          </w:p>
        </w:tc>
        <w:tc>
          <w:tcPr>
            <w:tcW w:w="606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w w:val="88"/>
              </w:rPr>
              <w:t>2002</w:t>
            </w:r>
          </w:p>
        </w:tc>
        <w:tc>
          <w:tcPr>
            <w:tcW w:w="16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42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1999</w:t>
            </w:r>
          </w:p>
        </w:tc>
        <w:tc>
          <w:tcPr>
            <w:tcW w:w="44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480" w:type="dxa"/>
            <w:vAlign w:val="bottom"/>
          </w:tcPr>
          <w:p>
            <w:pPr>
              <w:spacing w:after="0"/>
              <w:rPr>
                <w:sz w:val="14"/>
                <w:szCs w:val="14"/>
                <w:color w:val="auto"/>
              </w:rPr>
            </w:pP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Earnings (loss) before fixed charges (1):</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6"/>
        </w:trPr>
        <w:tc>
          <w:tcPr>
            <w:tcW w:w="5480" w:type="dxa"/>
            <w:vAlign w:val="bottom"/>
          </w:tcPr>
          <w:p>
            <w:pPr>
              <w:ind w:left="180"/>
              <w:spacing w:after="0"/>
              <w:rPr>
                <w:sz w:val="20"/>
                <w:szCs w:val="20"/>
                <w:color w:val="auto"/>
              </w:rPr>
            </w:pPr>
            <w:r>
              <w:rPr>
                <w:rFonts w:ascii="Courier New" w:cs="Courier New" w:eastAsia="Courier New" w:hAnsi="Courier New"/>
                <w:sz w:val="15"/>
                <w:szCs w:val="15"/>
                <w:color w:val="auto"/>
              </w:rPr>
              <w:t>Earnings (loss) from continuing operations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before and cumulative effect of</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276)</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224</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$ 2,021</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730</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$ 1,003</w:t>
            </w:r>
          </w:p>
        </w:tc>
      </w:tr>
      <w:tr>
        <w:trPr>
          <w:trHeight w:val="505"/>
        </w:trPr>
        <w:tc>
          <w:tcPr>
            <w:tcW w:w="548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48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212</w:t>
            </w:r>
          </w:p>
        </w:tc>
        <w:tc>
          <w:tcPr>
            <w:tcW w:w="160" w:type="dxa"/>
            <w:vAlign w:val="bottom"/>
          </w:tcPr>
          <w:p>
            <w:pPr>
              <w:spacing w:after="0"/>
              <w:rPr>
                <w:sz w:val="24"/>
                <w:szCs w:val="2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160</w:t>
            </w:r>
          </w:p>
        </w:tc>
        <w:tc>
          <w:tcPr>
            <w:tcW w:w="420" w:type="dxa"/>
            <w:vAlign w:val="bottom"/>
          </w:tcPr>
          <w:p>
            <w:pPr>
              <w:spacing w:after="0"/>
              <w:rPr>
                <w:sz w:val="24"/>
                <w:szCs w:val="2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w:t>
            </w:r>
          </w:p>
        </w:tc>
        <w:tc>
          <w:tcPr>
            <w:tcW w:w="4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336"/>
        </w:trPr>
        <w:tc>
          <w:tcPr>
            <w:tcW w:w="5480" w:type="dxa"/>
            <w:vAlign w:val="bottom"/>
          </w:tcPr>
          <w:p>
            <w:pPr>
              <w:ind w:left="180"/>
              <w:spacing w:after="0"/>
              <w:rPr>
                <w:sz w:val="20"/>
                <w:szCs w:val="20"/>
                <w:color w:val="auto"/>
              </w:rPr>
            </w:pPr>
            <w:r>
              <w:rPr>
                <w:rFonts w:ascii="Courier New" w:cs="Courier New" w:eastAsia="Courier New" w:hAnsi="Courier New"/>
                <w:sz w:val="15"/>
                <w:szCs w:val="15"/>
                <w:color w:val="auto"/>
              </w:rPr>
              <w:t>Income tax (benefit) expense</w:t>
            </w:r>
          </w:p>
        </w:tc>
        <w:tc>
          <w:tcPr>
            <w:tcW w:w="48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134</w:t>
            </w:r>
          </w:p>
        </w:tc>
        <w:tc>
          <w:tcPr>
            <w:tcW w:w="160" w:type="dxa"/>
            <w:vAlign w:val="bottom"/>
          </w:tcPr>
          <w:p>
            <w:pPr>
              <w:spacing w:after="0"/>
              <w:rPr>
                <w:sz w:val="24"/>
                <w:szCs w:val="2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470</w:t>
            </w:r>
          </w:p>
        </w:tc>
        <w:tc>
          <w:tcPr>
            <w:tcW w:w="420" w:type="dxa"/>
            <w:vAlign w:val="bottom"/>
          </w:tcPr>
          <w:p>
            <w:pPr>
              <w:spacing w:after="0"/>
              <w:rPr>
                <w:sz w:val="24"/>
                <w:szCs w:val="2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1,429</w:t>
            </w:r>
          </w:p>
        </w:tc>
        <w:tc>
          <w:tcPr>
            <w:tcW w:w="480" w:type="dxa"/>
            <w:vAlign w:val="bottom"/>
          </w:tcPr>
          <w:p>
            <w:pPr>
              <w:spacing w:after="0"/>
              <w:rPr>
                <w:sz w:val="24"/>
                <w:szCs w:val="2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696</w:t>
            </w:r>
          </w:p>
        </w:tc>
        <w:tc>
          <w:tcPr>
            <w:tcW w:w="440" w:type="dxa"/>
            <w:vAlign w:val="bottom"/>
          </w:tcPr>
          <w:p>
            <w:pPr>
              <w:spacing w:after="0"/>
              <w:rPr>
                <w:sz w:val="24"/>
                <w:szCs w:val="24"/>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592</w:t>
            </w:r>
          </w:p>
        </w:tc>
      </w:tr>
      <w:tr>
        <w:trPr>
          <w:trHeight w:val="336"/>
        </w:trPr>
        <w:tc>
          <w:tcPr>
            <w:tcW w:w="5480" w:type="dxa"/>
            <w:vAlign w:val="bottom"/>
          </w:tcPr>
          <w:p>
            <w:pPr>
              <w:ind w:left="180"/>
              <w:spacing w:after="0"/>
              <w:rPr>
                <w:sz w:val="20"/>
                <w:szCs w:val="20"/>
                <w:color w:val="auto"/>
              </w:rPr>
            </w:pPr>
            <w:r>
              <w:rPr>
                <w:rFonts w:ascii="Courier New" w:cs="Courier New" w:eastAsia="Courier New" w:hAnsi="Courier New"/>
                <w:sz w:val="15"/>
                <w:szCs w:val="15"/>
                <w:color w:val="auto"/>
              </w:rPr>
              <w:t>Equity in net loss of affiliates</w:t>
            </w:r>
          </w:p>
        </w:tc>
        <w:tc>
          <w:tcPr>
            <w:tcW w:w="48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103</w:t>
            </w:r>
          </w:p>
        </w:tc>
        <w:tc>
          <w:tcPr>
            <w:tcW w:w="160" w:type="dxa"/>
            <w:vAlign w:val="bottom"/>
          </w:tcPr>
          <w:p>
            <w:pPr>
              <w:spacing w:after="0"/>
              <w:rPr>
                <w:sz w:val="24"/>
                <w:szCs w:val="2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w:t>
            </w:r>
          </w:p>
        </w:tc>
        <w:tc>
          <w:tcPr>
            <w:tcW w:w="420" w:type="dxa"/>
            <w:vAlign w:val="bottom"/>
          </w:tcPr>
          <w:p>
            <w:pPr>
              <w:spacing w:after="0"/>
              <w:rPr>
                <w:sz w:val="24"/>
                <w:szCs w:val="2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w:t>
            </w:r>
          </w:p>
        </w:tc>
        <w:tc>
          <w:tcPr>
            <w:tcW w:w="4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24"/>
                <w:szCs w:val="24"/>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516</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Combined fixed charges and</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preferred dividends</w:t>
            </w:r>
          </w:p>
        </w:tc>
        <w:tc>
          <w:tcPr>
            <w:tcW w:w="48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884</w:t>
            </w:r>
          </w:p>
        </w:tc>
        <w:tc>
          <w:tcPr>
            <w:tcW w:w="16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734</w:t>
            </w:r>
          </w:p>
        </w:tc>
        <w:tc>
          <w:tcPr>
            <w:tcW w:w="4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752</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647</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502</w:t>
            </w:r>
          </w:p>
        </w:tc>
      </w:tr>
      <w:tr>
        <w:trPr>
          <w:trHeight w:val="168"/>
        </w:trPr>
        <w:tc>
          <w:tcPr>
            <w:tcW w:w="5480" w:type="dxa"/>
            <w:vAlign w:val="bottom"/>
          </w:tcPr>
          <w:p>
            <w:pPr>
              <w:spacing w:after="0"/>
              <w:rPr>
                <w:sz w:val="14"/>
                <w:szCs w:val="14"/>
                <w:color w:val="auto"/>
              </w:rPr>
            </w:pP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4"/>
                <w:szCs w:val="24"/>
                <w:color w:val="auto"/>
              </w:rPr>
            </w:pP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$ 1,057</w:t>
            </w:r>
          </w:p>
        </w:tc>
        <w:tc>
          <w:tcPr>
            <w:tcW w:w="9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8"/>
              </w:rPr>
              <w:t>$ 1,617</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$ 4,339</w:t>
            </w:r>
          </w:p>
        </w:tc>
        <w:tc>
          <w:tcPr>
            <w:tcW w:w="13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$ 2,067</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$ 2,569</w:t>
            </w:r>
          </w:p>
        </w:tc>
      </w:tr>
      <w:tr>
        <w:trPr>
          <w:trHeight w:val="168"/>
        </w:trPr>
        <w:tc>
          <w:tcPr>
            <w:tcW w:w="5480" w:type="dxa"/>
            <w:vAlign w:val="bottom"/>
          </w:tcPr>
          <w:p>
            <w:pPr>
              <w:spacing w:after="0"/>
              <w:rPr>
                <w:sz w:val="14"/>
                <w:szCs w:val="14"/>
                <w:color w:val="auto"/>
              </w:rPr>
            </w:pP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Combined fixed charges and preferred dividends: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6"/>
        </w:trPr>
        <w:tc>
          <w:tcPr>
            <w:tcW w:w="548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884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617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473</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dividends</w:t>
            </w:r>
          </w:p>
        </w:tc>
        <w:tc>
          <w:tcPr>
            <w:tcW w:w="48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480" w:type="dxa"/>
            <w:vAlign w:val="bottom"/>
          </w:tcPr>
          <w:p>
            <w:pPr>
              <w:spacing w:after="0"/>
              <w:rPr>
                <w:sz w:val="14"/>
                <w:szCs w:val="14"/>
                <w:color w:val="auto"/>
              </w:rPr>
            </w:pP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4"/>
                <w:szCs w:val="24"/>
                <w:color w:val="auto"/>
              </w:rPr>
            </w:pP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884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647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502</w:t>
            </w:r>
          </w:p>
        </w:tc>
      </w:tr>
      <w:tr>
        <w:trPr>
          <w:trHeight w:val="168"/>
        </w:trPr>
        <w:tc>
          <w:tcPr>
            <w:tcW w:w="5480" w:type="dxa"/>
            <w:vAlign w:val="bottom"/>
          </w:tcPr>
          <w:p>
            <w:pPr>
              <w:spacing w:after="0"/>
              <w:rPr>
                <w:sz w:val="14"/>
                <w:szCs w:val="14"/>
                <w:color w:val="auto"/>
              </w:rPr>
            </w:pP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(1)</w:t>
            </w:r>
          </w:p>
        </w:tc>
        <w:tc>
          <w:tcPr>
            <w:tcW w:w="48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1.20</w:t>
            </w:r>
          </w:p>
        </w:tc>
        <w:tc>
          <w:tcPr>
            <w:tcW w:w="160" w:type="dxa"/>
            <w:vAlign w:val="bottom"/>
          </w:tcPr>
          <w:p>
            <w:pPr>
              <w:spacing w:after="0"/>
              <w:rPr>
                <w:sz w:val="24"/>
                <w:szCs w:val="2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2.20</w:t>
            </w:r>
          </w:p>
        </w:tc>
        <w:tc>
          <w:tcPr>
            <w:tcW w:w="420" w:type="dxa"/>
            <w:vAlign w:val="bottom"/>
          </w:tcPr>
          <w:p>
            <w:pPr>
              <w:spacing w:after="0"/>
              <w:rPr>
                <w:sz w:val="24"/>
                <w:szCs w:val="2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5.77</w:t>
            </w:r>
          </w:p>
        </w:tc>
        <w:tc>
          <w:tcPr>
            <w:tcW w:w="480" w:type="dxa"/>
            <w:vAlign w:val="bottom"/>
          </w:tcPr>
          <w:p>
            <w:pPr>
              <w:spacing w:after="0"/>
              <w:rPr>
                <w:sz w:val="24"/>
                <w:szCs w:val="2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3.20</w:t>
            </w:r>
          </w:p>
        </w:tc>
        <w:tc>
          <w:tcPr>
            <w:tcW w:w="440" w:type="dxa"/>
            <w:vAlign w:val="bottom"/>
          </w:tcPr>
          <w:p>
            <w:pPr>
              <w:spacing w:after="0"/>
              <w:rPr>
                <w:sz w:val="24"/>
                <w:szCs w:val="24"/>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5.12</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4620" w:firstLine="10"/>
        <w:spacing w:after="0" w:line="236" w:lineRule="auto"/>
        <w:tabs>
          <w:tab w:leader="none" w:pos="3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of earnings to combined fixed charges and preferred dividends, earnings consist of income (loss) from continuing operations before income taxes, cumulative effect of accounting change, minority interest, equity in net (income) losses of affiliates and combined fixed charges and preferred dividends. Combined fixed charges consist of interest expense and preferred dividends.</w:t>
      </w:r>
    </w:p>
    <w:p>
      <w:pPr>
        <w:sectPr>
          <w:pgSz w:w="11900" w:h="16838" w:orient="portrait"/>
          <w:cols w:equalWidth="0" w:num="1">
            <w:col w:w="11540"/>
          </w:cols>
          <w:pgMar w:left="220" w:top="303" w:right="139" w:bottom="1440" w:gutter="0" w:footer="0" w:header="0"/>
        </w:sectPr>
      </w:pPr>
    </w:p>
    <w:bookmarkStart w:id="91" w:name="page92"/>
    <w:bookmarkEnd w:id="91"/>
    <w:p>
      <w:pPr>
        <w:ind w:left="5860"/>
        <w:spacing w:after="0"/>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on Form S-3 of Comcast Corporation of our reports dated March 17, 2003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appearing in Comcast Corporation's Annual Report on Form 10-K, and to the reference to us under the heading "Experts" in the Prospectus, which is part of this Registration Statement.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March 24, 2003</w:t>
      </w:r>
    </w:p>
    <w:p>
      <w:pPr>
        <w:sectPr>
          <w:pgSz w:w="11900" w:h="16838" w:orient="portrait"/>
          <w:cols w:equalWidth="0" w:num="1">
            <w:col w:w="10239"/>
          </w:cols>
          <w:pgMar w:left="220" w:top="303" w:right="1440" w:bottom="1440" w:gutter="0" w:footer="0" w:header="0"/>
        </w:sectPr>
      </w:pPr>
    </w:p>
    <w:bookmarkStart w:id="92" w:name="page93"/>
    <w:bookmarkEnd w:id="92"/>
    <w:p>
      <w:pPr>
        <w:jc w:val="right"/>
        <w:ind w:right="3319"/>
        <w:spacing w:after="0"/>
        <w:rPr>
          <w:sz w:val="20"/>
          <w:szCs w:val="20"/>
          <w:color w:val="auto"/>
        </w:rPr>
      </w:pPr>
      <w:r>
        <w:rPr>
          <w:rFonts w:ascii="Courier New" w:cs="Courier New" w:eastAsia="Courier New" w:hAnsi="Courier New"/>
          <w:sz w:val="15"/>
          <w:szCs w:val="15"/>
          <w:color w:val="auto"/>
        </w:rPr>
        <w:t>EXHIBIT 23.2</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S-3 of Comcast Corporation of our report dated March 25, 2002 relating to the combined financial statements of AT&amp;T Broadband Group, which appears in the Current Report on Form 8-K/A of Comcast Corporation filed on December 16, 2002. We also consent to the reference to us under the heading "Experts" in such Registration Statement.</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New York, New York</w:t>
      </w:r>
    </w:p>
    <w:p>
      <w:pPr>
        <w:spacing w:after="0" w:line="238" w:lineRule="auto"/>
        <w:rPr>
          <w:sz w:val="20"/>
          <w:szCs w:val="20"/>
          <w:color w:val="auto"/>
        </w:rPr>
      </w:pPr>
      <w:r>
        <w:rPr>
          <w:rFonts w:ascii="Courier New" w:cs="Courier New" w:eastAsia="Courier New" w:hAnsi="Courier New"/>
          <w:sz w:val="15"/>
          <w:szCs w:val="15"/>
          <w:color w:val="auto"/>
        </w:rPr>
        <w:t>March 25, 2003</w:t>
      </w:r>
    </w:p>
    <w:p>
      <w:pPr>
        <w:sectPr>
          <w:pgSz w:w="11900" w:h="16838" w:orient="portrait"/>
          <w:cols w:equalWidth="0" w:num="1">
            <w:col w:w="10239"/>
          </w:cols>
          <w:pgMar w:left="220" w:top="303" w:right="1440"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abstractNum>
  <w:abstractNum w:abstractNumId="1">
    <w:nsid w:val="614FD4A1"/>
    <w:multiLevelType w:val="hybridMultilevel"/>
    <w:lvl w:ilvl="0">
      <w:lvlJc w:val="left"/>
      <w:lvlText w:val="(%1)"/>
      <w:numFmt w:val="decimal"/>
      <w:start w:val="4"/>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lvl w:ilvl="1">
      <w:lvlJc w:val="left"/>
      <w:lvlText w:val="•"/>
      <w:numFmt w:val="bullet"/>
      <w:start w:val="1"/>
    </w:lvl>
  </w:abstractNum>
  <w:abstractNum w:abstractNumId="11">
    <w:nsid w:val="5E884ADC"/>
    <w:multiLevelType w:val="hybridMultilevel"/>
    <w:lvl w:ilvl="0">
      <w:lvlJc w:val="left"/>
      <w:lvlText w:val="(%1)"/>
      <w:numFmt w:val="lowerLetter"/>
      <w:start w:val="1"/>
    </w:lvl>
  </w:abstractNum>
  <w:abstractNum w:abstractNumId="12">
    <w:nsid w:val="51EAD36B"/>
    <w:multiLevelType w:val="hybridMultilevel"/>
    <w:lvl w:ilvl="0">
      <w:lvlJc w:val="left"/>
      <w:lvlText w:val="(%1)"/>
      <w:numFmt w:val="lowerLetter"/>
      <w:start w:val="2"/>
    </w:lvl>
  </w:abstractNum>
  <w:abstractNum w:abstractNumId="13">
    <w:nsid w:val="2D517796"/>
    <w:multiLevelType w:val="hybridMultilevel"/>
    <w:lvl w:ilvl="0">
      <w:lvlJc w:val="left"/>
      <w:lvlText w:val="(%1)"/>
      <w:numFmt w:val="lowerLetter"/>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o"/>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o"/>
      <w:numFmt w:val="bullet"/>
      <w:start w:val="1"/>
    </w:lvl>
  </w:abstractNum>
  <w:abstractNum w:abstractNumId="23">
    <w:nsid w:val="57E4CCAF"/>
    <w:multiLevelType w:val="hybridMultilevel"/>
    <w:lvl w:ilvl="0">
      <w:lvlJc w:val="left"/>
      <w:lvlText w:val="•"/>
      <w:numFmt w:val="bullet"/>
      <w:start w:val="1"/>
    </w:lvl>
    <w:lvl w:ilvl="1">
      <w:lvlJc w:val="left"/>
      <w:lvlText w:val="o"/>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1)"/>
      <w:numFmt w:val="decimal"/>
      <w:start w:val="1"/>
    </w:lvl>
    <w:lvl w:ilvl="1">
      <w:lvlJc w:val="left"/>
      <w:lvlText w:val="•"/>
      <w:numFmt w:val="bullet"/>
      <w:start w:val="1"/>
    </w:lvl>
  </w:abstractNum>
  <w:abstractNum w:abstractNumId="28">
    <w:nsid w:val="38437FDB"/>
    <w:multiLevelType w:val="hybridMultilevel"/>
    <w:lvl w:ilvl="0">
      <w:lvlJc w:val="left"/>
      <w:lvlText w:val="(%1)"/>
      <w:numFmt w:val="decimal"/>
      <w:start w:val="6"/>
    </w:lvl>
    <w:lvl w:ilvl="1">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o"/>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lvl w:ilvl="1">
      <w:lvlJc w:val="left"/>
      <w:lvlText w:val="o"/>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1"/>
      <w:numFmt w:val="bullet"/>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lowerRoman"/>
      <w:start w:val="2"/>
    </w:lvl>
  </w:abstractNum>
  <w:abstractNum w:abstractNumId="55">
    <w:nsid w:val="10233C99"/>
    <w:multiLevelType w:val="hybridMultilevel"/>
    <w:lvl w:ilvl="0">
      <w:lvlJc w:val="left"/>
      <w:lvlText w:val="(%1)"/>
      <w:numFmt w:val="lowerLetter"/>
      <w:start w:val="2"/>
    </w:lvl>
  </w:abstractNum>
  <w:abstractNum w:abstractNumId="56">
    <w:nsid w:val="3F6AB60F"/>
    <w:multiLevelType w:val="hybridMultilevel"/>
    <w:lvl w:ilvl="0">
      <w:lvlJc w:val="left"/>
      <w:lvlText w:val="%1."/>
      <w:numFmt w:val="decimal"/>
      <w:start w:val="2"/>
    </w:lvl>
  </w:abstractNum>
  <w:abstractNum w:abstractNumId="57">
    <w:nsid w:val="61574095"/>
    <w:multiLevelType w:val="hybridMultilevel"/>
    <w:lvl w:ilvl="0">
      <w:lvlJc w:val="left"/>
      <w:lvlText w:val="1"/>
      <w:numFmt w:val="bullet"/>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2"/>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3"/>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3"/>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2019-12-15T06:12:35Z</dcterms:created>
  <dcterms:modified xsi:type="dcterms:W3CDTF">2019-12-15T06:12:35Z</dcterms:modified>
</cp:coreProperties>
</file>