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28"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79"/>
        <w:spacing w:after="0"/>
        <w:rPr>
          <w:sz w:val="20"/>
          <w:szCs w:val="20"/>
          <w:color w:val="auto"/>
        </w:rPr>
      </w:pPr>
      <w:r>
        <w:rPr>
          <w:rFonts w:ascii="Arial" w:cs="Arial" w:eastAsia="Arial" w:hAnsi="Arial"/>
          <w:sz w:val="21"/>
          <w:szCs w:val="21"/>
          <w:b w:val="1"/>
          <w:bCs w:val="1"/>
          <w:color w:val="auto"/>
        </w:rPr>
        <w:t>Washington, D.C. 20549</w:t>
      </w:r>
    </w:p>
    <w:p>
      <w:pPr>
        <w:spacing w:after="0" w:line="27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(Rule 14a-101)</w:t>
      </w:r>
    </w:p>
    <w:p>
      <w:pPr>
        <w:spacing w:after="0" w:line="188"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INFORMATION REQUIRED IN PROXY STATEMENT</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SCHEDULE 14A INFORMATION</w:t>
      </w:r>
    </w:p>
    <w:p>
      <w:pPr>
        <w:spacing w:after="0" w:line="185" w:lineRule="exact"/>
        <w:rPr>
          <w:sz w:val="24"/>
          <w:szCs w:val="24"/>
          <w:color w:val="auto"/>
        </w:rPr>
      </w:pPr>
    </w:p>
    <w:p>
      <w:pPr>
        <w:jc w:val="center"/>
        <w:ind w:right="-79"/>
        <w:spacing w:after="0"/>
        <w:rPr>
          <w:sz w:val="20"/>
          <w:szCs w:val="20"/>
          <w:color w:val="auto"/>
        </w:rPr>
      </w:pPr>
      <w:r>
        <w:rPr>
          <w:rFonts w:ascii="Arial" w:cs="Arial" w:eastAsia="Arial" w:hAnsi="Arial"/>
          <w:sz w:val="21"/>
          <w:szCs w:val="21"/>
          <w:b w:val="1"/>
          <w:bCs w:val="1"/>
          <w:color w:val="auto"/>
        </w:rPr>
        <w:t>Proxy Statement Pursuant to Section 14(a) of the Securities</w:t>
      </w:r>
    </w:p>
    <w:p>
      <w:pPr>
        <w:spacing w:after="0" w:line="21" w:lineRule="exact"/>
        <w:rPr>
          <w:sz w:val="24"/>
          <w:szCs w:val="24"/>
          <w:color w:val="auto"/>
        </w:rPr>
      </w:pPr>
    </w:p>
    <w:p>
      <w:pPr>
        <w:jc w:val="center"/>
        <w:ind w:right="-79"/>
        <w:spacing w:after="0"/>
        <w:tabs>
          <w:tab w:leader="none" w:pos="200" w:val="left"/>
        </w:tabs>
        <w:rPr>
          <w:sz w:val="20"/>
          <w:szCs w:val="20"/>
          <w:color w:val="auto"/>
        </w:rPr>
      </w:pPr>
      <w:r>
        <w:rPr>
          <w:rFonts w:ascii="Arial" w:cs="Arial" w:eastAsia="Arial" w:hAnsi="Arial"/>
          <w:sz w:val="20"/>
          <w:szCs w:val="20"/>
          <w:b w:val="1"/>
          <w:bCs w:val="1"/>
          <w:color w:val="auto"/>
        </w:rPr>
        <w:t>Exchange Act of 1934 (Amendment No.</w:t>
      </w:r>
      <w:r>
        <w:rPr>
          <w:sz w:val="20"/>
          <w:szCs w:val="20"/>
          <w:color w:val="auto"/>
        </w:rPr>
        <w:tab/>
      </w:r>
      <w:r>
        <w:rPr>
          <w:rFonts w:ascii="Arial" w:cs="Arial" w:eastAsia="Arial" w:hAnsi="Arial"/>
          <w:sz w:val="18"/>
          <w:szCs w:val="18"/>
          <w:b w:val="1"/>
          <w:bCs w:val="1"/>
          <w:color w:val="auto"/>
        </w:rPr>
        <w:t>)</w:t>
      </w:r>
    </w:p>
    <w:p>
      <w:pPr>
        <w:spacing w:after="0" w:line="7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46"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1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7" w:lineRule="exact"/>
        <w:rPr>
          <w:sz w:val="24"/>
          <w:szCs w:val="24"/>
          <w:color w:val="auto"/>
        </w:rPr>
      </w:pPr>
    </w:p>
    <w:p>
      <w:pPr>
        <w:ind w:left="360" w:hanging="35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105" w:lineRule="exact"/>
        <w:rPr>
          <w:rFonts w:ascii="Arial" w:cs="Arial" w:eastAsia="Arial" w:hAnsi="Arial"/>
          <w:sz w:val="18"/>
          <w:szCs w:val="18"/>
          <w:color w:val="auto"/>
        </w:rPr>
      </w:pPr>
    </w:p>
    <w:p>
      <w:pPr>
        <w:ind w:left="360" w:hanging="35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7" w:lineRule="exact"/>
        <w:rPr>
          <w:rFonts w:ascii="Arial" w:cs="Arial" w:eastAsia="Arial" w:hAnsi="Arial"/>
          <w:sz w:val="18"/>
          <w:szCs w:val="18"/>
          <w:color w:val="auto"/>
        </w:rPr>
      </w:pPr>
    </w:p>
    <w:p>
      <w:pPr>
        <w:ind w:left="360" w:hanging="354"/>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111" w:lineRule="exact"/>
        <w:rPr>
          <w:sz w:val="24"/>
          <w:szCs w:val="24"/>
          <w:color w:val="auto"/>
        </w:rPr>
      </w:pPr>
    </w:p>
    <w:p>
      <w:pPr>
        <w:ind w:left="440" w:hanging="434"/>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1" w:lineRule="exact"/>
        <w:rPr>
          <w:sz w:val="24"/>
          <w:szCs w:val="24"/>
          <w:color w:val="auto"/>
        </w:rPr>
      </w:pPr>
    </w:p>
    <w:p>
      <w:pPr>
        <w:ind w:left="360" w:hanging="354"/>
        <w:spacing w:after="0"/>
        <w:tabs>
          <w:tab w:leader="none" w:pos="3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 240.14a-12</w:t>
      </w:r>
    </w:p>
    <w:p>
      <w:pPr>
        <w:spacing w:after="0" w:line="246"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7249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330835</wp:posOffset>
            </wp:positionV>
            <wp:extent cx="7249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91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7" w:lineRule="exact"/>
        <w:rPr>
          <w:sz w:val="24"/>
          <w:szCs w:val="24"/>
          <w:color w:val="auto"/>
        </w:rPr>
      </w:pPr>
    </w:p>
    <w:p>
      <w:pPr>
        <w:ind w:left="340" w:hanging="334"/>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7" w:lineRule="exact"/>
        <w:rPr>
          <w:sz w:val="24"/>
          <w:szCs w:val="24"/>
          <w:color w:val="auto"/>
        </w:rPr>
      </w:pPr>
    </w:p>
    <w:p>
      <w:pPr>
        <w:ind w:left="340" w:hanging="33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217" w:lineRule="exact"/>
        <w:rPr>
          <w:rFonts w:ascii="Arial" w:cs="Arial" w:eastAsia="Arial" w:hAnsi="Arial"/>
          <w:sz w:val="18"/>
          <w:szCs w:val="18"/>
          <w:color w:val="auto"/>
        </w:rPr>
      </w:pPr>
    </w:p>
    <w:p>
      <w:pPr>
        <w:ind w:left="860" w:hanging="471"/>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43" w:lineRule="exact"/>
        <w:rPr>
          <w:rFonts w:ascii="Arial" w:cs="Arial" w:eastAsia="Arial" w:hAnsi="Arial"/>
          <w:sz w:val="18"/>
          <w:szCs w:val="18"/>
          <w:color w:val="auto"/>
        </w:rPr>
      </w:pPr>
    </w:p>
    <w:p>
      <w:pPr>
        <w:ind w:left="860" w:hanging="471"/>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43" w:lineRule="exact"/>
        <w:rPr>
          <w:rFonts w:ascii="Arial" w:cs="Arial" w:eastAsia="Arial" w:hAnsi="Arial"/>
          <w:sz w:val="18"/>
          <w:szCs w:val="18"/>
          <w:color w:val="auto"/>
        </w:rPr>
      </w:pPr>
    </w:p>
    <w:p>
      <w:pPr>
        <w:ind w:left="860" w:hanging="471"/>
        <w:spacing w:after="0" w:line="265" w:lineRule="auto"/>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5" w:lineRule="exact"/>
        <w:rPr>
          <w:rFonts w:ascii="Arial" w:cs="Arial" w:eastAsia="Arial" w:hAnsi="Arial"/>
          <w:sz w:val="18"/>
          <w:szCs w:val="18"/>
          <w:color w:val="auto"/>
        </w:rPr>
      </w:pPr>
    </w:p>
    <w:p>
      <w:pPr>
        <w:ind w:left="860" w:hanging="471"/>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43" w:lineRule="exact"/>
        <w:rPr>
          <w:rFonts w:ascii="Arial" w:cs="Arial" w:eastAsia="Arial" w:hAnsi="Arial"/>
          <w:sz w:val="18"/>
          <w:szCs w:val="18"/>
          <w:color w:val="auto"/>
        </w:rPr>
      </w:pPr>
    </w:p>
    <w:p>
      <w:pPr>
        <w:ind w:left="860" w:hanging="471"/>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360" w:hanging="354"/>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0" w:lineRule="exact"/>
        <w:rPr>
          <w:rFonts w:ascii="Arial" w:cs="Arial" w:eastAsia="Arial" w:hAnsi="Arial"/>
          <w:sz w:val="18"/>
          <w:szCs w:val="18"/>
          <w:color w:val="auto"/>
        </w:rPr>
      </w:pPr>
    </w:p>
    <w:p>
      <w:pPr>
        <w:ind w:left="360" w:right="640" w:hanging="354"/>
        <w:spacing w:after="0" w:line="294" w:lineRule="auto"/>
        <w:tabs>
          <w:tab w:leader="none" w:pos="36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57" w:lineRule="exact"/>
        <w:rPr>
          <w:rFonts w:ascii="Arial" w:cs="Arial" w:eastAsia="Arial" w:hAnsi="Arial"/>
          <w:sz w:val="17"/>
          <w:szCs w:val="17"/>
          <w:color w:val="auto"/>
        </w:rPr>
      </w:pPr>
    </w:p>
    <w:p>
      <w:pPr>
        <w:ind w:left="860" w:hanging="471"/>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43" w:lineRule="exact"/>
        <w:rPr>
          <w:rFonts w:ascii="Arial" w:cs="Arial" w:eastAsia="Arial" w:hAnsi="Arial"/>
          <w:sz w:val="18"/>
          <w:szCs w:val="18"/>
          <w:color w:val="auto"/>
        </w:rPr>
      </w:pPr>
    </w:p>
    <w:p>
      <w:pPr>
        <w:ind w:left="860" w:hanging="471"/>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43" w:lineRule="exact"/>
        <w:rPr>
          <w:rFonts w:ascii="Arial" w:cs="Arial" w:eastAsia="Arial" w:hAnsi="Arial"/>
          <w:sz w:val="18"/>
          <w:szCs w:val="18"/>
          <w:color w:val="auto"/>
        </w:rPr>
      </w:pPr>
    </w:p>
    <w:p>
      <w:pPr>
        <w:ind w:left="860" w:hanging="471"/>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43" w:lineRule="exact"/>
        <w:rPr>
          <w:rFonts w:ascii="Arial" w:cs="Arial" w:eastAsia="Arial" w:hAnsi="Arial"/>
          <w:sz w:val="18"/>
          <w:szCs w:val="18"/>
          <w:color w:val="auto"/>
        </w:rPr>
      </w:pPr>
    </w:p>
    <w:p>
      <w:pPr>
        <w:ind w:left="860" w:hanging="471"/>
        <w:spacing w:after="0"/>
        <w:tabs>
          <w:tab w:leader="none" w:pos="8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551180</wp:posOffset>
            </wp:positionH>
            <wp:positionV relativeFrom="paragraph">
              <wp:posOffset>-3229610</wp:posOffset>
            </wp:positionV>
            <wp:extent cx="67017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1790" cy="825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-2943225</wp:posOffset>
            </wp:positionV>
            <wp:extent cx="67017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1790" cy="825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-2522220</wp:posOffset>
            </wp:positionV>
            <wp:extent cx="67017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01790" cy="825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-2236470</wp:posOffset>
            </wp:positionV>
            <wp:extent cx="6701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1790" cy="825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-1950085</wp:posOffset>
            </wp:positionV>
            <wp:extent cx="6701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01790" cy="8255"/>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-1529080</wp:posOffset>
            </wp:positionV>
            <wp:extent cx="4487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87545" cy="825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-712470</wp:posOffset>
            </wp:positionV>
            <wp:extent cx="6701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01790" cy="825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-426085</wp:posOffset>
            </wp:positionV>
            <wp:extent cx="6701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01790" cy="825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-139700</wp:posOffset>
            </wp:positionV>
            <wp:extent cx="67017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01790" cy="8255"/>
                    </a:xfrm>
                    <a:prstGeom prst="rect">
                      <a:avLst/>
                    </a:prstGeom>
                    <a:noFill/>
                  </pic:spPr>
                </pic:pic>
              </a:graphicData>
            </a:graphic>
          </wp:anchor>
        </w:drawing>
        <w:drawing>
          <wp:anchor simplePos="0" relativeHeight="251657728" behindDoc="1" locked="0" layoutInCell="0" allowOverlap="1">
            <wp:simplePos x="0" y="0"/>
            <wp:positionH relativeFrom="column">
              <wp:posOffset>551180</wp:posOffset>
            </wp:positionH>
            <wp:positionV relativeFrom="paragraph">
              <wp:posOffset>146050</wp:posOffset>
            </wp:positionV>
            <wp:extent cx="6701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7017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295275</wp:posOffset>
            </wp:positionV>
            <wp:extent cx="725360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340"/>
          </w:cols>
          <w:pgMar w:left="240" w:top="329" w:right="319" w:bottom="1440" w:gutter="0" w:footer="0" w:header="0"/>
        </w:sectPr>
      </w:pPr>
    </w:p>
    <w:bookmarkStart w:id="1" w:name="page2"/>
    <w:bookmarkEnd w:id="1"/>
    <w:p>
      <w:pPr>
        <w:spacing w:after="0" w:line="13" w:lineRule="exact"/>
        <w:rPr>
          <w:sz w:val="20"/>
          <w:szCs w:val="20"/>
          <w:color w:val="auto"/>
        </w:rPr>
      </w:pPr>
    </w:p>
    <w:p>
      <w:pPr>
        <w:ind w:left="1160"/>
        <w:spacing w:after="0"/>
        <w:rPr>
          <w:sz w:val="20"/>
          <w:szCs w:val="20"/>
          <w:color w:val="auto"/>
        </w:rPr>
      </w:pPr>
      <w:r>
        <w:rPr>
          <w:rFonts w:ascii="Arial" w:cs="Arial" w:eastAsia="Arial" w:hAnsi="Arial"/>
          <w:sz w:val="18"/>
          <w:szCs w:val="18"/>
          <w:b w:val="1"/>
          <w:bCs w:val="1"/>
          <w:i w:val="1"/>
          <w:iCs w:val="1"/>
          <w:color w:val="auto"/>
        </w:rPr>
        <w:t>COMCAST CORPORATION</w:t>
      </w:r>
    </w:p>
    <w:p>
      <w:pPr>
        <w:spacing w:after="0" w:line="191" w:lineRule="exact"/>
        <w:rPr>
          <w:sz w:val="20"/>
          <w:szCs w:val="20"/>
          <w:color w:val="auto"/>
        </w:rPr>
      </w:pPr>
    </w:p>
    <w:p>
      <w:pPr>
        <w:ind w:left="1220"/>
        <w:spacing w:after="0"/>
        <w:rPr>
          <w:sz w:val="20"/>
          <w:szCs w:val="20"/>
          <w:color w:val="auto"/>
        </w:rPr>
      </w:pPr>
      <w:r>
        <w:rPr>
          <w:rFonts w:ascii="Arial" w:cs="Arial" w:eastAsia="Arial" w:hAnsi="Arial"/>
          <w:sz w:val="18"/>
          <w:szCs w:val="18"/>
          <w:b w:val="1"/>
          <w:bCs w:val="1"/>
          <w:color w:val="auto"/>
        </w:rPr>
        <w:t>** IMPORTANT NOTICE **</w:t>
      </w:r>
    </w:p>
    <w:p>
      <w:pPr>
        <w:spacing w:after="0" w:line="151"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Regarding the Availability of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29044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04490" cy="8255"/>
                    </a:xfrm>
                    <a:prstGeom prst="rect">
                      <a:avLst/>
                    </a:prstGeom>
                    <a:noFill/>
                  </pic:spPr>
                </pic:pic>
              </a:graphicData>
            </a:graphic>
          </wp:anchor>
        </w:drawing>
      </w:r>
    </w:p>
    <w:p>
      <w:pPr>
        <w:spacing w:after="0" w:line="39" w:lineRule="exact"/>
        <w:rPr>
          <w:sz w:val="20"/>
          <w:szCs w:val="20"/>
          <w:color w:val="auto"/>
        </w:rPr>
      </w:pPr>
    </w:p>
    <w:p>
      <w:pPr>
        <w:jc w:val="both"/>
        <w:ind w:right="200"/>
        <w:spacing w:after="0" w:line="243" w:lineRule="auto"/>
        <w:rPr>
          <w:sz w:val="20"/>
          <w:szCs w:val="20"/>
          <w:color w:val="auto"/>
        </w:rPr>
      </w:pPr>
      <w:r>
        <w:rPr>
          <w:rFonts w:ascii="Arial" w:cs="Arial" w:eastAsia="Arial" w:hAnsi="Arial"/>
          <w:sz w:val="14"/>
          <w:szCs w:val="14"/>
          <w:color w:val="auto"/>
        </w:rPr>
        <w:t>You are receiving this communication because you hold shares in the above company, and the materials you should review before you cast your vote are now available.</w:t>
      </w:r>
    </w:p>
    <w:p>
      <w:pPr>
        <w:spacing w:after="0" w:line="10" w:lineRule="exact"/>
        <w:rPr>
          <w:sz w:val="20"/>
          <w:szCs w:val="20"/>
          <w:color w:val="auto"/>
        </w:rPr>
      </w:pPr>
    </w:p>
    <w:p>
      <w:pPr>
        <w:jc w:val="both"/>
        <w:ind w:right="200"/>
        <w:spacing w:after="0" w:line="250" w:lineRule="auto"/>
        <w:rPr>
          <w:sz w:val="20"/>
          <w:szCs w:val="20"/>
          <w:color w:val="auto"/>
        </w:rPr>
      </w:pPr>
      <w:r>
        <w:rPr>
          <w:rFonts w:ascii="Arial" w:cs="Arial" w:eastAsia="Arial" w:hAnsi="Arial"/>
          <w:sz w:val="14"/>
          <w:szCs w:val="14"/>
          <w:b w:val="1"/>
          <w:bCs w:val="1"/>
          <w:color w:val="auto"/>
        </w:rPr>
        <w:t>This communication presents only an overview of the more complete proxy materials that are available to you on the Internet. We encourage you to access and review all of the important information contained in the proxy materials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660400</wp:posOffset>
            </wp:positionV>
            <wp:extent cx="1565910" cy="412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65910" cy="412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80"/>
        <w:spacing w:after="0"/>
        <w:rPr>
          <w:sz w:val="20"/>
          <w:szCs w:val="20"/>
          <w:color w:val="auto"/>
        </w:rPr>
      </w:pPr>
      <w:r>
        <w:rPr>
          <w:rFonts w:ascii="Arial" w:cs="Arial" w:eastAsia="Arial" w:hAnsi="Arial"/>
          <w:sz w:val="9"/>
          <w:szCs w:val="9"/>
          <w:i w:val="1"/>
          <w:iCs w:val="1"/>
          <w:color w:val="auto"/>
        </w:rPr>
        <w:t>ONE COMCAST CENTER</w:t>
      </w:r>
    </w:p>
    <w:p>
      <w:pPr>
        <w:ind w:left="280"/>
        <w:spacing w:after="0"/>
        <w:rPr>
          <w:sz w:val="20"/>
          <w:szCs w:val="20"/>
          <w:color w:val="auto"/>
        </w:rPr>
      </w:pPr>
      <w:r>
        <w:rPr>
          <w:rFonts w:ascii="Arial" w:cs="Arial" w:eastAsia="Arial" w:hAnsi="Arial"/>
          <w:sz w:val="9"/>
          <w:szCs w:val="9"/>
          <w:i w:val="1"/>
          <w:iCs w:val="1"/>
          <w:color w:val="auto"/>
        </w:rPr>
        <w:t>PHILADELPHIA, PA 19103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1357630</wp:posOffset>
            </wp:positionV>
            <wp:extent cx="59055" cy="286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055" cy="286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8"/>
          <w:szCs w:val="18"/>
          <w:b w:val="1"/>
          <w:bCs w:val="1"/>
          <w:color w:val="auto"/>
        </w:rPr>
        <w:t>Annual Meeting of Shareholders</w:t>
      </w:r>
    </w:p>
    <w:p>
      <w:pPr>
        <w:spacing w:after="0" w:line="14"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to be held on May 13,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wp:posOffset>
            </wp:positionV>
            <wp:extent cx="32581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Proxy Materials Available:</w:t>
      </w:r>
    </w:p>
    <w:p>
      <w:pPr>
        <w:spacing w:after="0" w:line="120" w:lineRule="exact"/>
        <w:rPr>
          <w:sz w:val="20"/>
          <w:szCs w:val="20"/>
          <w:color w:val="auto"/>
        </w:rPr>
      </w:pPr>
    </w:p>
    <w:p>
      <w:pPr>
        <w:ind w:left="200" w:hanging="195"/>
        <w:spacing w:after="0"/>
        <w:tabs>
          <w:tab w:leader="none" w:pos="200"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Proxy Statement</w:t>
      </w:r>
    </w:p>
    <w:p>
      <w:pPr>
        <w:ind w:left="200" w:hanging="195"/>
        <w:spacing w:after="0"/>
        <w:tabs>
          <w:tab w:leader="none" w:pos="200" w:val="left"/>
        </w:tabs>
        <w:numPr>
          <w:ilvl w:val="0"/>
          <w:numId w:val="6"/>
        </w:numPr>
        <w:rPr>
          <w:rFonts w:ascii="Arial" w:cs="Arial" w:eastAsia="Arial" w:hAnsi="Arial"/>
          <w:sz w:val="14"/>
          <w:szCs w:val="14"/>
          <w:b w:val="1"/>
          <w:bCs w:val="1"/>
          <w:color w:val="auto"/>
        </w:rPr>
      </w:pPr>
      <w:r>
        <w:rPr>
          <w:rFonts w:ascii="Arial" w:cs="Arial" w:eastAsia="Arial" w:hAnsi="Arial"/>
          <w:sz w:val="14"/>
          <w:szCs w:val="14"/>
          <w:color w:val="auto"/>
        </w:rPr>
        <w:t>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128270</wp:posOffset>
            </wp:positionV>
            <wp:extent cx="3322955" cy="896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22955" cy="896620"/>
                    </a:xfrm>
                    <a:prstGeom prst="rect">
                      <a:avLst/>
                    </a:prstGeom>
                    <a:noFill/>
                  </pic:spPr>
                </pic:pic>
              </a:graphicData>
            </a:graphic>
          </wp:anchor>
        </w:drawing>
      </w:r>
    </w:p>
    <w:p>
      <w:pPr>
        <w:spacing w:after="0" w:line="19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PROXY MATERIALS - VIEW ONLINE OR REQUEST</w:t>
      </w:r>
    </w:p>
    <w:p>
      <w:pPr>
        <w:spacing w:after="0" w:line="33" w:lineRule="exact"/>
        <w:rPr>
          <w:sz w:val="20"/>
          <w:szCs w:val="20"/>
          <w:color w:val="auto"/>
        </w:rPr>
      </w:pPr>
    </w:p>
    <w:p>
      <w:pPr>
        <w:jc w:val="both"/>
        <w:ind w:left="160"/>
        <w:spacing w:after="0" w:line="257" w:lineRule="auto"/>
        <w:rPr>
          <w:sz w:val="20"/>
          <w:szCs w:val="20"/>
          <w:color w:val="auto"/>
        </w:rPr>
      </w:pPr>
      <w:r>
        <w:rPr>
          <w:rFonts w:ascii="Arial" w:cs="Arial" w:eastAsia="Arial" w:hAnsi="Arial"/>
          <w:sz w:val="14"/>
          <w:szCs w:val="14"/>
          <w:b w:val="1"/>
          <w:bCs w:val="1"/>
          <w:color w:val="auto"/>
        </w:rPr>
        <w:t>You can choose to view the materials online. If you want to receive a pape or e-mail copy of these documents, you must request one. There is N charge to you for requesting a copy.</w:t>
      </w:r>
    </w:p>
    <w:p>
      <w:pPr>
        <w:spacing w:after="0" w:line="13" w:lineRule="exact"/>
        <w:rPr>
          <w:sz w:val="20"/>
          <w:szCs w:val="20"/>
          <w:color w:val="auto"/>
        </w:rPr>
      </w:pPr>
    </w:p>
    <w:p>
      <w:pPr>
        <w:jc w:val="both"/>
        <w:ind w:left="160"/>
        <w:spacing w:after="0" w:line="257" w:lineRule="auto"/>
        <w:rPr>
          <w:sz w:val="20"/>
          <w:szCs w:val="20"/>
          <w:color w:val="auto"/>
        </w:rPr>
      </w:pPr>
      <w:r>
        <w:rPr>
          <w:rFonts w:ascii="Arial" w:cs="Arial" w:eastAsia="Arial" w:hAnsi="Arial"/>
          <w:sz w:val="14"/>
          <w:szCs w:val="14"/>
          <w:b w:val="1"/>
          <w:bCs w:val="1"/>
          <w:color w:val="auto"/>
        </w:rPr>
        <w:t>Please make your request for a copy as instructed below on or befor April 29, 2009 to facilitate timely delivery prior to the Annual Meeting 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3322955" cy="501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22955" cy="501015"/>
                    </a:xfrm>
                    <a:prstGeom prst="rect">
                      <a:avLst/>
                    </a:prstGeom>
                    <a:noFill/>
                  </pic:spPr>
                </pic:pic>
              </a:graphicData>
            </a:graphic>
          </wp:anchor>
        </w:drawing>
      </w:r>
    </w:p>
    <w:p>
      <w:pPr>
        <w:spacing w:after="0" w:line="22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HOW TO VIEW MATERIALS VIA THE INTERNET</w:t>
      </w:r>
    </w:p>
    <w:p>
      <w:pPr>
        <w:spacing w:after="0" w:line="64" w:lineRule="exact"/>
        <w:rPr>
          <w:sz w:val="20"/>
          <w:szCs w:val="20"/>
          <w:color w:val="auto"/>
        </w:rPr>
      </w:pPr>
    </w:p>
    <w:p>
      <w:pPr>
        <w:ind w:left="160" w:right="20"/>
        <w:spacing w:after="0" w:line="250" w:lineRule="auto"/>
        <w:rPr>
          <w:sz w:val="20"/>
          <w:szCs w:val="20"/>
          <w:color w:val="auto"/>
        </w:rPr>
      </w:pPr>
      <w:r>
        <w:rPr>
          <w:rFonts w:ascii="Arial" w:cs="Arial" w:eastAsia="Arial" w:hAnsi="Arial"/>
          <w:sz w:val="14"/>
          <w:szCs w:val="14"/>
          <w:color w:val="auto"/>
        </w:rPr>
        <w:t>Have the 12 Digit Control Number (located on the following page) available an visit: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3322955" cy="1233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22955" cy="1233805"/>
                    </a:xfrm>
                    <a:prstGeom prst="rect">
                      <a:avLst/>
                    </a:prstGeom>
                    <a:noFill/>
                  </pic:spPr>
                </pic:pic>
              </a:graphicData>
            </a:graphic>
          </wp:anchor>
        </w:drawing>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HOW TO REQUEST A COPY OF MATERIALS</w:t>
      </w:r>
    </w:p>
    <w:p>
      <w:pPr>
        <w:spacing w:after="0" w:line="91" w:lineRule="exact"/>
        <w:rPr>
          <w:sz w:val="20"/>
          <w:szCs w:val="20"/>
          <w:color w:val="auto"/>
        </w:rPr>
      </w:pPr>
    </w:p>
    <w:p>
      <w:pPr>
        <w:ind w:left="320" w:hanging="156"/>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BY INTERNET -   www.proxyvote.com</w:t>
      </w:r>
    </w:p>
    <w:p>
      <w:pPr>
        <w:spacing w:after="0" w:line="157" w:lineRule="exact"/>
        <w:rPr>
          <w:rFonts w:ascii="Arial" w:cs="Arial" w:eastAsia="Arial" w:hAnsi="Arial"/>
          <w:sz w:val="14"/>
          <w:szCs w:val="14"/>
          <w:color w:val="auto"/>
        </w:rPr>
      </w:pPr>
    </w:p>
    <w:p>
      <w:pPr>
        <w:ind w:left="320" w:hanging="156"/>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BY TELEPHONE - 1-800-579-1639</w:t>
      </w:r>
    </w:p>
    <w:p>
      <w:pPr>
        <w:spacing w:after="0" w:line="157" w:lineRule="exact"/>
        <w:rPr>
          <w:rFonts w:ascii="Arial" w:cs="Arial" w:eastAsia="Arial" w:hAnsi="Arial"/>
          <w:sz w:val="14"/>
          <w:szCs w:val="14"/>
          <w:color w:val="auto"/>
        </w:rPr>
      </w:pPr>
    </w:p>
    <w:p>
      <w:pPr>
        <w:ind w:left="320" w:hanging="156"/>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BY E-MAIL* -sendmaterial@proxyvote.com</w:t>
      </w:r>
    </w:p>
    <w:p>
      <w:pPr>
        <w:spacing w:after="0" w:line="25" w:lineRule="exact"/>
        <w:rPr>
          <w:sz w:val="20"/>
          <w:szCs w:val="20"/>
          <w:color w:val="auto"/>
        </w:rPr>
      </w:pPr>
    </w:p>
    <w:p>
      <w:pPr>
        <w:ind w:left="160"/>
        <w:spacing w:after="0" w:line="250" w:lineRule="auto"/>
        <w:rPr>
          <w:sz w:val="20"/>
          <w:szCs w:val="20"/>
          <w:color w:val="auto"/>
        </w:rPr>
      </w:pPr>
      <w:r>
        <w:rPr>
          <w:rFonts w:ascii="Arial" w:cs="Arial" w:eastAsia="Arial" w:hAnsi="Arial"/>
          <w:sz w:val="14"/>
          <w:szCs w:val="14"/>
          <w:color w:val="auto"/>
        </w:rPr>
        <w:t>*If requesting materials by e-mail, please send a blank e-mail with the 12 Digi Control Number (located on the following page) in the subject line.</w:t>
      </w:r>
    </w:p>
    <w:p>
      <w:pPr>
        <w:spacing w:after="0" w:line="5" w:lineRule="exact"/>
        <w:rPr>
          <w:sz w:val="20"/>
          <w:szCs w:val="20"/>
          <w:color w:val="auto"/>
        </w:rPr>
      </w:pPr>
    </w:p>
    <w:p>
      <w:pPr>
        <w:ind w:left="160"/>
        <w:spacing w:after="0" w:line="277" w:lineRule="auto"/>
        <w:rPr>
          <w:sz w:val="20"/>
          <w:szCs w:val="20"/>
          <w:color w:val="auto"/>
        </w:rPr>
      </w:pPr>
      <w:r>
        <w:rPr>
          <w:rFonts w:ascii="Arial" w:cs="Arial" w:eastAsia="Arial" w:hAnsi="Arial"/>
          <w:sz w:val="14"/>
          <w:szCs w:val="14"/>
          <w:b w:val="1"/>
          <w:bCs w:val="1"/>
          <w:color w:val="auto"/>
        </w:rPr>
        <w:t>Requests, instructions and other inquiries will NOT be forwarded to you investment advisor.</w:t>
      </w:r>
    </w:p>
    <w:p>
      <w:pPr>
        <w:spacing w:after="0" w:line="200" w:lineRule="exact"/>
        <w:rPr>
          <w:sz w:val="20"/>
          <w:szCs w:val="20"/>
          <w:color w:val="auto"/>
        </w:rPr>
      </w:pPr>
    </w:p>
    <w:p>
      <w:pPr>
        <w:sectPr>
          <w:pgSz w:w="11900" w:h="16838" w:orient="portrait"/>
          <w:cols w:equalWidth="0" w:num="2">
            <w:col w:w="4760" w:space="720"/>
            <w:col w:w="5240"/>
          </w:cols>
          <w:pgMar w:left="1040" w:top="1098"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960"/>
        <w:spacing w:after="0"/>
        <w:rPr>
          <w:sz w:val="20"/>
          <w:szCs w:val="20"/>
          <w:color w:val="auto"/>
        </w:rPr>
      </w:pPr>
      <w:r>
        <w:rPr>
          <w:rFonts w:ascii="Arial" w:cs="Arial" w:eastAsia="Arial" w:hAnsi="Arial"/>
          <w:sz w:val="15"/>
          <w:szCs w:val="15"/>
          <w:b w:val="1"/>
          <w:bCs w:val="1"/>
          <w:i w:val="1"/>
          <w:iCs w:val="1"/>
          <w:color w:val="auto"/>
        </w:rPr>
        <w:t>See the Reverse Side for Meeting Information and Instructions on 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-505460</wp:posOffset>
            </wp:positionH>
            <wp:positionV relativeFrom="paragraph">
              <wp:posOffset>386715</wp:posOffset>
            </wp:positionV>
            <wp:extent cx="725360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0720"/>
          </w:cols>
          <w:pgMar w:left="1040" w:top="1098" w:right="139" w:bottom="1440" w:gutter="0" w:footer="0" w:header="0"/>
          <w:type w:val="continuous"/>
        </w:sectPr>
      </w:pPr>
    </w:p>
    <w:bookmarkStart w:id="2" w:name="page3"/>
    <w:bookmarkEnd w:id="2"/>
    <w:p>
      <w:pPr>
        <w:ind w:left="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516255</wp:posOffset>
            </wp:positionH>
            <wp:positionV relativeFrom="page">
              <wp:posOffset>726440</wp:posOffset>
            </wp:positionV>
            <wp:extent cx="3464560" cy="21596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64560" cy="2159635"/>
                    </a:xfrm>
                    <a:prstGeom prst="rect">
                      <a:avLst/>
                    </a:prstGeom>
                    <a:noFill/>
                  </pic:spPr>
                </pic:pic>
              </a:graphicData>
            </a:graphic>
          </wp:anchor>
        </w:drawing>
        <w:t>Meeting Information</w:t>
      </w:r>
    </w:p>
    <w:p>
      <w:pPr>
        <w:spacing w:after="0" w:line="109"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6"/>
          <w:szCs w:val="16"/>
          <w:color w:val="auto"/>
        </w:rPr>
        <w:t>Meeting Type:</w:t>
      </w:r>
      <w:r>
        <w:rPr>
          <w:sz w:val="20"/>
          <w:szCs w:val="20"/>
          <w:color w:val="auto"/>
        </w:rPr>
        <w:tab/>
      </w:r>
      <w:r>
        <w:rPr>
          <w:rFonts w:ascii="Arial" w:cs="Arial" w:eastAsia="Arial" w:hAnsi="Arial"/>
          <w:sz w:val="15"/>
          <w:szCs w:val="15"/>
          <w:color w:val="auto"/>
        </w:rPr>
        <w:t>Annual Meeting of Shareholders</w:t>
      </w:r>
    </w:p>
    <w:p>
      <w:pPr>
        <w:spacing w:after="0" w:line="2"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6"/>
          <w:szCs w:val="16"/>
          <w:color w:val="auto"/>
        </w:rPr>
        <w:t>Meeting Date:</w:t>
      </w:r>
      <w:r>
        <w:rPr>
          <w:sz w:val="20"/>
          <w:szCs w:val="20"/>
          <w:color w:val="auto"/>
        </w:rPr>
        <w:tab/>
      </w:r>
      <w:r>
        <w:rPr>
          <w:rFonts w:ascii="Arial" w:cs="Arial" w:eastAsia="Arial" w:hAnsi="Arial"/>
          <w:sz w:val="15"/>
          <w:szCs w:val="15"/>
          <w:color w:val="auto"/>
        </w:rPr>
        <w:t>May 13, 2009</w:t>
      </w:r>
    </w:p>
    <w:p>
      <w:pPr>
        <w:spacing w:after="0" w:line="2" w:lineRule="exact"/>
        <w:rPr>
          <w:sz w:val="20"/>
          <w:szCs w:val="20"/>
          <w:color w:val="auto"/>
        </w:rPr>
      </w:pPr>
    </w:p>
    <w:p>
      <w:pPr>
        <w:ind w:left="160"/>
        <w:spacing w:after="0"/>
        <w:tabs>
          <w:tab w:leader="none" w:pos="1480" w:val="left"/>
        </w:tabs>
        <w:rPr>
          <w:sz w:val="20"/>
          <w:szCs w:val="20"/>
          <w:color w:val="auto"/>
        </w:rPr>
      </w:pPr>
      <w:r>
        <w:rPr>
          <w:rFonts w:ascii="Arial" w:cs="Arial" w:eastAsia="Arial" w:hAnsi="Arial"/>
          <w:sz w:val="16"/>
          <w:szCs w:val="16"/>
          <w:color w:val="auto"/>
        </w:rPr>
        <w:t>Meeting Time:</w:t>
      </w:r>
      <w:r>
        <w:rPr>
          <w:sz w:val="20"/>
          <w:szCs w:val="20"/>
          <w:color w:val="auto"/>
        </w:rPr>
        <w:tab/>
      </w:r>
      <w:r>
        <w:rPr>
          <w:rFonts w:ascii="Arial" w:cs="Arial" w:eastAsia="Arial" w:hAnsi="Arial"/>
          <w:sz w:val="15"/>
          <w:szCs w:val="15"/>
          <w:color w:val="auto"/>
        </w:rPr>
        <w:t>9:00 a.m. EDT (Doors Open at 8:00 a.m.)</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holders as of: March 4, 2009</w:t>
      </w:r>
    </w:p>
    <w:p>
      <w:pPr>
        <w:spacing w:after="0" w:line="16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Meeting Location:</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Pennsylvania Convention Center</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One Convention Center Place</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1101 Arch Street</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Philadelphia, PA 19107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560" w:firstLine="481"/>
        <w:spacing w:after="0" w:line="358" w:lineRule="auto"/>
        <w:rPr>
          <w:sz w:val="20"/>
          <w:szCs w:val="20"/>
          <w:color w:val="auto"/>
        </w:rPr>
      </w:pPr>
      <w:r>
        <w:rPr>
          <w:rFonts w:ascii="Arial" w:cs="Arial" w:eastAsia="Arial" w:hAnsi="Arial"/>
          <w:sz w:val="12"/>
          <w:szCs w:val="12"/>
          <w:b w:val="1"/>
          <w:bCs w:val="1"/>
          <w:color w:val="auto"/>
        </w:rPr>
        <w:t>DIRECTIONS TO COMCAST’S ANNUAL MEETING OF SHAREHOLDERS From New Jersey via the Ben Franklin Bridge</w:t>
      </w:r>
    </w:p>
    <w:p>
      <w:pPr>
        <w:jc w:val="both"/>
        <w:ind w:right="80"/>
        <w:spacing w:after="0" w:line="233" w:lineRule="auto"/>
        <w:rPr>
          <w:sz w:val="20"/>
          <w:szCs w:val="20"/>
          <w:color w:val="auto"/>
        </w:rPr>
      </w:pPr>
      <w:r>
        <w:rPr>
          <w:rFonts w:ascii="Arial" w:cs="Arial" w:eastAsia="Arial" w:hAnsi="Arial"/>
          <w:sz w:val="12"/>
          <w:szCs w:val="12"/>
          <w:color w:val="auto"/>
        </w:rPr>
        <w:t>Take NJ Turnpike to Exit 4 (Philadelphia/Camden Exit). Take Rte. 73 North and follow it to Rte. 38 West. Take 38 West to the Benjamin Franklin Bridge, crossing into Philadelphia. Follow local traffic signs for Vine Street/PA Convention Center. Go approximately 6 blocks and make a left turn onto 12th Street. The main entrances are located two blocks ahead at 12th and Arch Streets - please enter through the East Side Entrance. Shareholders may also enter through the Market Street Entrance, which is located on Market Street between 11th and 12th Streets. The meeting room is conveniently located within walking distance to the Market Street Entrance. There will be signs directing shareholders to the meeting location.</w:t>
      </w: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From Interstate 76/Schuylkill Expressway</w:t>
      </w:r>
    </w:p>
    <w:p>
      <w:pPr>
        <w:spacing w:after="0" w:line="22" w:lineRule="exact"/>
        <w:rPr>
          <w:sz w:val="20"/>
          <w:szCs w:val="20"/>
          <w:color w:val="auto"/>
        </w:rPr>
      </w:pPr>
    </w:p>
    <w:p>
      <w:pPr>
        <w:jc w:val="both"/>
        <w:ind w:right="80"/>
        <w:spacing w:after="0" w:line="234" w:lineRule="auto"/>
        <w:rPr>
          <w:sz w:val="20"/>
          <w:szCs w:val="20"/>
          <w:color w:val="auto"/>
        </w:rPr>
      </w:pPr>
      <w:r>
        <w:rPr>
          <w:rFonts w:ascii="Arial" w:cs="Arial" w:eastAsia="Arial" w:hAnsi="Arial"/>
          <w:sz w:val="12"/>
          <w:szCs w:val="12"/>
          <w:color w:val="auto"/>
        </w:rPr>
        <w:t>Take Rte 76 to Exit 344/I-676 East. Take I- 676 East and exit at Broad Street/Rte. 611. You will be on Vine Street. Follow signs for Vine Street/PA Convention Center to 12th Street. Make a right turn onto 12th Street. The main entrances are located two blocks ahead at 12th and Arch Streets - please enter through the East Side Entrance. Shareholders may also enter through the Market Street Entrance, which is located on Market Street between 11th and 12th Streets. The meeting room is conveniently located within walking distance to the Market Street Entrance. There will be signs directing shareholders to the meeting location.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From Interstate 95 North and South</w:t>
      </w:r>
    </w:p>
    <w:p>
      <w:pPr>
        <w:spacing w:after="0" w:line="22" w:lineRule="exact"/>
        <w:rPr>
          <w:sz w:val="20"/>
          <w:szCs w:val="20"/>
          <w:color w:val="auto"/>
        </w:rPr>
      </w:pPr>
    </w:p>
    <w:p>
      <w:pPr>
        <w:jc w:val="both"/>
        <w:ind w:right="80"/>
        <w:spacing w:after="0" w:line="237" w:lineRule="auto"/>
        <w:rPr>
          <w:sz w:val="20"/>
          <w:szCs w:val="20"/>
          <w:color w:val="auto"/>
        </w:rPr>
      </w:pPr>
      <w:r>
        <w:rPr>
          <w:rFonts w:ascii="Arial" w:cs="Arial" w:eastAsia="Arial" w:hAnsi="Arial"/>
          <w:sz w:val="12"/>
          <w:szCs w:val="12"/>
          <w:color w:val="auto"/>
        </w:rPr>
        <w:t>Take I-95 North or South to Exit 22 Central Philadelphia/I- 676. Stay in the left lane of this exit. Follow signs for I-676 West to the 1st exit (Broad Street). This exit brings you up to 15th Street. Get into left lane and follow the sign for 611/ Broad Street and make a left turn onto Vine Street. Follow signs for 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-365760</wp:posOffset>
            </wp:positionH>
            <wp:positionV relativeFrom="paragraph">
              <wp:posOffset>2012950</wp:posOffset>
            </wp:positionV>
            <wp:extent cx="725360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-363855</wp:posOffset>
            </wp:positionH>
            <wp:positionV relativeFrom="paragraph">
              <wp:posOffset>1189990</wp:posOffset>
            </wp:positionV>
            <wp:extent cx="59055" cy="294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055" cy="294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8"/>
          <w:szCs w:val="18"/>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-287020</wp:posOffset>
            </wp:positionV>
            <wp:extent cx="3179445" cy="4165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79445" cy="416560"/>
                    </a:xfrm>
                    <a:prstGeom prst="rect">
                      <a:avLst/>
                    </a:prstGeom>
                    <a:noFill/>
                  </pic:spPr>
                </pic:pic>
              </a:graphicData>
            </a:graphic>
          </wp:anchor>
        </w:drawing>
      </w:r>
    </w:p>
    <w:p>
      <w:pPr>
        <w:spacing w:after="0" w:line="104"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-57150</wp:posOffset>
            </wp:positionV>
            <wp:extent cx="3076575" cy="244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76575" cy="244475"/>
                    </a:xfrm>
                    <a:prstGeom prst="rect">
                      <a:avLst/>
                    </a:prstGeom>
                    <a:noFill/>
                  </pic:spPr>
                </pic:pic>
              </a:graphicData>
            </a:graphic>
          </wp:anchor>
        </w:drawing>
      </w:r>
    </w:p>
    <w:p>
      <w:pPr>
        <w:spacing w:after="0" w:line="42" w:lineRule="exact"/>
        <w:rPr>
          <w:sz w:val="20"/>
          <w:szCs w:val="20"/>
          <w:color w:val="auto"/>
        </w:rPr>
      </w:pPr>
    </w:p>
    <w:p>
      <w:pPr>
        <w:jc w:val="both"/>
        <w:ind w:left="1140"/>
        <w:spacing w:after="0" w:line="233" w:lineRule="auto"/>
        <w:rPr>
          <w:sz w:val="20"/>
          <w:szCs w:val="20"/>
          <w:color w:val="auto"/>
        </w:rPr>
      </w:pPr>
      <w:r>
        <w:rPr>
          <w:rFonts w:ascii="Arial" w:cs="Arial" w:eastAsia="Arial" w:hAnsi="Arial"/>
          <w:sz w:val="12"/>
          <w:szCs w:val="12"/>
          <w:color w:val="auto"/>
        </w:rPr>
        <w:t>This notice serves as your admission ticket. All shareholders must brin an admission ticket to the meeting. Without an admission ticket shareholders will be admitted only upon verification of ownership. At th meeting you will need to request a ballot to vote these shares. You ma be asked to present a valid government-issued photo identification before entering the meeting. Video and audio recording devices an other electronic devices will not be permitted at the annual meeting and attendees will be subject to security inspections. Please check th proxy materials for additional requirements for, and information on meeting admission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12065</wp:posOffset>
            </wp:positionV>
            <wp:extent cx="24536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34925</wp:posOffset>
            </wp:positionV>
            <wp:extent cx="24536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53640" cy="8255"/>
                    </a:xfrm>
                    <a:prstGeom prst="rect">
                      <a:avLst/>
                    </a:prstGeom>
                    <a:noFill/>
                  </pic:spPr>
                </pic:pic>
              </a:graphicData>
            </a:graphic>
          </wp:anchor>
        </w:drawing>
      </w:r>
    </w:p>
    <w:p>
      <w:pPr>
        <w:spacing w:after="0" w:line="55" w:lineRule="exact"/>
        <w:rPr>
          <w:sz w:val="20"/>
          <w:szCs w:val="20"/>
          <w:color w:val="auto"/>
        </w:rPr>
      </w:pPr>
    </w:p>
    <w:p>
      <w:pPr>
        <w:jc w:val="both"/>
        <w:ind w:left="1140"/>
        <w:spacing w:after="0" w:line="235" w:lineRule="auto"/>
        <w:rPr>
          <w:sz w:val="20"/>
          <w:szCs w:val="20"/>
          <w:color w:val="auto"/>
        </w:rPr>
      </w:pPr>
      <w:r>
        <w:rPr>
          <w:rFonts w:ascii="Arial" w:cs="Arial" w:eastAsia="Arial" w:hAnsi="Arial"/>
          <w:sz w:val="12"/>
          <w:szCs w:val="12"/>
          <w:color w:val="auto"/>
        </w:rPr>
        <w:t xml:space="preserve">To vote now by Internet, go to </w:t>
      </w:r>
      <w:r>
        <w:rPr>
          <w:rFonts w:ascii="Arial" w:cs="Arial" w:eastAsia="Arial" w:hAnsi="Arial"/>
          <w:sz w:val="12"/>
          <w:szCs w:val="12"/>
          <w:u w:val="single" w:color="auto"/>
          <w:color w:val="auto"/>
        </w:rPr>
        <w:t>www.proxyvote.com</w:t>
      </w:r>
      <w:r>
        <w:rPr>
          <w:rFonts w:ascii="Arial" w:cs="Arial" w:eastAsia="Arial" w:hAnsi="Arial"/>
          <w:sz w:val="12"/>
          <w:szCs w:val="12"/>
          <w:color w:val="auto"/>
        </w:rPr>
        <w:t>. Use the Internet t transmit your voting instructions. Proxies submitted by Internet must b received by 11:59 p.m. Eastern Daylight Time on May 12, 2009. Pleas have this notice in hand when you access the Web site and follow th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-374015</wp:posOffset>
            </wp:positionV>
            <wp:extent cx="252730" cy="2273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2730" cy="227330"/>
                    </a:xfrm>
                    <a:prstGeom prst="rect">
                      <a:avLst/>
                    </a:prstGeom>
                    <a:noFill/>
                  </pic:spPr>
                </pic:pic>
              </a:graphicData>
            </a:graphic>
          </wp:anchor>
        </w:drawing>
      </w:r>
    </w:p>
    <w:p>
      <w:pPr>
        <w:jc w:val="both"/>
        <w:ind w:right="100"/>
        <w:spacing w:after="0" w:line="235" w:lineRule="auto"/>
        <w:rPr>
          <w:sz w:val="20"/>
          <w:szCs w:val="20"/>
          <w:color w:val="auto"/>
        </w:rPr>
      </w:pPr>
      <w:r>
        <w:rPr>
          <w:rFonts w:ascii="Arial" w:cs="Arial" w:eastAsia="Arial" w:hAnsi="Arial"/>
          <w:sz w:val="12"/>
          <w:szCs w:val="12"/>
          <w:color w:val="auto"/>
        </w:rPr>
        <w:t>Street/PA Convention Center. Make a right turn onto 12th Street. The main entrances are located two blocks ahead at 12th and Arch Streets - enter through the East Side Entrance. Shareholders may also enter through the Market Street Entrance, which is located on Market Street between 11th and 12th Streets. The meeting room is conveniently located within walking distance to the Market Street Entrance. There will be signs directing shareholders to the meeting location.</w:t>
      </w:r>
    </w:p>
    <w:p>
      <w:pPr>
        <w:spacing w:after="0" w:line="7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Public Transportation</w:t>
      </w:r>
    </w:p>
    <w:p>
      <w:pPr>
        <w:spacing w:after="0" w:line="9" w:lineRule="exact"/>
        <w:rPr>
          <w:sz w:val="20"/>
          <w:szCs w:val="20"/>
          <w:color w:val="auto"/>
        </w:rPr>
      </w:pPr>
    </w:p>
    <w:p>
      <w:pPr>
        <w:jc w:val="both"/>
        <w:ind w:right="100"/>
        <w:spacing w:after="0" w:line="235" w:lineRule="auto"/>
        <w:rPr>
          <w:sz w:val="20"/>
          <w:szCs w:val="20"/>
          <w:color w:val="auto"/>
        </w:rPr>
      </w:pPr>
      <w:r>
        <w:rPr>
          <w:rFonts w:ascii="Arial" w:cs="Arial" w:eastAsia="Arial" w:hAnsi="Arial"/>
          <w:sz w:val="12"/>
          <w:szCs w:val="12"/>
          <w:color w:val="auto"/>
        </w:rPr>
        <w:t>SEPTA (Southeastern Pennsylvania Transportation Authority). R1, R2, R3, R5, R6, R7 and R8 connect directly to the Convention Center, which is connected to the Market-East/Pennsylvania Convention Center Station. Elevators are available. Please follow signs to the Pennsylvania Convention Center. Once inside the Convention Center, there will be signs directing shareholders to the meeting location.</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Parking Information</w:t>
      </w:r>
    </w:p>
    <w:p>
      <w:pPr>
        <w:spacing w:after="0" w:line="9" w:lineRule="exact"/>
        <w:rPr>
          <w:sz w:val="20"/>
          <w:szCs w:val="20"/>
          <w:color w:val="auto"/>
        </w:rPr>
      </w:pPr>
    </w:p>
    <w:p>
      <w:pPr>
        <w:jc w:val="both"/>
        <w:ind w:right="100"/>
        <w:spacing w:after="0"/>
        <w:rPr>
          <w:sz w:val="20"/>
          <w:szCs w:val="20"/>
          <w:color w:val="auto"/>
        </w:rPr>
      </w:pPr>
      <w:r>
        <w:rPr>
          <w:rFonts w:ascii="Arial" w:cs="Arial" w:eastAsia="Arial" w:hAnsi="Arial"/>
          <w:sz w:val="12"/>
          <w:szCs w:val="12"/>
          <w:color w:val="auto"/>
        </w:rPr>
        <w:t>Several parking garages are available within blocks of the Convention Center and are indicated on the map included in the Proxy Statement. Shareholders should use the East Side Entrance which is located at 12th and Arch Streets or enter through the Market Street Entrance, which is located on Market Street between 11th and 12th Streets. The meeting room is conveniently located within walking distance to the Market Street Entrance.</w:t>
      </w:r>
    </w:p>
    <w:p>
      <w:pPr>
        <w:sectPr>
          <w:pgSz w:w="11900" w:h="16838" w:orient="portrait"/>
          <w:cols w:equalWidth="0" w:num="2">
            <w:col w:w="5220" w:space="720"/>
            <w:col w:w="5000"/>
          </w:cols>
          <w:pgMar w:left="820" w:top="1390" w:right="139" w:bottom="1440" w:gutter="0" w:footer="0" w:header="0"/>
        </w:sectPr>
      </w:pPr>
    </w:p>
    <w:bookmarkStart w:id="3" w:name="page4"/>
    <w:bookmarkEnd w:id="3"/>
    <w:p>
      <w:pPr>
        <w:ind w:left="123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452755</wp:posOffset>
            </wp:positionH>
            <wp:positionV relativeFrom="page">
              <wp:posOffset>697230</wp:posOffset>
            </wp:positionV>
            <wp:extent cx="2084070" cy="1308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084070" cy="130810"/>
                    </a:xfrm>
                    <a:prstGeom prst="rect">
                      <a:avLst/>
                    </a:prstGeom>
                    <a:noFill/>
                  </pic:spPr>
                </pic:pic>
              </a:graphicData>
            </a:graphic>
          </wp:anchor>
        </w:drawing>
        <w:t>Voting items</w:t>
      </w:r>
    </w:p>
    <w:p>
      <w:pPr>
        <w:spacing w:after="0" w:line="125" w:lineRule="exact"/>
        <w:rPr>
          <w:sz w:val="20"/>
          <w:szCs w:val="20"/>
          <w:color w:val="auto"/>
        </w:rPr>
      </w:pPr>
    </w:p>
    <w:p>
      <w:pPr>
        <w:ind w:left="430"/>
        <w:spacing w:after="0"/>
        <w:rPr>
          <w:sz w:val="20"/>
          <w:szCs w:val="20"/>
          <w:color w:val="auto"/>
        </w:rPr>
      </w:pPr>
      <w:r>
        <w:rPr>
          <w:rFonts w:ascii="Arial" w:cs="Arial" w:eastAsia="Arial" w:hAnsi="Arial"/>
          <w:sz w:val="12"/>
          <w:szCs w:val="12"/>
          <w:b w:val="1"/>
          <w:bCs w:val="1"/>
          <w:color w:val="auto"/>
        </w:rPr>
        <w:t>Company Proposals — The Board of Directors recommends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-57785</wp:posOffset>
            </wp:positionV>
            <wp:extent cx="185420" cy="252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85420" cy="252730"/>
                    </a:xfrm>
                    <a:prstGeom prst="rect">
                      <a:avLst/>
                    </a:prstGeom>
                    <a:noFill/>
                  </pic:spPr>
                </pic:pic>
              </a:graphicData>
            </a:graphic>
          </wp:anchor>
        </w:drawing>
      </w:r>
    </w:p>
    <w:p>
      <w:pPr>
        <w:spacing w:after="0" w:line="1" w:lineRule="exact"/>
        <w:rPr>
          <w:sz w:val="20"/>
          <w:szCs w:val="20"/>
          <w:color w:val="auto"/>
        </w:rPr>
      </w:pPr>
    </w:p>
    <w:p>
      <w:pPr>
        <w:ind w:left="430" w:right="1920" w:hanging="348"/>
        <w:spacing w:after="0" w:line="204" w:lineRule="auto"/>
        <w:tabs>
          <w:tab w:leader="none" w:pos="430" w:val="left"/>
        </w:tabs>
        <w:numPr>
          <w:ilvl w:val="1"/>
          <w:numId w:val="8"/>
        </w:numPr>
        <w:rPr>
          <w:rFonts w:ascii="Arial" w:cs="Arial" w:eastAsia="Arial" w:hAnsi="Arial"/>
          <w:sz w:val="18"/>
          <w:szCs w:val="18"/>
          <w:b w:val="1"/>
          <w:bCs w:val="1"/>
          <w:color w:val="FFFFFF"/>
        </w:rPr>
      </w:pPr>
      <w:r>
        <w:rPr>
          <w:rFonts w:ascii="Arial" w:cs="Arial" w:eastAsia="Arial" w:hAnsi="Arial"/>
          <w:sz w:val="12"/>
          <w:szCs w:val="12"/>
          <w:b w:val="1"/>
          <w:bCs w:val="1"/>
          <w:color w:val="auto"/>
        </w:rPr>
        <w:t>a vote “FOR” all the nominees listed in Proposal 1 and “FOR” Proposals 2-5.</w:t>
      </w:r>
    </w:p>
    <w:p>
      <w:pPr>
        <w:spacing w:after="0" w:line="52" w:lineRule="exact"/>
        <w:rPr>
          <w:rFonts w:ascii="Arial" w:cs="Arial" w:eastAsia="Arial" w:hAnsi="Arial"/>
          <w:sz w:val="18"/>
          <w:szCs w:val="18"/>
          <w:b w:val="1"/>
          <w:bCs w:val="1"/>
          <w:color w:val="FFFFFF"/>
        </w:rPr>
      </w:pPr>
    </w:p>
    <w:p>
      <w:pPr>
        <w:ind w:left="430" w:hanging="430"/>
        <w:spacing w:after="0"/>
        <w:tabs>
          <w:tab w:leader="none" w:pos="430" w:val="left"/>
        </w:tabs>
        <w:numPr>
          <w:ilvl w:val="0"/>
          <w:numId w:val="8"/>
        </w:numPr>
        <w:rPr>
          <w:rFonts w:ascii="Arial" w:cs="Arial" w:eastAsia="Arial" w:hAnsi="Arial"/>
          <w:sz w:val="12"/>
          <w:szCs w:val="12"/>
          <w:color w:val="auto"/>
        </w:rPr>
      </w:pPr>
      <w:r>
        <w:rPr>
          <w:rFonts w:ascii="Arial" w:cs="Arial" w:eastAsia="Arial" w:hAnsi="Arial"/>
          <w:sz w:val="12"/>
          <w:szCs w:val="12"/>
          <w:color w:val="auto"/>
        </w:rPr>
        <w:t>Election of Directors</w:t>
      </w:r>
    </w:p>
    <w:p>
      <w:pPr>
        <w:spacing w:after="0" w:line="55" w:lineRule="exact"/>
        <w:rPr>
          <w:sz w:val="20"/>
          <w:szCs w:val="20"/>
          <w:color w:val="auto"/>
        </w:rPr>
      </w:pPr>
    </w:p>
    <w:tbl>
      <w:tblPr>
        <w:tblLayout w:type="fixed"/>
        <w:tblInd w:w="430" w:type="dxa"/>
        <w:tblCellMar>
          <w:top w:w="0" w:type="dxa"/>
          <w:left w:w="0" w:type="dxa"/>
          <w:bottom w:w="0" w:type="dxa"/>
          <w:right w:w="0" w:type="dxa"/>
        </w:tblCellMar>
      </w:tblPr>
      <w:tr>
        <w:trPr>
          <w:trHeight w:val="138"/>
        </w:trPr>
        <w:tc>
          <w:tcPr>
            <w:tcW w:w="160" w:type="dxa"/>
            <w:vAlign w:val="bottom"/>
          </w:tcPr>
          <w:p>
            <w:pPr>
              <w:jc w:val="right"/>
              <w:spacing w:after="0"/>
              <w:rPr>
                <w:sz w:val="20"/>
                <w:szCs w:val="20"/>
                <w:color w:val="auto"/>
              </w:rPr>
            </w:pPr>
            <w:r>
              <w:rPr>
                <w:rFonts w:ascii="Arial" w:cs="Arial" w:eastAsia="Arial" w:hAnsi="Arial"/>
                <w:sz w:val="12"/>
                <w:szCs w:val="12"/>
                <w:color w:val="auto"/>
                <w:w w:val="89"/>
              </w:rPr>
              <w:t>01</w:t>
            </w:r>
          </w:p>
        </w:tc>
        <w:tc>
          <w:tcPr>
            <w:tcW w:w="2040" w:type="dxa"/>
            <w:vAlign w:val="bottom"/>
          </w:tcPr>
          <w:p>
            <w:pPr>
              <w:ind w:left="20"/>
              <w:spacing w:after="0"/>
              <w:rPr>
                <w:sz w:val="20"/>
                <w:szCs w:val="20"/>
                <w:color w:val="auto"/>
              </w:rPr>
            </w:pPr>
            <w:r>
              <w:rPr>
                <w:rFonts w:ascii="Arial" w:cs="Arial" w:eastAsia="Arial" w:hAnsi="Arial"/>
                <w:sz w:val="12"/>
                <w:szCs w:val="12"/>
                <w:color w:val="auto"/>
              </w:rPr>
              <w:t>- S. Decker Anstrom</w:t>
            </w:r>
          </w:p>
        </w:tc>
        <w:tc>
          <w:tcPr>
            <w:tcW w:w="960" w:type="dxa"/>
            <w:vAlign w:val="bottom"/>
          </w:tcPr>
          <w:p>
            <w:pPr>
              <w:jc w:val="right"/>
              <w:spacing w:after="0"/>
              <w:rPr>
                <w:sz w:val="20"/>
                <w:szCs w:val="20"/>
                <w:color w:val="auto"/>
              </w:rPr>
            </w:pPr>
            <w:r>
              <w:rPr>
                <w:rFonts w:ascii="Arial" w:cs="Arial" w:eastAsia="Arial" w:hAnsi="Arial"/>
                <w:sz w:val="12"/>
                <w:szCs w:val="12"/>
                <w:color w:val="auto"/>
              </w:rPr>
              <w:t>08</w:t>
            </w:r>
          </w:p>
        </w:tc>
        <w:tc>
          <w:tcPr>
            <w:tcW w:w="1260" w:type="dxa"/>
            <w:vAlign w:val="bottom"/>
          </w:tcPr>
          <w:p>
            <w:pPr>
              <w:ind w:left="20"/>
              <w:spacing w:after="0"/>
              <w:rPr>
                <w:sz w:val="20"/>
                <w:szCs w:val="20"/>
                <w:color w:val="auto"/>
              </w:rPr>
            </w:pPr>
            <w:r>
              <w:rPr>
                <w:rFonts w:ascii="Arial" w:cs="Arial" w:eastAsia="Arial" w:hAnsi="Arial"/>
                <w:sz w:val="12"/>
                <w:szCs w:val="12"/>
                <w:color w:val="auto"/>
              </w:rPr>
              <w:t>- Gerald L. Hassell</w:t>
            </w:r>
          </w:p>
        </w:tc>
      </w:tr>
      <w:tr>
        <w:trPr>
          <w:trHeight w:val="133"/>
        </w:trPr>
        <w:tc>
          <w:tcPr>
            <w:tcW w:w="160" w:type="dxa"/>
            <w:vAlign w:val="bottom"/>
          </w:tcPr>
          <w:p>
            <w:pPr>
              <w:jc w:val="right"/>
              <w:spacing w:after="0" w:line="133" w:lineRule="exact"/>
              <w:rPr>
                <w:sz w:val="20"/>
                <w:szCs w:val="20"/>
                <w:color w:val="auto"/>
              </w:rPr>
            </w:pPr>
            <w:r>
              <w:rPr>
                <w:rFonts w:ascii="Arial" w:cs="Arial" w:eastAsia="Arial" w:hAnsi="Arial"/>
                <w:sz w:val="12"/>
                <w:szCs w:val="12"/>
                <w:color w:val="auto"/>
                <w:w w:val="89"/>
              </w:rPr>
              <w:t>02</w:t>
            </w:r>
          </w:p>
        </w:tc>
        <w:tc>
          <w:tcPr>
            <w:tcW w:w="2040" w:type="dxa"/>
            <w:vAlign w:val="bottom"/>
          </w:tcPr>
          <w:p>
            <w:pPr>
              <w:ind w:left="20"/>
              <w:spacing w:after="0" w:line="133" w:lineRule="exact"/>
              <w:rPr>
                <w:sz w:val="20"/>
                <w:szCs w:val="20"/>
                <w:color w:val="auto"/>
              </w:rPr>
            </w:pPr>
            <w:r>
              <w:rPr>
                <w:rFonts w:ascii="Arial" w:cs="Arial" w:eastAsia="Arial" w:hAnsi="Arial"/>
                <w:sz w:val="12"/>
                <w:szCs w:val="12"/>
                <w:color w:val="auto"/>
              </w:rPr>
              <w:t>- Kenneth J. Bacon</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09</w:t>
            </w:r>
          </w:p>
        </w:tc>
        <w:tc>
          <w:tcPr>
            <w:tcW w:w="1260" w:type="dxa"/>
            <w:vAlign w:val="bottom"/>
          </w:tcPr>
          <w:p>
            <w:pPr>
              <w:ind w:left="20"/>
              <w:spacing w:after="0" w:line="133" w:lineRule="exact"/>
              <w:rPr>
                <w:sz w:val="20"/>
                <w:szCs w:val="20"/>
                <w:color w:val="auto"/>
              </w:rPr>
            </w:pPr>
            <w:r>
              <w:rPr>
                <w:rFonts w:ascii="Arial" w:cs="Arial" w:eastAsia="Arial" w:hAnsi="Arial"/>
                <w:sz w:val="12"/>
                <w:szCs w:val="12"/>
                <w:color w:val="auto"/>
              </w:rPr>
              <w:t>- Jeffrey A. Honickman</w:t>
            </w:r>
          </w:p>
        </w:tc>
      </w:tr>
      <w:tr>
        <w:trPr>
          <w:trHeight w:val="133"/>
        </w:trPr>
        <w:tc>
          <w:tcPr>
            <w:tcW w:w="160" w:type="dxa"/>
            <w:vAlign w:val="bottom"/>
          </w:tcPr>
          <w:p>
            <w:pPr>
              <w:jc w:val="right"/>
              <w:spacing w:after="0" w:line="133" w:lineRule="exact"/>
              <w:rPr>
                <w:sz w:val="20"/>
                <w:szCs w:val="20"/>
                <w:color w:val="auto"/>
              </w:rPr>
            </w:pPr>
            <w:r>
              <w:rPr>
                <w:rFonts w:ascii="Arial" w:cs="Arial" w:eastAsia="Arial" w:hAnsi="Arial"/>
                <w:sz w:val="12"/>
                <w:szCs w:val="12"/>
                <w:color w:val="auto"/>
                <w:w w:val="89"/>
              </w:rPr>
              <w:t>03</w:t>
            </w:r>
          </w:p>
        </w:tc>
        <w:tc>
          <w:tcPr>
            <w:tcW w:w="2040" w:type="dxa"/>
            <w:vAlign w:val="bottom"/>
          </w:tcPr>
          <w:p>
            <w:pPr>
              <w:ind w:left="20"/>
              <w:spacing w:after="0" w:line="133" w:lineRule="exact"/>
              <w:rPr>
                <w:sz w:val="20"/>
                <w:szCs w:val="20"/>
                <w:color w:val="auto"/>
              </w:rPr>
            </w:pPr>
            <w:r>
              <w:rPr>
                <w:rFonts w:ascii="Arial" w:cs="Arial" w:eastAsia="Arial" w:hAnsi="Arial"/>
                <w:sz w:val="12"/>
                <w:szCs w:val="12"/>
                <w:color w:val="auto"/>
              </w:rPr>
              <w:t>- Sheldon M. Bonovitz</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10</w:t>
            </w:r>
          </w:p>
        </w:tc>
        <w:tc>
          <w:tcPr>
            <w:tcW w:w="1260" w:type="dxa"/>
            <w:vAlign w:val="bottom"/>
          </w:tcPr>
          <w:p>
            <w:pPr>
              <w:ind w:left="20"/>
              <w:spacing w:after="0" w:line="133" w:lineRule="exact"/>
              <w:rPr>
                <w:sz w:val="20"/>
                <w:szCs w:val="20"/>
                <w:color w:val="auto"/>
              </w:rPr>
            </w:pPr>
            <w:r>
              <w:rPr>
                <w:rFonts w:ascii="Arial" w:cs="Arial" w:eastAsia="Arial" w:hAnsi="Arial"/>
                <w:sz w:val="12"/>
                <w:szCs w:val="12"/>
                <w:color w:val="auto"/>
              </w:rPr>
              <w:t>- Brian L. Roberts</w:t>
            </w:r>
          </w:p>
        </w:tc>
      </w:tr>
      <w:tr>
        <w:trPr>
          <w:trHeight w:val="133"/>
        </w:trPr>
        <w:tc>
          <w:tcPr>
            <w:tcW w:w="160" w:type="dxa"/>
            <w:vAlign w:val="bottom"/>
          </w:tcPr>
          <w:p>
            <w:pPr>
              <w:jc w:val="right"/>
              <w:spacing w:after="0" w:line="133" w:lineRule="exact"/>
              <w:rPr>
                <w:sz w:val="20"/>
                <w:szCs w:val="20"/>
                <w:color w:val="auto"/>
              </w:rPr>
            </w:pPr>
            <w:r>
              <w:rPr>
                <w:rFonts w:ascii="Arial" w:cs="Arial" w:eastAsia="Arial" w:hAnsi="Arial"/>
                <w:sz w:val="12"/>
                <w:szCs w:val="12"/>
                <w:color w:val="auto"/>
                <w:w w:val="89"/>
              </w:rPr>
              <w:t>04</w:t>
            </w:r>
          </w:p>
        </w:tc>
        <w:tc>
          <w:tcPr>
            <w:tcW w:w="2040" w:type="dxa"/>
            <w:vAlign w:val="bottom"/>
          </w:tcPr>
          <w:p>
            <w:pPr>
              <w:ind w:left="20"/>
              <w:spacing w:after="0" w:line="133" w:lineRule="exact"/>
              <w:rPr>
                <w:sz w:val="20"/>
                <w:szCs w:val="20"/>
                <w:color w:val="auto"/>
              </w:rPr>
            </w:pPr>
            <w:r>
              <w:rPr>
                <w:rFonts w:ascii="Arial" w:cs="Arial" w:eastAsia="Arial" w:hAnsi="Arial"/>
                <w:sz w:val="12"/>
                <w:szCs w:val="12"/>
                <w:color w:val="auto"/>
              </w:rPr>
              <w:t>- Edward D. Breen</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11</w:t>
            </w:r>
          </w:p>
        </w:tc>
        <w:tc>
          <w:tcPr>
            <w:tcW w:w="1260" w:type="dxa"/>
            <w:vAlign w:val="bottom"/>
          </w:tcPr>
          <w:p>
            <w:pPr>
              <w:ind w:left="20"/>
              <w:spacing w:after="0" w:line="133" w:lineRule="exact"/>
              <w:rPr>
                <w:sz w:val="20"/>
                <w:szCs w:val="20"/>
                <w:color w:val="auto"/>
              </w:rPr>
            </w:pPr>
            <w:r>
              <w:rPr>
                <w:rFonts w:ascii="Arial" w:cs="Arial" w:eastAsia="Arial" w:hAnsi="Arial"/>
                <w:sz w:val="12"/>
                <w:szCs w:val="12"/>
                <w:color w:val="auto"/>
              </w:rPr>
              <w:t>- Ralph J. Roberts</w:t>
            </w:r>
          </w:p>
        </w:tc>
      </w:tr>
      <w:tr>
        <w:trPr>
          <w:trHeight w:val="133"/>
        </w:trPr>
        <w:tc>
          <w:tcPr>
            <w:tcW w:w="160" w:type="dxa"/>
            <w:vAlign w:val="bottom"/>
          </w:tcPr>
          <w:p>
            <w:pPr>
              <w:jc w:val="right"/>
              <w:spacing w:after="0" w:line="133" w:lineRule="exact"/>
              <w:rPr>
                <w:sz w:val="20"/>
                <w:szCs w:val="20"/>
                <w:color w:val="auto"/>
              </w:rPr>
            </w:pPr>
            <w:r>
              <w:rPr>
                <w:rFonts w:ascii="Arial" w:cs="Arial" w:eastAsia="Arial" w:hAnsi="Arial"/>
                <w:sz w:val="12"/>
                <w:szCs w:val="12"/>
                <w:color w:val="auto"/>
                <w:w w:val="89"/>
              </w:rPr>
              <w:t>05</w:t>
            </w:r>
          </w:p>
        </w:tc>
        <w:tc>
          <w:tcPr>
            <w:tcW w:w="2040" w:type="dxa"/>
            <w:vAlign w:val="bottom"/>
          </w:tcPr>
          <w:p>
            <w:pPr>
              <w:ind w:left="20"/>
              <w:spacing w:after="0" w:line="133" w:lineRule="exact"/>
              <w:rPr>
                <w:sz w:val="20"/>
                <w:szCs w:val="20"/>
                <w:color w:val="auto"/>
              </w:rPr>
            </w:pPr>
            <w:r>
              <w:rPr>
                <w:rFonts w:ascii="Arial" w:cs="Arial" w:eastAsia="Arial" w:hAnsi="Arial"/>
                <w:sz w:val="12"/>
                <w:szCs w:val="12"/>
                <w:color w:val="auto"/>
              </w:rPr>
              <w:t>- Julian A. Brodsky</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12</w:t>
            </w:r>
          </w:p>
        </w:tc>
        <w:tc>
          <w:tcPr>
            <w:tcW w:w="1260" w:type="dxa"/>
            <w:vAlign w:val="bottom"/>
          </w:tcPr>
          <w:p>
            <w:pPr>
              <w:ind w:left="20"/>
              <w:spacing w:after="0" w:line="133" w:lineRule="exact"/>
              <w:rPr>
                <w:sz w:val="20"/>
                <w:szCs w:val="20"/>
                <w:color w:val="auto"/>
              </w:rPr>
            </w:pPr>
            <w:r>
              <w:rPr>
                <w:rFonts w:ascii="Arial" w:cs="Arial" w:eastAsia="Arial" w:hAnsi="Arial"/>
                <w:sz w:val="12"/>
                <w:szCs w:val="12"/>
                <w:color w:val="auto"/>
              </w:rPr>
              <w:t>- Dr. Judith Rodin</w:t>
            </w:r>
          </w:p>
        </w:tc>
      </w:tr>
      <w:tr>
        <w:trPr>
          <w:trHeight w:val="133"/>
        </w:trPr>
        <w:tc>
          <w:tcPr>
            <w:tcW w:w="160" w:type="dxa"/>
            <w:vAlign w:val="bottom"/>
          </w:tcPr>
          <w:p>
            <w:pPr>
              <w:jc w:val="right"/>
              <w:spacing w:after="0" w:line="133" w:lineRule="exact"/>
              <w:rPr>
                <w:sz w:val="20"/>
                <w:szCs w:val="20"/>
                <w:color w:val="auto"/>
              </w:rPr>
            </w:pPr>
            <w:r>
              <w:rPr>
                <w:rFonts w:ascii="Arial" w:cs="Arial" w:eastAsia="Arial" w:hAnsi="Arial"/>
                <w:sz w:val="12"/>
                <w:szCs w:val="12"/>
                <w:color w:val="auto"/>
                <w:w w:val="89"/>
              </w:rPr>
              <w:t>06</w:t>
            </w:r>
          </w:p>
        </w:tc>
        <w:tc>
          <w:tcPr>
            <w:tcW w:w="2040" w:type="dxa"/>
            <w:vAlign w:val="bottom"/>
          </w:tcPr>
          <w:p>
            <w:pPr>
              <w:ind w:left="20"/>
              <w:spacing w:after="0" w:line="133" w:lineRule="exact"/>
              <w:rPr>
                <w:sz w:val="20"/>
                <w:szCs w:val="20"/>
                <w:color w:val="auto"/>
              </w:rPr>
            </w:pPr>
            <w:r>
              <w:rPr>
                <w:rFonts w:ascii="Arial" w:cs="Arial" w:eastAsia="Arial" w:hAnsi="Arial"/>
                <w:sz w:val="12"/>
                <w:szCs w:val="12"/>
                <w:color w:val="auto"/>
              </w:rPr>
              <w:t>- Joseph J. collins</w:t>
            </w:r>
          </w:p>
        </w:tc>
        <w:tc>
          <w:tcPr>
            <w:tcW w:w="960" w:type="dxa"/>
            <w:vAlign w:val="bottom"/>
          </w:tcPr>
          <w:p>
            <w:pPr>
              <w:jc w:val="right"/>
              <w:spacing w:after="0" w:line="133" w:lineRule="exact"/>
              <w:rPr>
                <w:sz w:val="20"/>
                <w:szCs w:val="20"/>
                <w:color w:val="auto"/>
              </w:rPr>
            </w:pPr>
            <w:r>
              <w:rPr>
                <w:rFonts w:ascii="Arial" w:cs="Arial" w:eastAsia="Arial" w:hAnsi="Arial"/>
                <w:sz w:val="12"/>
                <w:szCs w:val="12"/>
                <w:color w:val="auto"/>
              </w:rPr>
              <w:t>13</w:t>
            </w:r>
          </w:p>
        </w:tc>
        <w:tc>
          <w:tcPr>
            <w:tcW w:w="1260" w:type="dxa"/>
            <w:vAlign w:val="bottom"/>
          </w:tcPr>
          <w:p>
            <w:pPr>
              <w:ind w:left="20"/>
              <w:spacing w:after="0" w:line="133" w:lineRule="exact"/>
              <w:rPr>
                <w:sz w:val="20"/>
                <w:szCs w:val="20"/>
                <w:color w:val="auto"/>
              </w:rPr>
            </w:pPr>
            <w:r>
              <w:rPr>
                <w:rFonts w:ascii="Arial" w:cs="Arial" w:eastAsia="Arial" w:hAnsi="Arial"/>
                <w:sz w:val="12"/>
                <w:szCs w:val="12"/>
                <w:color w:val="auto"/>
              </w:rPr>
              <w:t>- Michael l. Sovern</w:t>
            </w:r>
          </w:p>
        </w:tc>
      </w:tr>
      <w:tr>
        <w:trPr>
          <w:trHeight w:val="148"/>
        </w:trPr>
        <w:tc>
          <w:tcPr>
            <w:tcW w:w="160" w:type="dxa"/>
            <w:vAlign w:val="bottom"/>
          </w:tcPr>
          <w:p>
            <w:pPr>
              <w:jc w:val="right"/>
              <w:spacing w:after="0"/>
              <w:rPr>
                <w:sz w:val="20"/>
                <w:szCs w:val="20"/>
                <w:color w:val="auto"/>
              </w:rPr>
            </w:pPr>
            <w:r>
              <w:rPr>
                <w:rFonts w:ascii="Arial" w:cs="Arial" w:eastAsia="Arial" w:hAnsi="Arial"/>
                <w:sz w:val="12"/>
                <w:szCs w:val="12"/>
                <w:color w:val="auto"/>
                <w:w w:val="89"/>
              </w:rPr>
              <w:t>07</w:t>
            </w:r>
          </w:p>
        </w:tc>
        <w:tc>
          <w:tcPr>
            <w:tcW w:w="2040" w:type="dxa"/>
            <w:vAlign w:val="bottom"/>
          </w:tcPr>
          <w:p>
            <w:pPr>
              <w:ind w:left="20"/>
              <w:spacing w:after="0"/>
              <w:rPr>
                <w:sz w:val="20"/>
                <w:szCs w:val="20"/>
                <w:color w:val="auto"/>
              </w:rPr>
            </w:pPr>
            <w:r>
              <w:rPr>
                <w:rFonts w:ascii="Arial" w:cs="Arial" w:eastAsia="Arial" w:hAnsi="Arial"/>
                <w:sz w:val="12"/>
                <w:szCs w:val="12"/>
                <w:color w:val="auto"/>
              </w:rPr>
              <w:t>- J. Michael Cook</w:t>
            </w:r>
          </w:p>
        </w:tc>
        <w:tc>
          <w:tcPr>
            <w:tcW w:w="960" w:type="dxa"/>
            <w:vAlign w:val="bottom"/>
          </w:tcPr>
          <w:p>
            <w:pPr>
              <w:spacing w:after="0"/>
              <w:rPr>
                <w:sz w:val="12"/>
                <w:szCs w:val="12"/>
                <w:color w:val="auto"/>
              </w:rPr>
            </w:pPr>
          </w:p>
        </w:tc>
        <w:tc>
          <w:tcPr>
            <w:tcW w:w="126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8" w:lineRule="exact"/>
        <w:rPr>
          <w:sz w:val="20"/>
          <w:szCs w:val="20"/>
          <w:color w:val="auto"/>
        </w:rPr>
      </w:pPr>
    </w:p>
    <w:p>
      <w:pPr>
        <w:ind w:left="540"/>
        <w:spacing w:after="0"/>
        <w:rPr>
          <w:sz w:val="20"/>
          <w:szCs w:val="20"/>
          <w:color w:val="auto"/>
        </w:rPr>
      </w:pPr>
      <w:r>
        <w:rPr>
          <w:rFonts w:ascii="Arial" w:cs="Arial" w:eastAsia="Arial" w:hAnsi="Arial"/>
          <w:sz w:val="21"/>
          <w:szCs w:val="21"/>
          <w:b w:val="1"/>
          <w:bCs w:val="1"/>
          <w:i w:val="1"/>
          <w:iCs w:val="1"/>
          <w:color w:val="auto"/>
        </w:rPr>
        <w:t>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-233045</wp:posOffset>
            </wp:positionV>
            <wp:extent cx="286385" cy="2527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6385" cy="252730"/>
                    </a:xfrm>
                    <a:prstGeom prst="rect">
                      <a:avLst/>
                    </a:prstGeom>
                    <a:noFill/>
                  </pic:spPr>
                </pic:pic>
              </a:graphicData>
            </a:graphic>
          </wp:anchor>
        </w:drawing>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Please do not submit this card - Please refer to the “How To</w:t>
      </w:r>
    </w:p>
    <w:p>
      <w:pPr>
        <w:jc w:val="center"/>
        <w:spacing w:after="0"/>
        <w:rPr>
          <w:sz w:val="20"/>
          <w:szCs w:val="20"/>
          <w:color w:val="auto"/>
        </w:rPr>
      </w:pPr>
      <w:r>
        <w:rPr>
          <w:rFonts w:ascii="Arial" w:cs="Arial" w:eastAsia="Arial" w:hAnsi="Arial"/>
          <w:sz w:val="12"/>
          <w:szCs w:val="12"/>
          <w:color w:val="auto"/>
        </w:rPr>
        <w:t>Vote” section of this notice to view the voting instructions.</w:t>
      </w:r>
    </w:p>
    <w:p>
      <w:pPr>
        <w:spacing w:after="0" w:line="789" w:lineRule="exact"/>
        <w:rPr>
          <w:sz w:val="20"/>
          <w:szCs w:val="20"/>
          <w:color w:val="auto"/>
        </w:rPr>
      </w:pPr>
    </w:p>
    <w:p>
      <w:pPr>
        <w:sectPr>
          <w:pgSz w:w="11900" w:h="16838" w:orient="portrait"/>
          <w:cols w:equalWidth="0" w:num="2">
            <w:col w:w="5970" w:space="720"/>
            <w:col w:w="3260"/>
          </w:cols>
          <w:pgMar w:left="710" w:top="1107" w:right="1239" w:bottom="1440" w:gutter="0" w:footer="0" w:header="0"/>
        </w:sectPr>
      </w:pPr>
    </w:p>
    <w:p>
      <w:pPr>
        <w:ind w:left="430" w:hanging="430"/>
        <w:spacing w:after="0"/>
        <w:tabs>
          <w:tab w:leader="none" w:pos="430" w:val="left"/>
        </w:tabs>
        <w:numPr>
          <w:ilvl w:val="0"/>
          <w:numId w:val="9"/>
        </w:numPr>
        <w:rPr>
          <w:rFonts w:ascii="Arial" w:cs="Arial" w:eastAsia="Arial" w:hAnsi="Arial"/>
          <w:sz w:val="12"/>
          <w:szCs w:val="12"/>
          <w:color w:val="auto"/>
        </w:rPr>
      </w:pPr>
      <w:r>
        <w:rPr>
          <w:rFonts w:ascii="Arial" w:cs="Arial" w:eastAsia="Arial" w:hAnsi="Arial"/>
          <w:sz w:val="12"/>
          <w:szCs w:val="12"/>
          <w:color w:val="auto"/>
        </w:rPr>
        <w:t>Ratification of independent auditors</w:t>
      </w:r>
    </w:p>
    <w:p>
      <w:pPr>
        <w:spacing w:after="0" w:line="127" w:lineRule="exact"/>
        <w:rPr>
          <w:rFonts w:ascii="Arial" w:cs="Arial" w:eastAsia="Arial" w:hAnsi="Arial"/>
          <w:sz w:val="12"/>
          <w:szCs w:val="12"/>
          <w:color w:val="auto"/>
        </w:rPr>
      </w:pPr>
    </w:p>
    <w:p>
      <w:pPr>
        <w:ind w:left="430" w:hanging="430"/>
        <w:spacing w:after="0"/>
        <w:tabs>
          <w:tab w:leader="none" w:pos="430" w:val="left"/>
        </w:tabs>
        <w:numPr>
          <w:ilvl w:val="0"/>
          <w:numId w:val="9"/>
        </w:numPr>
        <w:rPr>
          <w:rFonts w:ascii="Arial" w:cs="Arial" w:eastAsia="Arial" w:hAnsi="Arial"/>
          <w:sz w:val="12"/>
          <w:szCs w:val="12"/>
          <w:color w:val="auto"/>
        </w:rPr>
      </w:pPr>
      <w:r>
        <w:rPr>
          <w:rFonts w:ascii="Arial" w:cs="Arial" w:eastAsia="Arial" w:hAnsi="Arial"/>
          <w:sz w:val="12"/>
          <w:szCs w:val="12"/>
          <w:color w:val="auto"/>
        </w:rPr>
        <w:t>Approval of our 2002 Employee Stock Purchase Plan, as amended and restated</w:t>
      </w:r>
    </w:p>
    <w:p>
      <w:pPr>
        <w:spacing w:after="0" w:line="127" w:lineRule="exact"/>
        <w:rPr>
          <w:rFonts w:ascii="Arial" w:cs="Arial" w:eastAsia="Arial" w:hAnsi="Arial"/>
          <w:sz w:val="12"/>
          <w:szCs w:val="12"/>
          <w:color w:val="auto"/>
        </w:rPr>
      </w:pPr>
    </w:p>
    <w:p>
      <w:pPr>
        <w:ind w:left="430" w:hanging="430"/>
        <w:spacing w:after="0"/>
        <w:tabs>
          <w:tab w:leader="none" w:pos="430" w:val="left"/>
        </w:tabs>
        <w:numPr>
          <w:ilvl w:val="0"/>
          <w:numId w:val="9"/>
        </w:numPr>
        <w:rPr>
          <w:rFonts w:ascii="Arial" w:cs="Arial" w:eastAsia="Arial" w:hAnsi="Arial"/>
          <w:sz w:val="12"/>
          <w:szCs w:val="12"/>
          <w:color w:val="auto"/>
        </w:rPr>
      </w:pPr>
      <w:r>
        <w:rPr>
          <w:rFonts w:ascii="Arial" w:cs="Arial" w:eastAsia="Arial" w:hAnsi="Arial"/>
          <w:sz w:val="12"/>
          <w:szCs w:val="12"/>
          <w:color w:val="auto"/>
        </w:rPr>
        <w:t>Approval of our 2002 Restricted Stock Plan, as amended and restated</w:t>
      </w:r>
    </w:p>
    <w:p>
      <w:pPr>
        <w:spacing w:after="0" w:line="127" w:lineRule="exact"/>
        <w:rPr>
          <w:rFonts w:ascii="Arial" w:cs="Arial" w:eastAsia="Arial" w:hAnsi="Arial"/>
          <w:sz w:val="12"/>
          <w:szCs w:val="12"/>
          <w:color w:val="auto"/>
        </w:rPr>
      </w:pPr>
    </w:p>
    <w:p>
      <w:pPr>
        <w:ind w:left="430" w:hanging="430"/>
        <w:spacing w:after="0"/>
        <w:tabs>
          <w:tab w:leader="none" w:pos="430" w:val="left"/>
        </w:tabs>
        <w:numPr>
          <w:ilvl w:val="0"/>
          <w:numId w:val="9"/>
        </w:numPr>
        <w:rPr>
          <w:rFonts w:ascii="Arial" w:cs="Arial" w:eastAsia="Arial" w:hAnsi="Arial"/>
          <w:sz w:val="12"/>
          <w:szCs w:val="12"/>
          <w:color w:val="auto"/>
        </w:rPr>
      </w:pPr>
      <w:r>
        <w:rPr>
          <w:rFonts w:ascii="Arial" w:cs="Arial" w:eastAsia="Arial" w:hAnsi="Arial"/>
          <w:sz w:val="12"/>
          <w:szCs w:val="12"/>
          <w:color w:val="auto"/>
        </w:rPr>
        <w:t>Approval of our 2003 Stock Option Plan, as 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185420" cy="168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5420" cy="168275"/>
                    </a:xfrm>
                    <a:prstGeom prst="rect">
                      <a:avLst/>
                    </a:prstGeom>
                    <a:noFill/>
                  </pic:spPr>
                </pic:pic>
              </a:graphicData>
            </a:graphic>
          </wp:anchor>
        </w:drawing>
      </w:r>
    </w:p>
    <w:p>
      <w:pPr>
        <w:spacing w:after="0" w:line="114" w:lineRule="exact"/>
        <w:rPr>
          <w:sz w:val="20"/>
          <w:szCs w:val="20"/>
          <w:color w:val="auto"/>
        </w:rPr>
      </w:pPr>
    </w:p>
    <w:p>
      <w:pPr>
        <w:ind w:left="430" w:hanging="348"/>
        <w:spacing w:after="0"/>
        <w:tabs>
          <w:tab w:leader="none" w:pos="430" w:val="left"/>
        </w:tabs>
        <w:numPr>
          <w:ilvl w:val="1"/>
          <w:numId w:val="10"/>
        </w:numPr>
        <w:rPr>
          <w:rFonts w:ascii="Arial" w:cs="Arial" w:eastAsia="Arial" w:hAnsi="Arial"/>
          <w:sz w:val="18"/>
          <w:szCs w:val="18"/>
          <w:b w:val="1"/>
          <w:bCs w:val="1"/>
          <w:color w:val="FFFFFF"/>
        </w:rPr>
      </w:pPr>
      <w:r>
        <w:rPr>
          <w:rFonts w:ascii="Arial" w:cs="Arial" w:eastAsia="Arial" w:hAnsi="Arial"/>
          <w:sz w:val="12"/>
          <w:szCs w:val="12"/>
          <w:b w:val="1"/>
          <w:bCs w:val="1"/>
          <w:color w:val="auto"/>
        </w:rPr>
        <w:t>Shareholder Proposals — The Board of Directors recommends a vote “AGAINST” Proposals 6-9, if properly presented at the meeting.</w:t>
      </w:r>
    </w:p>
    <w:p>
      <w:pPr>
        <w:spacing w:after="0" w:line="183" w:lineRule="exact"/>
        <w:rPr>
          <w:rFonts w:ascii="Arial" w:cs="Arial" w:eastAsia="Arial" w:hAnsi="Arial"/>
          <w:sz w:val="18"/>
          <w:szCs w:val="18"/>
          <w:b w:val="1"/>
          <w:bCs w:val="1"/>
          <w:color w:val="FFFFFF"/>
        </w:rPr>
      </w:pPr>
    </w:p>
    <w:p>
      <w:pPr>
        <w:ind w:left="430" w:hanging="430"/>
        <w:spacing w:after="0"/>
        <w:tabs>
          <w:tab w:leader="none" w:pos="430" w:val="left"/>
        </w:tabs>
        <w:numPr>
          <w:ilvl w:val="0"/>
          <w:numId w:val="10"/>
        </w:numPr>
        <w:rPr>
          <w:rFonts w:ascii="Arial" w:cs="Arial" w:eastAsia="Arial" w:hAnsi="Arial"/>
          <w:sz w:val="12"/>
          <w:szCs w:val="12"/>
          <w:color w:val="auto"/>
        </w:rPr>
      </w:pPr>
      <w:r>
        <w:rPr>
          <w:rFonts w:ascii="Arial" w:cs="Arial" w:eastAsia="Arial" w:hAnsi="Arial"/>
          <w:sz w:val="12"/>
          <w:szCs w:val="12"/>
          <w:color w:val="auto"/>
        </w:rPr>
        <w:t>Identify all executive officers who earn in excess of $500,000</w:t>
      </w:r>
    </w:p>
    <w:p>
      <w:pPr>
        <w:spacing w:after="0" w:line="127" w:lineRule="exact"/>
        <w:rPr>
          <w:rFonts w:ascii="Arial" w:cs="Arial" w:eastAsia="Arial" w:hAnsi="Arial"/>
          <w:sz w:val="12"/>
          <w:szCs w:val="12"/>
          <w:color w:val="auto"/>
        </w:rPr>
      </w:pPr>
    </w:p>
    <w:p>
      <w:pPr>
        <w:ind w:left="430" w:hanging="430"/>
        <w:spacing w:after="0"/>
        <w:tabs>
          <w:tab w:leader="none" w:pos="43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Obtain shareholder approval of certain future death benefit arrangements</w:t>
      </w:r>
    </w:p>
    <w:p>
      <w:pPr>
        <w:spacing w:after="0" w:line="127" w:lineRule="exact"/>
        <w:rPr>
          <w:rFonts w:ascii="Arial" w:cs="Arial" w:eastAsia="Arial" w:hAnsi="Arial"/>
          <w:sz w:val="12"/>
          <w:szCs w:val="12"/>
          <w:color w:val="auto"/>
        </w:rPr>
      </w:pPr>
    </w:p>
    <w:p>
      <w:pPr>
        <w:ind w:left="430" w:hanging="430"/>
        <w:spacing w:after="0"/>
        <w:tabs>
          <w:tab w:leader="none" w:pos="43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Adopt an annual vote on executive compensation</w:t>
      </w:r>
    </w:p>
    <w:p>
      <w:pPr>
        <w:spacing w:after="0" w:line="127" w:lineRule="exact"/>
        <w:rPr>
          <w:rFonts w:ascii="Arial" w:cs="Arial" w:eastAsia="Arial" w:hAnsi="Arial"/>
          <w:sz w:val="12"/>
          <w:szCs w:val="12"/>
          <w:color w:val="auto"/>
        </w:rPr>
      </w:pPr>
    </w:p>
    <w:p>
      <w:pPr>
        <w:ind w:left="430" w:hanging="430"/>
        <w:spacing w:after="0"/>
        <w:tabs>
          <w:tab w:leader="none" w:pos="430" w:val="left"/>
        </w:tabs>
        <w:numPr>
          <w:ilvl w:val="0"/>
          <w:numId w:val="10"/>
        </w:numPr>
        <w:rPr>
          <w:rFonts w:ascii="Arial" w:cs="Arial" w:eastAsia="Arial" w:hAnsi="Arial"/>
          <w:sz w:val="12"/>
          <w:szCs w:val="12"/>
          <w:color w:val="auto"/>
        </w:rPr>
      </w:pPr>
      <w:r>
        <w:rPr>
          <w:rFonts w:ascii="Arial" w:cs="Arial" w:eastAsia="Arial" w:hAnsi="Arial"/>
          <w:sz w:val="12"/>
          <w:szCs w:val="12"/>
          <w:color w:val="auto"/>
        </w:rPr>
        <w:t>Adopt a recapitalization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882015</wp:posOffset>
            </wp:positionV>
            <wp:extent cx="725360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3605" cy="20955"/>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454660</wp:posOffset>
            </wp:positionV>
            <wp:extent cx="59055" cy="294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055" cy="294640"/>
                    </a:xfrm>
                    <a:prstGeom prst="rect">
                      <a:avLst/>
                    </a:prstGeom>
                    <a:noFill/>
                  </pic:spPr>
                </pic:pic>
              </a:graphicData>
            </a:graphic>
          </wp:anchor>
        </w:drawing>
      </w:r>
    </w:p>
    <w:p>
      <w:pPr>
        <w:sectPr>
          <w:pgSz w:w="11900" w:h="16838" w:orient="portrait"/>
          <w:cols w:equalWidth="0" w:num="1">
            <w:col w:w="9950"/>
          </w:cols>
          <w:pgMar w:left="710" w:top="1107" w:right="1239" w:bottom="1440" w:gutter="0" w:footer="0" w:header="0"/>
          <w:type w:val="continuous"/>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156210</wp:posOffset>
            </wp:positionH>
            <wp:positionV relativeFrom="page">
              <wp:posOffset>2791460</wp:posOffset>
            </wp:positionV>
            <wp:extent cx="724916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9160" cy="25400"/>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2833370</wp:posOffset>
            </wp:positionV>
            <wp:extent cx="7249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9160" cy="8255"/>
                    </a:xfrm>
                    <a:prstGeom prst="rect">
                      <a:avLst/>
                    </a:prstGeom>
                    <a:noFill/>
                  </pic:spPr>
                </pic:pic>
              </a:graphicData>
            </a:graphic>
          </wp:anchor>
        </w:drawing>
        <w:drawing>
          <wp:anchor simplePos="0" relativeHeight="251657728" behindDoc="1" locked="0" layoutInCell="0" allowOverlap="1">
            <wp:simplePos x="0" y="0"/>
            <wp:positionH relativeFrom="page">
              <wp:posOffset>156210</wp:posOffset>
            </wp:positionH>
            <wp:positionV relativeFrom="page">
              <wp:posOffset>3625215</wp:posOffset>
            </wp:positionV>
            <wp:extent cx="59055" cy="294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9055" cy="2946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o"/>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o"/>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o"/>
      <w:numFmt w:val="bullet"/>
      <w:start w:val="1"/>
    </w:lvl>
    <w:lvl w:ilvl="1">
      <w:lvlJc w:val="left"/>
      <w:lvlText w:val="(%2)"/>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lvl>
    <w:lvl w:ilvl="1">
      <w:lvlJc w:val="left"/>
      <w:lvlText w:val="A"/>
      <w:numFmt w:val="bullet"/>
      <w:start w:val="1"/>
    </w:lvl>
  </w:abstractNum>
  <w:abstractNum w:abstractNumId="8">
    <w:nsid w:val="12200854"/>
    <w:multiLevelType w:val="hybridMultilevel"/>
    <w:lvl w:ilvl="0">
      <w:lvlJc w:val="left"/>
      <w:lvlText w:val="%1."/>
      <w:numFmt w:val="decimal"/>
      <w:start w:val="2"/>
    </w:lvl>
  </w:abstractNum>
  <w:abstractNum w:abstractNumId="9">
    <w:nsid w:val="4DB127F8"/>
    <w:multiLevelType w:val="hybridMultilevel"/>
    <w:lvl w:ilvl="0">
      <w:lvlJc w:val="left"/>
      <w:lvlText w:val="%1."/>
      <w:numFmt w:val="decimal"/>
      <w:start w:val="5"/>
    </w:lvl>
    <w:lvl w:ilvl="1">
      <w:lvlJc w:val="left"/>
      <w:lvlText w:val="B"/>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2019-12-10T22:12:48Z</dcterms:created>
  <dcterms:modified xsi:type="dcterms:W3CDTF">2019-12-10T22:12:48Z</dcterms:modified>
</cp:coreProperties>
</file>