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103505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9" w:lineRule="exact"/>
        <w:rPr>
          <w:sz w:val="24"/>
          <w:szCs w:val="24"/>
          <w:color w:val="auto"/>
        </w:rPr>
      </w:pPr>
    </w:p>
    <w:tbl>
      <w:tblPr>
        <w:tblLayout w:type="fixed"/>
        <w:tblInd w:w="700" w:type="dxa"/>
        <w:tblCellMar>
          <w:top w:w="0" w:type="dxa"/>
          <w:left w:w="0" w:type="dxa"/>
          <w:bottom w:w="0" w:type="dxa"/>
          <w:right w:w="0" w:type="dxa"/>
        </w:tblCellMar>
      </w:tblPr>
      <w:tr>
        <w:trPr>
          <w:trHeight w:val="351"/>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27"/>
                <w:szCs w:val="27"/>
                <w:b w:val="1"/>
                <w:bCs w:val="1"/>
                <w:color w:val="auto"/>
              </w:rPr>
              <w:t>FORM 8-K</w:t>
            </w:r>
          </w:p>
        </w:tc>
      </w:tr>
      <w:tr>
        <w:trPr>
          <w:trHeight w:val="405"/>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27"/>
                <w:szCs w:val="27"/>
                <w:b w:val="1"/>
                <w:bCs w:val="1"/>
                <w:color w:val="auto"/>
                <w:w w:val="99"/>
              </w:rPr>
              <w:t>CURRENT REPORT</w:t>
            </w:r>
          </w:p>
        </w:tc>
      </w:tr>
      <w:tr>
        <w:trPr>
          <w:trHeight w:val="324"/>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27"/>
                <w:szCs w:val="27"/>
                <w:b w:val="1"/>
                <w:bCs w:val="1"/>
                <w:color w:val="auto"/>
                <w:w w:val="89"/>
              </w:rPr>
              <w:t>Pursuant to Section 13 or 15(d) of the</w:t>
            </w:r>
          </w:p>
        </w:tc>
      </w:tr>
      <w:tr>
        <w:trPr>
          <w:trHeight w:val="324"/>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27"/>
                <w:szCs w:val="27"/>
                <w:b w:val="1"/>
                <w:bCs w:val="1"/>
                <w:color w:val="auto"/>
                <w:w w:val="88"/>
              </w:rPr>
              <w:t>Securities Exchange Act of 1934</w:t>
            </w:r>
          </w:p>
        </w:tc>
      </w:tr>
      <w:tr>
        <w:trPr>
          <w:trHeight w:val="230"/>
        </w:trPr>
        <w:tc>
          <w:tcPr>
            <w:tcW w:w="2500" w:type="dxa"/>
            <w:vAlign w:val="bottom"/>
          </w:tcPr>
          <w:p>
            <w:pPr>
              <w:spacing w:after="0"/>
              <w:rPr>
                <w:sz w:val="20"/>
                <w:szCs w:val="20"/>
                <w:color w:val="auto"/>
              </w:rPr>
            </w:pPr>
          </w:p>
        </w:tc>
        <w:tc>
          <w:tcPr>
            <w:tcW w:w="7160" w:type="dxa"/>
            <w:vAlign w:val="bottom"/>
          </w:tcPr>
          <w:p>
            <w:pPr>
              <w:jc w:val="center"/>
              <w:ind w:right="2203"/>
              <w:spacing w:after="0"/>
              <w:rPr>
                <w:sz w:val="20"/>
                <w:szCs w:val="20"/>
                <w:color w:val="auto"/>
              </w:rPr>
            </w:pPr>
            <w:r>
              <w:rPr>
                <w:rFonts w:ascii="Arial" w:cs="Arial" w:eastAsia="Arial" w:hAnsi="Arial"/>
                <w:sz w:val="18"/>
                <w:szCs w:val="18"/>
                <w:color w:val="auto"/>
                <w:w w:val="91"/>
              </w:rPr>
              <w:t>Date of report (Date of earliest event reported): April 28, 2022</w:t>
            </w:r>
          </w:p>
        </w:tc>
      </w:tr>
      <w:tr>
        <w:trPr>
          <w:trHeight w:val="454"/>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29"/>
                <w:szCs w:val="29"/>
                <w:b w:val="1"/>
                <w:bCs w:val="1"/>
                <w:color w:val="auto"/>
                <w:w w:val="90"/>
              </w:rPr>
              <w:t>Comcast Corporation</w:t>
            </w:r>
          </w:p>
        </w:tc>
      </w:tr>
      <w:tr>
        <w:trPr>
          <w:trHeight w:val="140"/>
        </w:trPr>
        <w:tc>
          <w:tcPr>
            <w:tcW w:w="2500" w:type="dxa"/>
            <w:vAlign w:val="bottom"/>
          </w:tcPr>
          <w:p>
            <w:pPr>
              <w:spacing w:after="0"/>
              <w:rPr>
                <w:sz w:val="12"/>
                <w:szCs w:val="12"/>
                <w:color w:val="auto"/>
              </w:rPr>
            </w:pPr>
          </w:p>
        </w:tc>
        <w:tc>
          <w:tcPr>
            <w:tcW w:w="7160" w:type="dxa"/>
            <w:vAlign w:val="bottom"/>
          </w:tcPr>
          <w:p>
            <w:pPr>
              <w:jc w:val="center"/>
              <w:ind w:right="2243"/>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00" w:type="dxa"/>
            <w:vAlign w:val="bottom"/>
          </w:tcPr>
          <w:p>
            <w:pPr>
              <w:spacing w:after="0"/>
              <w:rPr>
                <w:sz w:val="15"/>
                <w:szCs w:val="15"/>
                <w:color w:val="auto"/>
              </w:rPr>
            </w:pPr>
          </w:p>
        </w:tc>
        <w:tc>
          <w:tcPr>
            <w:tcW w:w="7160" w:type="dxa"/>
            <w:vAlign w:val="bottom"/>
          </w:tcPr>
          <w:p>
            <w:pPr>
              <w:jc w:val="center"/>
              <w:ind w:right="2243"/>
              <w:spacing w:after="0"/>
              <w:rPr>
                <w:sz w:val="20"/>
                <w:szCs w:val="20"/>
                <w:color w:val="auto"/>
              </w:rPr>
            </w:pPr>
            <w:r>
              <w:rPr>
                <w:rFonts w:ascii="Arial" w:cs="Arial" w:eastAsia="Arial" w:hAnsi="Arial"/>
                <w:sz w:val="14"/>
                <w:szCs w:val="14"/>
                <w:color w:val="auto"/>
                <w:w w:val="93"/>
              </w:rPr>
              <w:t>as Specified in its Charter)</w:t>
            </w:r>
          </w:p>
        </w:tc>
      </w:tr>
      <w:tr>
        <w:trPr>
          <w:trHeight w:val="380"/>
        </w:trPr>
        <w:tc>
          <w:tcPr>
            <w:tcW w:w="2500" w:type="dxa"/>
            <w:vAlign w:val="bottom"/>
          </w:tcPr>
          <w:p>
            <w:pPr>
              <w:spacing w:after="0"/>
              <w:rPr>
                <w:sz w:val="24"/>
                <w:szCs w:val="24"/>
                <w:color w:val="auto"/>
              </w:rPr>
            </w:pPr>
          </w:p>
        </w:tc>
        <w:tc>
          <w:tcPr>
            <w:tcW w:w="7160" w:type="dxa"/>
            <w:vAlign w:val="bottom"/>
          </w:tcPr>
          <w:p>
            <w:pPr>
              <w:jc w:val="center"/>
              <w:ind w:right="2243"/>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500" w:type="dxa"/>
            <w:vAlign w:val="bottom"/>
          </w:tcPr>
          <w:p>
            <w:pPr>
              <w:spacing w:after="0"/>
              <w:rPr>
                <w:sz w:val="15"/>
                <w:szCs w:val="15"/>
                <w:color w:val="auto"/>
              </w:rPr>
            </w:pPr>
          </w:p>
        </w:tc>
        <w:tc>
          <w:tcPr>
            <w:tcW w:w="7160" w:type="dxa"/>
            <w:vAlign w:val="bottom"/>
          </w:tcPr>
          <w:p>
            <w:pPr>
              <w:jc w:val="center"/>
              <w:ind w:right="2243"/>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85"/>
        </w:trPr>
        <w:tc>
          <w:tcPr>
            <w:tcW w:w="2500" w:type="dxa"/>
            <w:vAlign w:val="bottom"/>
          </w:tcPr>
          <w:p>
            <w:pPr>
              <w:jc w:val="center"/>
              <w:ind w:right="77"/>
              <w:spacing w:after="0"/>
              <w:rPr>
                <w:sz w:val="20"/>
                <w:szCs w:val="20"/>
                <w:color w:val="auto"/>
              </w:rPr>
            </w:pPr>
            <w:r>
              <w:rPr>
                <w:rFonts w:ascii="Arial" w:cs="Arial" w:eastAsia="Arial" w:hAnsi="Arial"/>
                <w:sz w:val="18"/>
                <w:szCs w:val="18"/>
                <w:b w:val="1"/>
                <w:bCs w:val="1"/>
                <w:color w:val="auto"/>
                <w:w w:val="90"/>
              </w:rPr>
              <w:t>001-32871</w:t>
            </w:r>
          </w:p>
        </w:tc>
        <w:tc>
          <w:tcPr>
            <w:tcW w:w="7160" w:type="dxa"/>
            <w:vAlign w:val="bottom"/>
          </w:tcPr>
          <w:p>
            <w:pPr>
              <w:jc w:val="center"/>
              <w:ind w:left="5063"/>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500" w:type="dxa"/>
            <w:vAlign w:val="bottom"/>
          </w:tcPr>
          <w:p>
            <w:pPr>
              <w:jc w:val="center"/>
              <w:ind w:right="77"/>
              <w:spacing w:after="0"/>
              <w:rPr>
                <w:sz w:val="20"/>
                <w:szCs w:val="20"/>
                <w:color w:val="auto"/>
              </w:rPr>
            </w:pPr>
            <w:r>
              <w:rPr>
                <w:rFonts w:ascii="Arial" w:cs="Arial" w:eastAsia="Arial" w:hAnsi="Arial"/>
                <w:sz w:val="14"/>
                <w:szCs w:val="14"/>
                <w:color w:val="auto"/>
                <w:w w:val="94"/>
              </w:rPr>
              <w:t>(Commission File Number)</w:t>
            </w:r>
          </w:p>
        </w:tc>
        <w:tc>
          <w:tcPr>
            <w:tcW w:w="7160" w:type="dxa"/>
            <w:vAlign w:val="bottom"/>
          </w:tcPr>
          <w:p>
            <w:pPr>
              <w:jc w:val="center"/>
              <w:ind w:left="5083"/>
              <w:spacing w:after="0"/>
              <w:rPr>
                <w:sz w:val="20"/>
                <w:szCs w:val="20"/>
                <w:color w:val="auto"/>
              </w:rPr>
            </w:pPr>
            <w:r>
              <w:rPr>
                <w:rFonts w:ascii="Arial" w:cs="Arial" w:eastAsia="Arial" w:hAnsi="Arial"/>
                <w:sz w:val="14"/>
                <w:szCs w:val="14"/>
                <w:color w:val="auto"/>
                <w:w w:val="97"/>
              </w:rPr>
              <w:t>(IRS Employer Identification No.)</w:t>
            </w:r>
          </w:p>
        </w:tc>
      </w:tr>
      <w:tr>
        <w:trPr>
          <w:trHeight w:val="385"/>
        </w:trPr>
        <w:tc>
          <w:tcPr>
            <w:tcW w:w="2500" w:type="dxa"/>
            <w:vAlign w:val="bottom"/>
          </w:tcPr>
          <w:p>
            <w:pPr>
              <w:jc w:val="center"/>
              <w:ind w:right="77"/>
              <w:spacing w:after="0"/>
              <w:rPr>
                <w:sz w:val="20"/>
                <w:szCs w:val="20"/>
                <w:color w:val="auto"/>
              </w:rPr>
            </w:pPr>
            <w:r>
              <w:rPr>
                <w:rFonts w:ascii="Arial" w:cs="Arial" w:eastAsia="Arial" w:hAnsi="Arial"/>
                <w:sz w:val="18"/>
                <w:szCs w:val="18"/>
                <w:b w:val="1"/>
                <w:bCs w:val="1"/>
                <w:color w:val="auto"/>
                <w:w w:val="90"/>
              </w:rPr>
              <w:t>One Comcast Center</w:t>
            </w:r>
          </w:p>
        </w:tc>
        <w:tc>
          <w:tcPr>
            <w:tcW w:w="7160" w:type="dxa"/>
            <w:vAlign w:val="bottom"/>
          </w:tcPr>
          <w:p>
            <w:pPr>
              <w:spacing w:after="0"/>
              <w:rPr>
                <w:sz w:val="24"/>
                <w:szCs w:val="24"/>
                <w:color w:val="auto"/>
              </w:rPr>
            </w:pPr>
          </w:p>
        </w:tc>
      </w:tr>
      <w:tr>
        <w:trPr>
          <w:trHeight w:val="229"/>
        </w:trPr>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Philadelphia, PA</w:t>
            </w:r>
          </w:p>
        </w:tc>
        <w:tc>
          <w:tcPr>
            <w:tcW w:w="7160" w:type="dxa"/>
            <w:vAlign w:val="bottom"/>
          </w:tcPr>
          <w:p>
            <w:pPr>
              <w:jc w:val="center"/>
              <w:ind w:left="5063"/>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500" w:type="dxa"/>
            <w:vAlign w:val="bottom"/>
          </w:tcPr>
          <w:p>
            <w:pPr>
              <w:jc w:val="center"/>
              <w:ind w:right="77"/>
              <w:spacing w:after="0"/>
              <w:rPr>
                <w:sz w:val="20"/>
                <w:szCs w:val="20"/>
                <w:color w:val="auto"/>
              </w:rPr>
            </w:pPr>
            <w:r>
              <w:rPr>
                <w:rFonts w:ascii="Arial" w:cs="Arial" w:eastAsia="Arial" w:hAnsi="Arial"/>
                <w:sz w:val="14"/>
                <w:szCs w:val="14"/>
                <w:color w:val="auto"/>
                <w:w w:val="95"/>
              </w:rPr>
              <w:t>(Address of Principal Executive Offices)</w:t>
            </w:r>
          </w:p>
        </w:tc>
        <w:tc>
          <w:tcPr>
            <w:tcW w:w="7160" w:type="dxa"/>
            <w:vAlign w:val="bottom"/>
          </w:tcPr>
          <w:p>
            <w:pPr>
              <w:jc w:val="center"/>
              <w:ind w:left="5063"/>
              <w:spacing w:after="0"/>
              <w:rPr>
                <w:sz w:val="20"/>
                <w:szCs w:val="20"/>
                <w:color w:val="auto"/>
              </w:rPr>
            </w:pPr>
            <w:r>
              <w:rPr>
                <w:rFonts w:ascii="Arial" w:cs="Arial" w:eastAsia="Arial" w:hAnsi="Arial"/>
                <w:sz w:val="14"/>
                <w:szCs w:val="14"/>
                <w:color w:val="auto"/>
                <w:w w:val="96"/>
              </w:rPr>
              <w:t>(Zip Code)</w:t>
            </w:r>
          </w:p>
        </w:tc>
      </w:tr>
      <w:tr>
        <w:trPr>
          <w:trHeight w:val="290"/>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14"/>
                <w:szCs w:val="14"/>
                <w:color w:val="auto"/>
                <w:w w:val="93"/>
              </w:rPr>
              <w:t xml:space="preserve">Registrant’s telephone number, including area code: </w:t>
            </w:r>
            <w:r>
              <w:rPr>
                <w:rFonts w:ascii="Arial" w:cs="Arial" w:eastAsia="Arial" w:hAnsi="Arial"/>
                <w:sz w:val="17"/>
                <w:szCs w:val="17"/>
                <w:b w:val="1"/>
                <w:bCs w:val="1"/>
                <w:color w:val="auto"/>
                <w:w w:val="93"/>
              </w:rPr>
              <w:t>(215) 286-1700</w:t>
            </w:r>
          </w:p>
        </w:tc>
      </w:tr>
      <w:tr>
        <w:trPr>
          <w:trHeight w:val="182"/>
        </w:trPr>
        <w:tc>
          <w:tcPr>
            <w:tcW w:w="2500" w:type="dxa"/>
            <w:vAlign w:val="bottom"/>
          </w:tcPr>
          <w:p>
            <w:pPr>
              <w:spacing w:after="0"/>
              <w:rPr>
                <w:sz w:val="15"/>
                <w:szCs w:val="15"/>
                <w:color w:val="auto"/>
              </w:rPr>
            </w:pPr>
          </w:p>
        </w:tc>
        <w:tc>
          <w:tcPr>
            <w:tcW w:w="7160" w:type="dxa"/>
            <w:vAlign w:val="bottom"/>
          </w:tcPr>
          <w:p>
            <w:pPr>
              <w:jc w:val="center"/>
              <w:ind w:right="2223"/>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2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44" w:lineRule="exact"/>
        <w:rPr>
          <w:sz w:val="24"/>
          <w:szCs w:val="24"/>
          <w:color w:val="auto"/>
        </w:rPr>
      </w:pPr>
    </w:p>
    <w:tbl>
      <w:tblPr>
        <w:tblLayout w:type="fixed"/>
        <w:tblInd w:w="640" w:type="dxa"/>
        <w:tblCellMar>
          <w:top w:w="0" w:type="dxa"/>
          <w:left w:w="0" w:type="dxa"/>
          <w:bottom w:w="0" w:type="dxa"/>
          <w:right w:w="0" w:type="dxa"/>
        </w:tblCellMar>
      </w:tblPr>
      <w:tr>
        <w:trPr>
          <w:trHeight w:val="182"/>
        </w:trPr>
        <w:tc>
          <w:tcPr>
            <w:tcW w:w="4720" w:type="dxa"/>
            <w:vAlign w:val="bottom"/>
            <w:gridSpan w:val="2"/>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95"/>
        </w:trPr>
        <w:tc>
          <w:tcPr>
            <w:tcW w:w="4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Title of Each Class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82"/>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Class A Common Stock, $0.01 par value</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CMCSA</w:t>
            </w:r>
          </w:p>
        </w:tc>
        <w:tc>
          <w:tcPr>
            <w:tcW w:w="100" w:type="dxa"/>
            <w:vAlign w:val="bottom"/>
          </w:tcPr>
          <w:p>
            <w:pPr>
              <w:spacing w:after="0"/>
              <w:rPr>
                <w:sz w:val="15"/>
                <w:szCs w:val="15"/>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4"/>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0.000% Notes due 2026</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CMCS26</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0.250% Notes due 2027</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CMCS27</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1.500% Notes due 2029</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CMCS29</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0.250% Notes due 2029</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CMCS29A</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0.750% Notes due 2032</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CMCS32</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1.875% Notes due 2036</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CMCS36</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1.250% Notes due 2040</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CMCS40</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9.455% Guaranteed Notes due 2022</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CMCSA/22</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5.50% Notes due 2029</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CCGBP29</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2.0% Exchangeable Subordinated Debentures due 2029</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CCZ</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263"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jc w:val="right"/>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58" w:lineRule="exact"/>
        <w:rPr>
          <w:sz w:val="24"/>
          <w:szCs w:val="24"/>
          <w:color w:val="auto"/>
        </w:rPr>
      </w:pPr>
    </w:p>
    <w:p>
      <w:pPr>
        <w:ind w:right="56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636905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57785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28, 2022, Comcast Corporation (“Comcast”) issued a press release reporting the results of its operations for the three months ended March 31, 2022.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w w:val="92"/>
              </w:rPr>
              <w:t>Item 9.01. Exhibits</w:t>
            </w:r>
          </w:p>
        </w:tc>
        <w:tc>
          <w:tcPr>
            <w:tcW w:w="9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96"/>
              </w:rPr>
              <w:t>Exhibit</w:t>
            </w:r>
          </w:p>
        </w:tc>
        <w:tc>
          <w:tcPr>
            <w:tcW w:w="97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260" w:type="dxa"/>
            <w:vAlign w:val="bottom"/>
            <w:gridSpan w:val="4"/>
          </w:tcPr>
          <w:p>
            <w:pPr>
              <w:jc w:val="center"/>
              <w:ind w:right="620"/>
              <w:spacing w:after="0" w:line="189" w:lineRule="exact"/>
              <w:rPr>
                <w:sz w:val="20"/>
                <w:szCs w:val="20"/>
                <w:color w:val="auto"/>
              </w:rPr>
            </w:pPr>
            <w:r>
              <w:rPr>
                <w:rFonts w:ascii="Arial" w:cs="Arial" w:eastAsia="Arial" w:hAnsi="Arial"/>
                <w:sz w:val="18"/>
                <w:szCs w:val="18"/>
                <w:b w:val="1"/>
                <w:bCs w:val="1"/>
                <w:color w:val="auto"/>
                <w:w w:val="94"/>
              </w:rPr>
              <w:t>Number</w:t>
            </w:r>
          </w:p>
        </w:tc>
        <w:tc>
          <w:tcPr>
            <w:tcW w:w="9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480" w:type="dxa"/>
            <w:vAlign w:val="bottom"/>
            <w:gridSpan w:val="2"/>
          </w:tcPr>
          <w:p>
            <w:pPr>
              <w:jc w:val="center"/>
              <w:ind w:left="90"/>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6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Comcast Corporation press release dated </w:t>
              </w:r>
            </w:hyperlink>
            <w:r>
              <w:rPr>
                <w:rFonts w:ascii="Arial" w:cs="Arial" w:eastAsia="Arial" w:hAnsi="Arial"/>
                <w:sz w:val="18"/>
                <w:szCs w:val="18"/>
                <w:color w:val="0000FF"/>
              </w:rPr>
              <w:t xml:space="preserve">April </w:t>
            </w:r>
            <w:hyperlink w:anchor="page4">
              <w:r>
                <w:rPr>
                  <w:rFonts w:ascii="Arial" w:cs="Arial" w:eastAsia="Arial" w:hAnsi="Arial"/>
                  <w:sz w:val="18"/>
                  <w:szCs w:val="18"/>
                  <w:color w:val="0000FF"/>
                </w:rPr>
                <w:t>28, 2022.</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gridSpan w:val="3"/>
          </w:tcPr>
          <w:p>
            <w:pPr>
              <w:jc w:val="center"/>
              <w:ind w:left="310"/>
              <w:spacing w:after="0"/>
              <w:rPr>
                <w:rFonts w:ascii="Arial" w:cs="Arial" w:eastAsia="Arial" w:hAnsi="Arial"/>
                <w:sz w:val="18"/>
                <w:szCs w:val="18"/>
                <w:color w:val="0000FF"/>
                <w:w w:val="85"/>
              </w:rPr>
            </w:pPr>
            <w:hyperlink w:anchor="page19">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2</w:t>
              </w:r>
            </w:hyperlink>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4"/>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Explanation of Non-GAAP and Other Financial Measures.</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w w:val="8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Arial" w:cs="Arial" w:eastAsia="Arial" w:hAnsi="Arial"/>
                <w:sz w:val="18"/>
                <w:szCs w:val="18"/>
                <w:b w:val="1"/>
                <w:bCs w:val="1"/>
                <w:color w:val="auto"/>
              </w:rPr>
              <w:t>COMCAST CORPORATION</w:t>
            </w:r>
          </w:p>
        </w:tc>
      </w:tr>
      <w:tr>
        <w:trPr>
          <w:trHeight w:val="54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3320" w:type="dxa"/>
            <w:vAlign w:val="bottom"/>
          </w:tcPr>
          <w:p>
            <w:pPr>
              <w:ind w:left="340"/>
              <w:spacing w:after="0"/>
              <w:rPr>
                <w:sz w:val="20"/>
                <w:szCs w:val="20"/>
                <w:color w:val="auto"/>
              </w:rPr>
            </w:pPr>
            <w:r>
              <w:rPr>
                <w:rFonts w:ascii="Arial" w:cs="Arial" w:eastAsia="Arial" w:hAnsi="Arial"/>
                <w:sz w:val="18"/>
                <w:szCs w:val="18"/>
                <w:color w:val="auto"/>
              </w:rPr>
              <w:t>April 28, 2022</w:t>
            </w:r>
          </w:p>
        </w:tc>
        <w:tc>
          <w:tcPr>
            <w:tcW w:w="7160" w:type="dxa"/>
            <w:vAlign w:val="bottom"/>
            <w:gridSpan w:val="2"/>
          </w:tcPr>
          <w:p>
            <w:pPr>
              <w:ind w:left="1920"/>
              <w:spacing w:after="0"/>
              <w:rPr>
                <w:sz w:val="20"/>
                <w:szCs w:val="20"/>
                <w:color w:val="auto"/>
              </w:rPr>
            </w:pPr>
            <w:r>
              <w:rPr>
                <w:rFonts w:ascii="Arial" w:cs="Arial" w:eastAsia="Arial" w:hAnsi="Arial"/>
                <w:sz w:val="18"/>
                <w:szCs w:val="18"/>
                <w:color w:val="auto"/>
              </w:rPr>
              <w:t>By:  /s/ Daniel C. Murdock</w:t>
            </w:r>
          </w:p>
        </w:tc>
      </w:tr>
      <w:tr>
        <w:trPr>
          <w:trHeight w:val="222"/>
        </w:trPr>
        <w:tc>
          <w:tcPr>
            <w:tcW w:w="7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Daniel C. Murdock</w:t>
            </w:r>
          </w:p>
        </w:tc>
      </w:tr>
      <w:tr>
        <w:trPr>
          <w:trHeight w:val="176"/>
        </w:trPr>
        <w:tc>
          <w:tcPr>
            <w:tcW w:w="7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Accounting Officer and</w:t>
            </w:r>
          </w:p>
        </w:tc>
      </w:tr>
      <w:tr>
        <w:trPr>
          <w:trHeight w:val="229"/>
        </w:trPr>
        <w:tc>
          <w:tcPr>
            <w:tcW w:w="7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Controller</w:t>
            </w:r>
          </w:p>
        </w:tc>
      </w:tr>
      <w:tr>
        <w:trPr>
          <w:trHeight w:val="230"/>
        </w:trPr>
        <w:tc>
          <w:tcPr>
            <w:tcW w:w="7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945"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465455</wp:posOffset>
            </wp:positionH>
            <wp:positionV relativeFrom="page">
              <wp:posOffset>260350</wp:posOffset>
            </wp:positionV>
            <wp:extent cx="137160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257175</wp:posOffset>
            </wp:positionV>
            <wp:extent cx="7098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1st QUARTER 2022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PHILADELPHIA - April 28, 2022… Comcast Corporation (NASDAQ: CMCSA) today reported results for the quarter ended March 31, 2022.</w:t>
      </w:r>
    </w:p>
    <w:p>
      <w:pPr>
        <w:spacing w:after="0" w:line="59"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2022 is off to a great start. For the first quarter we reported healthy growth in adjusted EBITDA and adjusted EPS, generated significant free</w:t>
      </w:r>
      <w:r>
        <w:rPr>
          <w:rFonts w:ascii="Arial" w:cs="Arial" w:eastAsia="Arial" w:hAnsi="Arial"/>
          <w:sz w:val="18"/>
          <w:szCs w:val="18"/>
          <w:color w:val="auto"/>
        </w:rPr>
        <w:t xml:space="preserve"> </w:t>
      </w:r>
      <w:r>
        <w:rPr>
          <w:rFonts w:ascii="Arial" w:cs="Arial" w:eastAsia="Arial" w:hAnsi="Arial"/>
          <w:sz w:val="18"/>
          <w:szCs w:val="18"/>
          <w:i w:val="1"/>
          <w:iCs w:val="1"/>
          <w:color w:val="auto"/>
        </w:rPr>
        <w:t>cash flow, and increased our return of capital to shareholders. We also continued to make important organic investments and strategic decisions, highlighted by yesterday’s announcement of our new joint venture with Charter. This partnership demonstrates the benefits of our focus on innovation and enables us to bring entertainment aggregation and streaming products that run off our global technology platform to millions more customers. In cable, we are increasing the capacity of our broadband network and providing our customers with cutting-edge equipment that delivers the best in-home experience. Our media business is performing well, and the scale of our reach is underscored by our successful broadcast of the Super Bowl and the Olympics in the same week. These events were viewed by more than 200 million people in the U.S. across NBCUniversal’s platforms, including Peacock, which had an exceptional quarter. Our recovery from the pandemic at theme parks has been fantastic and shows no signs of slowing down. And, at Sky, we are pleased with our consistently strong results in the U.K. and continued improvement in Germany and Italy</w:t>
      </w:r>
      <w:r>
        <w:rPr>
          <w:rFonts w:ascii="Arial" w:cs="Arial" w:eastAsia="Arial" w:hAnsi="Arial"/>
          <w:sz w:val="18"/>
          <w:szCs w:val="18"/>
          <w:color w:val="auto"/>
        </w:rPr>
        <w:t>," commented Brian L. Roberts, Chairman and Chief Executive Officer of Comcast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 w:type="dxa"/>
            <w:vAlign w:val="bottom"/>
            <w:shd w:val="clear" w:color="auto" w:fill="D9D9D6"/>
          </w:tcPr>
          <w:p>
            <w:pPr>
              <w:spacing w:after="0"/>
              <w:rPr>
                <w:sz w:val="16"/>
                <w:szCs w:val="16"/>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620" w:type="dxa"/>
            <w:vAlign w:val="bottom"/>
            <w:shd w:val="clear" w:color="auto" w:fill="D9D9D6"/>
          </w:tcPr>
          <w:p>
            <w:pPr>
              <w:spacing w:after="0"/>
              <w:rPr>
                <w:sz w:val="16"/>
                <w:szCs w:val="16"/>
                <w:color w:val="auto"/>
              </w:rPr>
            </w:pPr>
          </w:p>
        </w:tc>
        <w:tc>
          <w:tcPr>
            <w:tcW w:w="340" w:type="dxa"/>
            <w:vAlign w:val="bottom"/>
            <w:tcBorders>
              <w:right w:val="single" w:sz="8" w:color="D9D9D6"/>
            </w:tcBorders>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420" w:type="dxa"/>
            <w:vAlign w:val="bottom"/>
            <w:shd w:val="clear" w:color="auto" w:fill="D9D9D6"/>
          </w:tcPr>
          <w:p>
            <w:pPr>
              <w:spacing w:after="0"/>
              <w:rPr>
                <w:sz w:val="16"/>
                <w:szCs w:val="16"/>
                <w:color w:val="auto"/>
              </w:rPr>
            </w:pPr>
          </w:p>
        </w:tc>
        <w:tc>
          <w:tcPr>
            <w:tcW w:w="340" w:type="dxa"/>
            <w:vAlign w:val="bottom"/>
            <w:tcBorders>
              <w:right w:val="single" w:sz="8" w:color="D9D9D6"/>
            </w:tcBorders>
            <w:shd w:val="clear" w:color="auto" w:fill="D9D9D6"/>
          </w:tcPr>
          <w:p>
            <w:pPr>
              <w:spacing w:after="0"/>
              <w:rPr>
                <w:sz w:val="16"/>
                <w:szCs w:val="16"/>
                <w:color w:val="auto"/>
              </w:rPr>
            </w:pPr>
          </w:p>
        </w:tc>
        <w:tc>
          <w:tcPr>
            <w:tcW w:w="6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 w:type="dxa"/>
            <w:vAlign w:val="bottom"/>
            <w:shd w:val="clear" w:color="auto" w:fill="D9D9D6"/>
          </w:tcPr>
          <w:p>
            <w:pPr>
              <w:spacing w:after="0"/>
              <w:rPr>
                <w:sz w:val="16"/>
                <w:szCs w:val="16"/>
                <w:color w:val="auto"/>
              </w:rPr>
            </w:pPr>
          </w:p>
        </w:tc>
        <w:tc>
          <w:tcPr>
            <w:tcW w:w="796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620" w:type="dxa"/>
            <w:vAlign w:val="bottom"/>
            <w:shd w:val="clear" w:color="auto" w:fill="D9D9D6"/>
          </w:tcPr>
          <w:p>
            <w:pPr>
              <w:spacing w:after="0"/>
              <w:rPr>
                <w:sz w:val="16"/>
                <w:szCs w:val="16"/>
                <w:color w:val="auto"/>
              </w:rPr>
            </w:pPr>
          </w:p>
        </w:tc>
        <w:tc>
          <w:tcPr>
            <w:tcW w:w="340" w:type="dxa"/>
            <w:vAlign w:val="bottom"/>
            <w:tcBorders>
              <w:right w:val="single" w:sz="8" w:color="D9D9D6"/>
            </w:tcBorders>
            <w:shd w:val="clear" w:color="auto" w:fill="D9D9D6"/>
          </w:tcPr>
          <w:p>
            <w:pPr>
              <w:spacing w:after="0"/>
              <w:rPr>
                <w:sz w:val="16"/>
                <w:szCs w:val="16"/>
                <w:color w:val="auto"/>
              </w:rPr>
            </w:pPr>
          </w:p>
        </w:tc>
        <w:tc>
          <w:tcPr>
            <w:tcW w:w="96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1st Quarter</w:t>
            </w:r>
          </w:p>
        </w:tc>
        <w:tc>
          <w:tcPr>
            <w:tcW w:w="6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7960" w:type="dxa"/>
            <w:vAlign w:val="bottom"/>
            <w:vMerge w:val="continue"/>
            <w:shd w:val="clear" w:color="auto" w:fill="D9D9D6"/>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7960" w:type="dxa"/>
            <w:vAlign w:val="bottom"/>
            <w:vMerge w:val="continue"/>
            <w:shd w:val="clear" w:color="auto" w:fill="D9D9D6"/>
          </w:tcPr>
          <w:p>
            <w:pPr>
              <w:spacing w:after="0"/>
              <w:rPr>
                <w:sz w:val="14"/>
                <w:szCs w:val="14"/>
                <w:color w:val="auto"/>
              </w:rPr>
            </w:pPr>
          </w:p>
        </w:tc>
        <w:tc>
          <w:tcPr>
            <w:tcW w:w="620" w:type="dxa"/>
            <w:vAlign w:val="bottom"/>
            <w:shd w:val="clear" w:color="auto" w:fill="D9D9D6"/>
          </w:tcPr>
          <w:p>
            <w:pPr>
              <w:spacing w:after="0"/>
              <w:rPr>
                <w:sz w:val="14"/>
                <w:szCs w:val="14"/>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2022</w:t>
            </w:r>
          </w:p>
        </w:tc>
        <w:tc>
          <w:tcPr>
            <w:tcW w:w="200" w:type="dxa"/>
            <w:vAlign w:val="bottom"/>
            <w:shd w:val="clear" w:color="auto" w:fill="D9D9D6"/>
          </w:tcPr>
          <w:p>
            <w:pPr>
              <w:spacing w:after="0"/>
              <w:rPr>
                <w:sz w:val="14"/>
                <w:szCs w:val="14"/>
                <w:color w:val="auto"/>
              </w:rPr>
            </w:pPr>
          </w:p>
        </w:tc>
        <w:tc>
          <w:tcPr>
            <w:tcW w:w="7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240" w:type="dxa"/>
            <w:vAlign w:val="bottom"/>
            <w:gridSpan w:val="4"/>
            <w:shd w:val="clear" w:color="auto" w:fill="D9D9D6"/>
          </w:tcPr>
          <w:p>
            <w:pPr>
              <w:ind w:left="6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7960" w:type="dxa"/>
            <w:vAlign w:val="bottom"/>
            <w:shd w:val="clear" w:color="auto" w:fill="D9D9D6"/>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0" w:type="dxa"/>
            <w:vAlign w:val="bottom"/>
            <w:shd w:val="clear" w:color="auto" w:fill="D9D9D6"/>
          </w:tcPr>
          <w:p>
            <w:pPr>
              <w:spacing w:after="0"/>
              <w:rPr>
                <w:sz w:val="24"/>
                <w:szCs w:val="24"/>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Revenue</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$31,010</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$27,205</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14.0 %</w:t>
            </w:r>
          </w:p>
        </w:tc>
        <w:tc>
          <w:tcPr>
            <w:tcW w:w="14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Income Attributable to Comcast</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$3,549</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$3,329</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6.6 %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9"/>
                <w:szCs w:val="9"/>
                <w:color w:val="auto"/>
              </w:rPr>
              <w:t>1</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$3,900</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$3,529</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10.5 %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EBITDA</w:t>
            </w:r>
            <w:r>
              <w:rPr>
                <w:rFonts w:ascii="Arial" w:cs="Arial" w:eastAsia="Arial" w:hAnsi="Arial"/>
                <w:sz w:val="9"/>
                <w:szCs w:val="9"/>
                <w:color w:val="auto"/>
              </w:rPr>
              <w:t>2</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$9,150</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$8,413</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8.8 %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9"/>
                <w:szCs w:val="9"/>
                <w:color w:val="auto"/>
              </w:rPr>
              <w:t>3</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$0.78</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$0.71</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9.9</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Earnings per Share</w:t>
            </w:r>
            <w:r>
              <w:rPr>
                <w:rFonts w:ascii="Arial" w:cs="Arial" w:eastAsia="Arial" w:hAnsi="Arial"/>
                <w:sz w:val="9"/>
                <w:szCs w:val="9"/>
                <w:color w:val="auto"/>
              </w:rPr>
              <w:t>1</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$0.86</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$0.76</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13.2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D9D9D6"/>
          </w:tcPr>
          <w:p>
            <w:pPr>
              <w:spacing w:after="0"/>
              <w:rPr>
                <w:sz w:val="16"/>
                <w:szCs w:val="16"/>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$7,257</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$7,751</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(6.4</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0" w:type="dxa"/>
            <w:vAlign w:val="bottom"/>
            <w:shd w:val="clear" w:color="auto" w:fill="D9D9D6"/>
          </w:tcPr>
          <w:p>
            <w:pPr>
              <w:spacing w:after="0"/>
              <w:rPr>
                <w:sz w:val="16"/>
                <w:szCs w:val="16"/>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Free Cash Flow</w:t>
            </w:r>
            <w:r>
              <w:rPr>
                <w:rFonts w:ascii="Arial" w:cs="Arial" w:eastAsia="Arial" w:hAnsi="Arial"/>
                <w:sz w:val="9"/>
                <w:szCs w:val="9"/>
                <w:color w:val="auto"/>
              </w:rPr>
              <w:t>4</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$4,760</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$5,280</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(9.9</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7960" w:type="dxa"/>
            <w:vAlign w:val="bottom"/>
            <w:shd w:val="clear" w:color="auto" w:fill="D9D9D6"/>
          </w:tcPr>
          <w:p>
            <w:pPr>
              <w:spacing w:after="0"/>
              <w:rPr>
                <w:sz w:val="4"/>
                <w:szCs w:val="4"/>
                <w:color w:val="auto"/>
              </w:rPr>
            </w:pPr>
          </w:p>
        </w:tc>
        <w:tc>
          <w:tcPr>
            <w:tcW w:w="62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42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60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1st Quarter 2022 Highlights:</w:t>
      </w:r>
    </w:p>
    <w:p>
      <w:pPr>
        <w:spacing w:after="0" w:line="45" w:lineRule="exact"/>
        <w:rPr>
          <w:sz w:val="20"/>
          <w:szCs w:val="20"/>
          <w:color w:val="auto"/>
        </w:rPr>
      </w:pPr>
    </w:p>
    <w:p>
      <w:pPr>
        <w:ind w:left="340" w:right="20" w:hanging="332"/>
        <w:spacing w:after="0" w:line="25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Adjusted EBITDA Increased 8.8% to $9.2 Billion; Adjusted EPS Increased 13.2% to $0.86; Generated Free Cash Flow of $4.8 Billion</w:t>
      </w:r>
    </w:p>
    <w:p>
      <w:pPr>
        <w:spacing w:after="0" w:line="22" w:lineRule="exact"/>
        <w:rPr>
          <w:rFonts w:ascii="Arial" w:cs="Arial" w:eastAsia="Arial" w:hAnsi="Arial"/>
          <w:sz w:val="18"/>
          <w:szCs w:val="18"/>
          <w:color w:val="auto"/>
        </w:rPr>
      </w:pPr>
    </w:p>
    <w:p>
      <w:pPr>
        <w:ind w:left="340" w:hanging="332"/>
        <w:spacing w:after="0" w:line="258" w:lineRule="auto"/>
        <w:tabs>
          <w:tab w:leader="none" w:pos="33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Returned $4.2 Billion to Shareholders Through a Combination of $1.2 Billion in Dividend Payments and $3.0 Billion in Share Repurchases</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Adjusted EBITDA Increased 6.5% and Adjusted EBITDA per Customer Relationship Increased 3.3%</w:t>
      </w:r>
    </w:p>
    <w:p>
      <w:pPr>
        <w:spacing w:after="0" w:line="22" w:lineRule="exact"/>
        <w:rPr>
          <w:rFonts w:ascii="Arial" w:cs="Arial" w:eastAsia="Arial" w:hAnsi="Arial"/>
          <w:sz w:val="18"/>
          <w:szCs w:val="18"/>
          <w:color w:val="auto"/>
        </w:rPr>
      </w:pPr>
    </w:p>
    <w:p>
      <w:pPr>
        <w:ind w:left="340" w:right="2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Total Customer Relationship Net Additions Were 194,000; Total Broadband Customer Net Additions Were 262,000 and Benefited From the Highest Level of Customer Retention on Record for Any Quarter</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Wireless Customer Line Net Additions Were 318,000, the Best Quarterly Result Since Launch in 2017</w:t>
      </w:r>
    </w:p>
    <w:p>
      <w:pPr>
        <w:spacing w:after="0" w:line="22"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 Adjusted EBITDA Increased 7.4% to $1.6 Billion, Including Peacock Losses</w:t>
      </w:r>
    </w:p>
    <w:p>
      <w:pPr>
        <w:spacing w:after="0" w:line="22" w:lineRule="exact"/>
        <w:rPr>
          <w:rFonts w:ascii="Arial" w:cs="Arial" w:eastAsia="Arial" w:hAnsi="Arial"/>
          <w:sz w:val="18"/>
          <w:szCs w:val="18"/>
          <w:color w:val="auto"/>
        </w:rPr>
      </w:pPr>
    </w:p>
    <w:p>
      <w:pPr>
        <w:jc w:val="both"/>
        <w:ind w:left="340" w:hanging="332"/>
        <w:spacing w:after="0" w:line="256"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Theme Parks Adjusted EBITDA Increased $512 Million to $451 Million, Reflecting Improved Results at Each Park Compared to the Prior Year Period and the Opening of Universal Beijing Resort in September 2021. Universal Orlando Generated Its Highest Adjusted EBITDA on Record for a First Quarter</w:t>
      </w:r>
    </w:p>
    <w:p>
      <w:pPr>
        <w:spacing w:after="0" w:line="12" w:lineRule="exact"/>
        <w:rPr>
          <w:rFonts w:ascii="Arial" w:cs="Arial" w:eastAsia="Arial" w:hAnsi="Arial"/>
          <w:sz w:val="18"/>
          <w:szCs w:val="18"/>
          <w:color w:val="auto"/>
        </w:rPr>
      </w:pPr>
    </w:p>
    <w:p>
      <w:pPr>
        <w:ind w:left="34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More Than 200 Million People in the U.S. Watched Either The NFL's Super Bowl or the 2022 Beijing Olympics on NBC, Peacock, and Our Other Platforms</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Sky Adjusted EBITDA Increased 71.0% to $622 Million; On a Constant Currency Basis, Adjusted EBITDA Increased 71.2%</w:t>
      </w:r>
    </w:p>
    <w:p>
      <w:pPr>
        <w:sectPr>
          <w:pgSz w:w="11900" w:h="16838" w:orient="portrait"/>
          <w:cols w:equalWidth="0" w:num="1">
            <w:col w:w="11240"/>
          </w:cols>
          <w:pgMar w:left="320" w:top="733"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first quarter of 2022 increased 14.0% to $31.0 billion.</w:t>
      </w:r>
      <w:r>
        <w:rPr>
          <w:rFonts w:ascii="Arial" w:cs="Arial" w:eastAsia="Arial" w:hAnsi="Arial"/>
          <w:sz w:val="18"/>
          <w:szCs w:val="18"/>
          <w:b w:val="1"/>
          <w:bCs w:val="1"/>
          <w:i w:val="1"/>
          <w:iCs w:val="1"/>
          <w:color w:val="auto"/>
        </w:rPr>
        <w:t xml:space="preserve"> Net Income Attributable to Comcast </w:t>
      </w:r>
      <w:r>
        <w:rPr>
          <w:rFonts w:ascii="Arial" w:cs="Arial" w:eastAsia="Arial" w:hAnsi="Arial"/>
          <w:sz w:val="18"/>
          <w:szCs w:val="18"/>
          <w:color w:val="auto"/>
        </w:rPr>
        <w:t>increased 6.6% to $3.5 billion.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Net Income </w:t>
      </w:r>
      <w:r>
        <w:rPr>
          <w:rFonts w:ascii="Arial" w:cs="Arial" w:eastAsia="Arial" w:hAnsi="Arial"/>
          <w:sz w:val="18"/>
          <w:szCs w:val="18"/>
          <w:color w:val="auto"/>
        </w:rPr>
        <w:t>increased 10.5% to $3.9 billion.</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8.8% to $9.2 billion.</w:t>
      </w: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first quarter of 2022 was $0.78, an increase of 9.9% compared to the prior year period.</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13.2% to $0.86.</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of $ 1.9 billion in the first quarter of 2022 were consistent with the prior year period. Cable Communications’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expenditures of $1.4 billion were consistent with the prior year period. NBCUniversal’s capital expenditures increased 77.8% to $306 million. Sky's capital expenditures decreased 45.8% to $147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$7.3 billion in the first quarter of 2022.</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$4.8 billion.</w:t>
      </w:r>
    </w:p>
    <w:p>
      <w:pPr>
        <w:spacing w:after="0" w:line="23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resumed its share repurchase program in May 2021 after pausing the program in 2019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accelerate the reduction of indebtedness it incurred in connection with its acquisition of Sky. During the first quarter of 2022, Comcast paid dividends totaling $1.2 billion and repurchased 62.5 million of its common shares for $3.0 billion, resulting in a total return of capital to shareholders of $4.2 billion, compared to $1.1 billion in the prior year period.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8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64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24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 w:type="dxa"/>
            <w:vAlign w:val="bottom"/>
            <w:tcBorders>
              <w:bottom w:val="single" w:sz="8" w:color="D9D9D6"/>
            </w:tcBorders>
            <w:shd w:val="clear" w:color="auto" w:fill="D9D9D6"/>
          </w:tcPr>
          <w:p>
            <w:pPr>
              <w:spacing w:after="0"/>
              <w:rPr>
                <w:sz w:val="16"/>
                <w:szCs w:val="16"/>
                <w:color w:val="auto"/>
              </w:rPr>
            </w:pPr>
          </w:p>
        </w:tc>
        <w:tc>
          <w:tcPr>
            <w:tcW w:w="7560" w:type="dxa"/>
            <w:vAlign w:val="bottom"/>
            <w:tcBorders>
              <w:bottom w:val="single" w:sz="8" w:color="D9D9D6"/>
            </w:tcBorders>
            <w:shd w:val="clear" w:color="auto" w:fill="D9D9D6"/>
          </w:tcPr>
          <w:p>
            <w:pPr>
              <w:spacing w:after="0"/>
              <w:rPr>
                <w:sz w:val="16"/>
                <w:szCs w:val="16"/>
                <w:color w:val="auto"/>
              </w:rPr>
            </w:pPr>
          </w:p>
        </w:tc>
        <w:tc>
          <w:tcPr>
            <w:tcW w:w="840" w:type="dxa"/>
            <w:vAlign w:val="bottom"/>
            <w:tcBorders>
              <w:bottom w:val="single" w:sz="8" w:color="D9D9D6"/>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20" w:type="dxa"/>
            <w:vAlign w:val="bottom"/>
            <w:tcBorders>
              <w:bottom w:val="single" w:sz="8" w:color="D9D9D6"/>
            </w:tcBorders>
            <w:shd w:val="clear" w:color="auto" w:fill="D9D9D6"/>
          </w:tcPr>
          <w:p>
            <w:pPr>
              <w:spacing w:after="0"/>
              <w:rPr>
                <w:sz w:val="16"/>
                <w:szCs w:val="16"/>
                <w:color w:val="auto"/>
              </w:rPr>
            </w:pPr>
          </w:p>
        </w:tc>
        <w:tc>
          <w:tcPr>
            <w:tcW w:w="180" w:type="dxa"/>
            <w:vAlign w:val="bottom"/>
            <w:tcBorders>
              <w:bottom w:val="single" w:sz="8" w:color="D9D9D6"/>
            </w:tcBorders>
            <w:shd w:val="clear" w:color="auto" w:fill="D9D9D6"/>
          </w:tcPr>
          <w:p>
            <w:pPr>
              <w:spacing w:after="0"/>
              <w:rPr>
                <w:sz w:val="16"/>
                <w:szCs w:val="16"/>
                <w:color w:val="auto"/>
              </w:rPr>
            </w:pPr>
          </w:p>
        </w:tc>
        <w:tc>
          <w:tcPr>
            <w:tcW w:w="72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w w:val="99"/>
              </w:rPr>
              <w:t>1st Quarter</w:t>
            </w:r>
          </w:p>
        </w:tc>
        <w:tc>
          <w:tcPr>
            <w:tcW w:w="260" w:type="dxa"/>
            <w:vAlign w:val="bottom"/>
            <w:tcBorders>
              <w:bottom w:val="single" w:sz="8" w:color="D9D9D6"/>
            </w:tcBorders>
            <w:gridSpan w:val="2"/>
            <w:shd w:val="clear" w:color="auto" w:fill="D9D9D6"/>
          </w:tcPr>
          <w:p>
            <w:pPr>
              <w:spacing w:after="0"/>
              <w:rPr>
                <w:sz w:val="16"/>
                <w:szCs w:val="16"/>
                <w:color w:val="auto"/>
              </w:rPr>
            </w:pPr>
          </w:p>
        </w:tc>
        <w:tc>
          <w:tcPr>
            <w:tcW w:w="580" w:type="dxa"/>
            <w:vAlign w:val="bottom"/>
            <w:tcBorders>
              <w:bottom w:val="single" w:sz="8" w:color="D9D9D6"/>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180" w:type="dxa"/>
            <w:vAlign w:val="bottom"/>
            <w:tcBorders>
              <w:bottom w:val="single" w:sz="8" w:color="D9D9D6"/>
            </w:tcBorders>
            <w:shd w:val="clear" w:color="auto" w:fill="D9D9D6"/>
          </w:tcPr>
          <w:p>
            <w:pPr>
              <w:spacing w:after="0"/>
              <w:rPr>
                <w:sz w:val="16"/>
                <w:szCs w:val="16"/>
                <w:color w:val="auto"/>
              </w:rPr>
            </w:pPr>
          </w:p>
        </w:tc>
        <w:tc>
          <w:tcPr>
            <w:tcW w:w="20" w:type="dxa"/>
            <w:vAlign w:val="bottom"/>
            <w:tcBorders>
              <w:bottom w:val="single" w:sz="8" w:color="D9D9D6"/>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756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220" w:type="dxa"/>
            <w:vAlign w:val="bottom"/>
            <w:gridSpan w:val="5"/>
            <w:shd w:val="clear" w:color="auto" w:fill="D9D9D6"/>
          </w:tcPr>
          <w:p>
            <w:pPr>
              <w:ind w:left="5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7560" w:type="dxa"/>
            <w:vAlign w:val="bottom"/>
            <w:tcBorders>
              <w:top w:val="single" w:sz="8" w:color="D9D9D6"/>
            </w:tcBorders>
            <w:vMerge w:val="continue"/>
            <w:shd w:val="clear" w:color="auto" w:fill="D9D9D6"/>
          </w:tcPr>
          <w:p>
            <w:pPr>
              <w:spacing w:after="0"/>
              <w:rPr>
                <w:sz w:val="17"/>
                <w:szCs w:val="17"/>
                <w:color w:val="auto"/>
              </w:rPr>
            </w:pPr>
          </w:p>
        </w:tc>
        <w:tc>
          <w:tcPr>
            <w:tcW w:w="8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80" w:type="dxa"/>
            <w:vAlign w:val="bottom"/>
            <w:tcBorders>
              <w:top w:val="single" w:sz="8" w:color="D9D9D6"/>
            </w:tcBorders>
            <w:shd w:val="clear" w:color="auto" w:fill="D9D9D6"/>
          </w:tcPr>
          <w:p>
            <w:pPr>
              <w:spacing w:after="0"/>
              <w:rPr>
                <w:sz w:val="17"/>
                <w:szCs w:val="17"/>
                <w:color w:val="auto"/>
              </w:rPr>
            </w:pPr>
          </w:p>
        </w:tc>
        <w:tc>
          <w:tcPr>
            <w:tcW w:w="640" w:type="dxa"/>
            <w:vAlign w:val="bottom"/>
            <w:tcBorders>
              <w:top w:val="single" w:sz="8" w:color="D9D9D6"/>
            </w:tcBorders>
            <w:shd w:val="clear" w:color="auto" w:fill="D9D9D6"/>
          </w:tcPr>
          <w:p>
            <w:pPr>
              <w:spacing w:after="0"/>
              <w:rPr>
                <w:sz w:val="17"/>
                <w:szCs w:val="17"/>
                <w:color w:val="auto"/>
              </w:rPr>
            </w:pPr>
          </w:p>
        </w:tc>
        <w:tc>
          <w:tcPr>
            <w:tcW w:w="80" w:type="dxa"/>
            <w:vAlign w:val="bottom"/>
            <w:tcBorders>
              <w:top w:val="single" w:sz="8" w:color="auto"/>
            </w:tcBorders>
            <w:shd w:val="clear" w:color="auto" w:fill="D9D9D6"/>
          </w:tcPr>
          <w:p>
            <w:pPr>
              <w:spacing w:after="0"/>
              <w:rPr>
                <w:sz w:val="17"/>
                <w:szCs w:val="17"/>
                <w:color w:val="auto"/>
              </w:rPr>
            </w:pPr>
          </w:p>
        </w:tc>
        <w:tc>
          <w:tcPr>
            <w:tcW w:w="24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Broadband</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$6,050</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$5,600</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8.0</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Video</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5,536</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5,623</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Voice</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786</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871</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Wireless</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677</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513</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32.0</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Business Services</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2,396</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2,167</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10.6</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671</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618</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8.6</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0" w:type="dxa"/>
            <w:vAlign w:val="bottom"/>
            <w:tcBorders>
              <w:bottom w:val="single" w:sz="8" w:color="D9D9D6"/>
            </w:tcBorders>
            <w:shd w:val="clear" w:color="auto" w:fill="D9D9D6"/>
          </w:tcPr>
          <w:p>
            <w:pPr>
              <w:spacing w:after="0"/>
              <w:rPr>
                <w:sz w:val="16"/>
                <w:szCs w:val="16"/>
                <w:color w:val="auto"/>
              </w:rPr>
            </w:pPr>
          </w:p>
        </w:tc>
        <w:tc>
          <w:tcPr>
            <w:tcW w:w="75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11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424</w:t>
            </w:r>
          </w:p>
        </w:tc>
        <w:tc>
          <w:tcPr>
            <w:tcW w:w="116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413</w:t>
            </w:r>
          </w:p>
        </w:tc>
        <w:tc>
          <w:tcPr>
            <w:tcW w:w="90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2.7</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75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$16,540</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$15,805</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4.7</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75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Adjusted EBITDA</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$7,272</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$6,830</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6.5 %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16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44.0 %</w:t>
            </w:r>
          </w:p>
        </w:tc>
        <w:tc>
          <w:tcPr>
            <w:tcW w:w="20" w:type="dxa"/>
            <w:vAlign w:val="bottom"/>
            <w:shd w:val="clear" w:color="auto" w:fill="D9D9D6"/>
          </w:tcPr>
          <w:p>
            <w:pPr>
              <w:spacing w:after="0"/>
              <w:rPr>
                <w:sz w:val="16"/>
                <w:szCs w:val="16"/>
                <w:color w:val="auto"/>
              </w:rPr>
            </w:pPr>
          </w:p>
        </w:tc>
        <w:tc>
          <w:tcPr>
            <w:tcW w:w="114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43.2 %</w:t>
            </w:r>
          </w:p>
        </w:tc>
        <w:tc>
          <w:tcPr>
            <w:tcW w:w="20" w:type="dxa"/>
            <w:vAlign w:val="bottom"/>
            <w:shd w:val="clear" w:color="auto" w:fill="D9D9D6"/>
          </w:tcPr>
          <w:p>
            <w:pPr>
              <w:spacing w:after="0"/>
              <w:rPr>
                <w:sz w:val="16"/>
                <w:szCs w:val="16"/>
                <w:color w:val="auto"/>
              </w:rPr>
            </w:pPr>
          </w:p>
        </w:tc>
        <w:tc>
          <w:tcPr>
            <w:tcW w:w="5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75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Capital Expenditures</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$1,367</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$1,370</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(0.3 %)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Percent of Cable Communications Revenue</w:t>
            </w:r>
          </w:p>
        </w:tc>
        <w:tc>
          <w:tcPr>
            <w:tcW w:w="116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8.3 %</w:t>
            </w:r>
          </w:p>
        </w:tc>
        <w:tc>
          <w:tcPr>
            <w:tcW w:w="20" w:type="dxa"/>
            <w:vAlign w:val="bottom"/>
            <w:shd w:val="clear" w:color="auto" w:fill="D9D9D6"/>
          </w:tcPr>
          <w:p>
            <w:pPr>
              <w:spacing w:after="0"/>
              <w:rPr>
                <w:sz w:val="16"/>
                <w:szCs w:val="16"/>
                <w:color w:val="auto"/>
              </w:rPr>
            </w:pPr>
          </w:p>
        </w:tc>
        <w:tc>
          <w:tcPr>
            <w:tcW w:w="114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8.7 %</w:t>
            </w:r>
          </w:p>
        </w:tc>
        <w:tc>
          <w:tcPr>
            <w:tcW w:w="20" w:type="dxa"/>
            <w:vAlign w:val="bottom"/>
            <w:shd w:val="clear" w:color="auto" w:fill="D9D9D6"/>
          </w:tcPr>
          <w:p>
            <w:pPr>
              <w:spacing w:after="0"/>
              <w:rPr>
                <w:sz w:val="16"/>
                <w:szCs w:val="16"/>
                <w:color w:val="auto"/>
              </w:rPr>
            </w:pPr>
          </w:p>
        </w:tc>
        <w:tc>
          <w:tcPr>
            <w:tcW w:w="5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20" w:type="dxa"/>
            <w:vAlign w:val="bottom"/>
            <w:shd w:val="clear" w:color="auto" w:fill="D9D9D6"/>
          </w:tcPr>
          <w:p>
            <w:pPr>
              <w:spacing w:after="0"/>
              <w:rPr>
                <w:sz w:val="8"/>
                <w:szCs w:val="8"/>
                <w:color w:val="auto"/>
              </w:rPr>
            </w:pPr>
          </w:p>
        </w:tc>
        <w:tc>
          <w:tcPr>
            <w:tcW w:w="7560" w:type="dxa"/>
            <w:vAlign w:val="bottom"/>
            <w:shd w:val="clear" w:color="auto" w:fill="D9D9D6"/>
          </w:tcPr>
          <w:p>
            <w:pPr>
              <w:spacing w:after="0"/>
              <w:rPr>
                <w:sz w:val="8"/>
                <w:szCs w:val="8"/>
                <w:color w:val="auto"/>
              </w:rPr>
            </w:pPr>
          </w:p>
        </w:tc>
        <w:tc>
          <w:tcPr>
            <w:tcW w:w="8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640" w:type="dxa"/>
            <w:vAlign w:val="bottom"/>
            <w:shd w:val="clear" w:color="auto" w:fill="D9D9D6"/>
          </w:tcPr>
          <w:p>
            <w:pPr>
              <w:spacing w:after="0"/>
              <w:rPr>
                <w:sz w:val="8"/>
                <w:szCs w:val="8"/>
                <w:color w:val="auto"/>
              </w:rPr>
            </w:pPr>
          </w:p>
        </w:tc>
        <w:tc>
          <w:tcPr>
            <w:tcW w:w="80" w:type="dxa"/>
            <w:vAlign w:val="bottom"/>
            <w:shd w:val="clear" w:color="auto" w:fill="D9D9D6"/>
          </w:tcPr>
          <w:p>
            <w:pPr>
              <w:spacing w:after="0"/>
              <w:rPr>
                <w:sz w:val="8"/>
                <w:szCs w:val="8"/>
                <w:color w:val="auto"/>
              </w:rPr>
            </w:pPr>
          </w:p>
        </w:tc>
        <w:tc>
          <w:tcPr>
            <w:tcW w:w="24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8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4.7% to $16.5 billion in the first quarter of 2022, driven by increases in broadband,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wireless, advertising, and other revenue, partially offset by decreases in video and voice revenue. Broadband revenue increased 8.0% due to an increase in the number of residential broadband customers and an increase in average rates. Business services revenue increased 10.6% due to an increase in average rates, an increase in the number of customers receiving our services, and from a recent acquisition. Wireless revenue increased 32.0%, primarily due to an increase in the number of customer lines. Advertising revenue increased 8.6%, primarily driven by increases in political advertising and advertising at our Xumo streaming service, as well as at our advanced advertising businesses. Excluding political advertising revenue, advertising revenue increased 6.0%. Other revenue increased 2.7%, primarily reflecting increases in revenue from licensing of our technology platforms and from our security and automation services. Video revenue decreased 1.5%, reflecting a decrease in the number of residential video customers, partially offset by an increase in average rates. Voice revenue decreased 9.8%, primarily reflecting a decrease in the number of residential voice customers.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674" w:right="339" w:bottom="1440" w:gutter="0" w:footer="0" w:header="0"/>
        </w:sectPr>
      </w:pPr>
    </w:p>
    <w:bookmarkStart w:id="5" w:name="page6"/>
    <w:bookmarkEnd w:id="5"/>
    <w:p>
      <w:pPr>
        <w:jc w:val="both"/>
        <w:spacing w:after="0" w:line="233"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194,000 to 34.4 million in the first quarter of 2022.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185,000 and business customer relationships increased by 9,000. Total broadband customer net additions were 262,000, total video customer net losses were 512,000, and total voice customer net losses were 282,000. In addition, Cable Communications added 318,000 wireless lines in the quarter.</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0" w:type="dxa"/>
            <w:vAlign w:val="bottom"/>
            <w:shd w:val="clear" w:color="auto" w:fill="D9D9D6"/>
          </w:tcPr>
          <w:p>
            <w:pPr>
              <w:spacing w:after="0"/>
              <w:rPr>
                <w:sz w:val="16"/>
                <w:szCs w:val="16"/>
                <w:color w:val="auto"/>
              </w:rPr>
            </w:pPr>
          </w:p>
        </w:tc>
        <w:tc>
          <w:tcPr>
            <w:tcW w:w="680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44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 w:type="dxa"/>
            <w:vAlign w:val="bottom"/>
            <w:shd w:val="clear" w:color="auto" w:fill="D9D9D6"/>
          </w:tcPr>
          <w:p>
            <w:pPr>
              <w:spacing w:after="0"/>
              <w:rPr>
                <w:sz w:val="16"/>
                <w:szCs w:val="16"/>
                <w:color w:val="auto"/>
              </w:rPr>
            </w:pPr>
          </w:p>
        </w:tc>
        <w:tc>
          <w:tcPr>
            <w:tcW w:w="680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88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Net Additions</w:t>
            </w:r>
          </w:p>
        </w:tc>
        <w:tc>
          <w:tcPr>
            <w:tcW w:w="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0" w:type="dxa"/>
            <w:vAlign w:val="bottom"/>
            <w:tcBorders>
              <w:top w:val="single" w:sz="8" w:color="D9D9D6"/>
            </w:tcBorders>
            <w:shd w:val="clear" w:color="auto" w:fill="D9D9D6"/>
          </w:tcPr>
          <w:p>
            <w:pPr>
              <w:spacing w:after="0"/>
              <w:rPr>
                <w:sz w:val="14"/>
                <w:szCs w:val="14"/>
                <w:color w:val="auto"/>
              </w:rPr>
            </w:pPr>
          </w:p>
        </w:tc>
        <w:tc>
          <w:tcPr>
            <w:tcW w:w="6800" w:type="dxa"/>
            <w:vAlign w:val="bottom"/>
            <w:tcBorders>
              <w:top w:val="single" w:sz="8" w:color="D9D9D6"/>
            </w:tcBorders>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880" w:type="dxa"/>
            <w:vAlign w:val="bottom"/>
            <w:tcBorders>
              <w:top w:val="single" w:sz="8" w:color="D9D9D6"/>
            </w:tcBorders>
            <w:gridSpan w:val="3"/>
            <w:shd w:val="clear" w:color="auto" w:fill="D9D9D6"/>
          </w:tcPr>
          <w:p>
            <w:pPr>
              <w:ind w:left="520"/>
              <w:spacing w:after="0"/>
              <w:rPr>
                <w:sz w:val="20"/>
                <w:szCs w:val="20"/>
                <w:color w:val="auto"/>
              </w:rPr>
            </w:pPr>
            <w:r>
              <w:rPr>
                <w:rFonts w:ascii="Arial" w:cs="Arial" w:eastAsia="Arial" w:hAnsi="Arial"/>
                <w:sz w:val="14"/>
                <w:szCs w:val="14"/>
                <w:color w:val="auto"/>
                <w:w w:val="99"/>
              </w:rPr>
              <w:t>1Q22</w:t>
            </w:r>
          </w:p>
        </w:tc>
        <w:tc>
          <w:tcPr>
            <w:tcW w:w="520" w:type="dxa"/>
            <w:vAlign w:val="bottom"/>
            <w:tcBorders>
              <w:top w:val="single" w:sz="8" w:color="D9D9D6"/>
            </w:tcBorders>
            <w:shd w:val="clear" w:color="auto" w:fill="D9D9D6"/>
          </w:tcPr>
          <w:p>
            <w:pPr>
              <w:spacing w:after="0"/>
              <w:rPr>
                <w:sz w:val="14"/>
                <w:szCs w:val="14"/>
                <w:color w:val="auto"/>
              </w:rPr>
            </w:pPr>
          </w:p>
        </w:tc>
        <w:tc>
          <w:tcPr>
            <w:tcW w:w="360" w:type="dxa"/>
            <w:vAlign w:val="bottom"/>
            <w:tcBorders>
              <w:top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w w:val="99"/>
              </w:rPr>
              <w:t>1Q21</w:t>
            </w:r>
          </w:p>
        </w:tc>
        <w:tc>
          <w:tcPr>
            <w:tcW w:w="960" w:type="dxa"/>
            <w:vAlign w:val="bottom"/>
            <w:tcBorders>
              <w:top w:val="single" w:sz="8" w:color="D9D9D6"/>
            </w:tcBorders>
            <w:gridSpan w:val="2"/>
            <w:shd w:val="clear" w:color="auto" w:fill="D9D9D6"/>
          </w:tcPr>
          <w:p>
            <w:pPr>
              <w:spacing w:after="0"/>
              <w:rPr>
                <w:sz w:val="14"/>
                <w:szCs w:val="14"/>
                <w:color w:val="auto"/>
              </w:rPr>
            </w:pPr>
          </w:p>
        </w:tc>
        <w:tc>
          <w:tcPr>
            <w:tcW w:w="840" w:type="dxa"/>
            <w:vAlign w:val="bottom"/>
            <w:tcBorders>
              <w:top w:val="single" w:sz="8" w:color="auto"/>
            </w:tcBorders>
            <w:gridSpan w:val="3"/>
            <w:shd w:val="clear" w:color="auto" w:fill="D9D9D6"/>
          </w:tcPr>
          <w:p>
            <w:pPr>
              <w:jc w:val="right"/>
              <w:ind w:right="440"/>
              <w:spacing w:after="0"/>
              <w:rPr>
                <w:sz w:val="20"/>
                <w:szCs w:val="20"/>
                <w:color w:val="auto"/>
              </w:rPr>
            </w:pPr>
            <w:r>
              <w:rPr>
                <w:rFonts w:ascii="Arial" w:cs="Arial" w:eastAsia="Arial" w:hAnsi="Arial"/>
                <w:sz w:val="14"/>
                <w:szCs w:val="14"/>
                <w:color w:val="auto"/>
              </w:rPr>
              <w:t>2022</w:t>
            </w:r>
          </w:p>
        </w:tc>
        <w:tc>
          <w:tcPr>
            <w:tcW w:w="40" w:type="dxa"/>
            <w:vAlign w:val="bottom"/>
            <w:tcBorders>
              <w:top w:val="single" w:sz="8" w:color="D9D9D6"/>
            </w:tcBorders>
            <w:shd w:val="clear" w:color="auto" w:fill="D9D9D6"/>
          </w:tcPr>
          <w:p>
            <w:pPr>
              <w:spacing w:after="0"/>
              <w:rPr>
                <w:sz w:val="14"/>
                <w:szCs w:val="14"/>
                <w:color w:val="auto"/>
              </w:rPr>
            </w:pPr>
          </w:p>
        </w:tc>
        <w:tc>
          <w:tcPr>
            <w:tcW w:w="420" w:type="dxa"/>
            <w:vAlign w:val="bottom"/>
            <w:tcBorders>
              <w:top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320" w:type="dxa"/>
            <w:vAlign w:val="bottom"/>
            <w:tcBorders>
              <w:top w:val="single" w:sz="8" w:color="D9D9D6"/>
            </w:tcBorders>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 w:type="dxa"/>
            <w:vAlign w:val="bottom"/>
            <w:tcBorders>
              <w:top w:val="single" w:sz="8" w:color="D9D9D6"/>
            </w:tcBorders>
            <w:shd w:val="clear" w:color="auto" w:fill="D9D9D6"/>
          </w:tcPr>
          <w:p>
            <w:pPr>
              <w:spacing w:after="0"/>
              <w:rPr>
                <w:sz w:val="17"/>
                <w:szCs w:val="17"/>
                <w:color w:val="auto"/>
              </w:rPr>
            </w:pPr>
          </w:p>
        </w:tc>
        <w:tc>
          <w:tcPr>
            <w:tcW w:w="6800" w:type="dxa"/>
            <w:vAlign w:val="bottom"/>
            <w:tcBorders>
              <w:top w:val="single" w:sz="8" w:color="D9D9D6"/>
            </w:tcBorders>
            <w:vMerge w:val="continue"/>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4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4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D9D9D6"/>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440" w:type="dxa"/>
            <w:vAlign w:val="bottom"/>
            <w:tcBorders>
              <w:top w:val="single" w:sz="8" w:color="D9D9D6"/>
            </w:tcBorders>
            <w:shd w:val="clear" w:color="auto" w:fill="D9D9D6"/>
          </w:tcPr>
          <w:p>
            <w:pPr>
              <w:spacing w:after="0"/>
              <w:rPr>
                <w:sz w:val="17"/>
                <w:szCs w:val="17"/>
                <w:color w:val="auto"/>
              </w:rPr>
            </w:pPr>
          </w:p>
        </w:tc>
        <w:tc>
          <w:tcPr>
            <w:tcW w:w="40" w:type="dxa"/>
            <w:vAlign w:val="bottom"/>
            <w:tcBorders>
              <w:top w:val="single" w:sz="8" w:color="D9D9D6"/>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68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 Relationships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31,913</w:t>
            </w:r>
          </w:p>
        </w:tc>
        <w:tc>
          <w:tcPr>
            <w:tcW w:w="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31,062</w:t>
            </w:r>
          </w:p>
        </w:tc>
        <w:tc>
          <w:tcPr>
            <w:tcW w:w="20" w:type="dxa"/>
            <w:vAlign w:val="bottom"/>
            <w:shd w:val="clear" w:color="auto" w:fill="D9D9D6"/>
          </w:tcPr>
          <w:p>
            <w:pPr>
              <w:spacing w:after="0"/>
              <w:rPr>
                <w:sz w:val="16"/>
                <w:szCs w:val="16"/>
                <w:color w:val="auto"/>
              </w:rPr>
            </w:pPr>
          </w:p>
        </w:tc>
        <w:tc>
          <w:tcPr>
            <w:tcW w:w="13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185</w:t>
            </w:r>
          </w:p>
        </w:tc>
        <w:tc>
          <w:tcPr>
            <w:tcW w:w="44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4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370</w:t>
            </w:r>
          </w:p>
        </w:tc>
        <w:tc>
          <w:tcPr>
            <w:tcW w:w="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Borders>
              <w:bottom w:val="single" w:sz="8" w:color="D9D9D6"/>
            </w:tcBorders>
            <w:shd w:val="clear" w:color="auto" w:fill="D9D9D6"/>
          </w:tcPr>
          <w:p>
            <w:pPr>
              <w:spacing w:after="0"/>
              <w:rPr>
                <w:sz w:val="16"/>
                <w:szCs w:val="16"/>
                <w:color w:val="auto"/>
              </w:rPr>
            </w:pPr>
          </w:p>
        </w:tc>
        <w:tc>
          <w:tcPr>
            <w:tcW w:w="68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Customer Relationships</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2,498</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2,437</w:t>
            </w:r>
          </w:p>
        </w:tc>
        <w:tc>
          <w:tcPr>
            <w:tcW w:w="20" w:type="dxa"/>
            <w:vAlign w:val="bottom"/>
            <w:tcBorders>
              <w:bottom w:val="single" w:sz="8" w:color="auto"/>
            </w:tcBorders>
            <w:shd w:val="clear" w:color="auto" w:fill="D9D9D6"/>
          </w:tcPr>
          <w:p>
            <w:pPr>
              <w:spacing w:after="0"/>
              <w:rPr>
                <w:sz w:val="16"/>
                <w:szCs w:val="16"/>
                <w:color w:val="auto"/>
              </w:rPr>
            </w:pPr>
          </w:p>
        </w:tc>
        <w:tc>
          <w:tcPr>
            <w:tcW w:w="5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9</w:t>
            </w:r>
          </w:p>
        </w:tc>
        <w:tc>
          <w:tcPr>
            <w:tcW w:w="440" w:type="dxa"/>
            <w:vAlign w:val="bottom"/>
            <w:tcBorders>
              <w:bottom w:val="single" w:sz="8" w:color="auto"/>
            </w:tcBorders>
            <w:shd w:val="clear" w:color="auto" w:fill="D9D9D6"/>
          </w:tcPr>
          <w:p>
            <w:pPr>
              <w:spacing w:after="0"/>
              <w:rPr>
                <w:sz w:val="16"/>
                <w:szCs w:val="16"/>
                <w:color w:val="auto"/>
              </w:rPr>
            </w:pPr>
          </w:p>
        </w:tc>
        <w:tc>
          <w:tcPr>
            <w:tcW w:w="40" w:type="dxa"/>
            <w:vAlign w:val="bottom"/>
            <w:tcBorders>
              <w:bottom w:val="single" w:sz="8" w:color="auto"/>
            </w:tcBorders>
            <w:shd w:val="clear" w:color="auto" w:fill="D9D9D6"/>
          </w:tcPr>
          <w:p>
            <w:pPr>
              <w:spacing w:after="0"/>
              <w:rPr>
                <w:sz w:val="16"/>
                <w:szCs w:val="16"/>
                <w:color w:val="auto"/>
              </w:rPr>
            </w:pPr>
          </w:p>
        </w:tc>
        <w:tc>
          <w:tcPr>
            <w:tcW w:w="40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11</w:t>
            </w:r>
          </w:p>
        </w:tc>
        <w:tc>
          <w:tcPr>
            <w:tcW w:w="20" w:type="dxa"/>
            <w:vAlign w:val="bottom"/>
            <w:tcBorders>
              <w:bottom w:val="single" w:sz="8" w:color="auto"/>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shd w:val="clear" w:color="auto" w:fill="D9D9D6"/>
          </w:tcPr>
          <w:p>
            <w:pPr>
              <w:spacing w:after="0"/>
              <w:rPr>
                <w:sz w:val="15"/>
                <w:szCs w:val="15"/>
                <w:color w:val="auto"/>
              </w:rPr>
            </w:pPr>
          </w:p>
        </w:tc>
        <w:tc>
          <w:tcPr>
            <w:tcW w:w="68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Customer Relationships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34,412</w:t>
            </w:r>
          </w:p>
        </w:tc>
        <w:tc>
          <w:tcPr>
            <w:tcW w:w="2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33,499</w:t>
            </w:r>
          </w:p>
        </w:tc>
        <w:tc>
          <w:tcPr>
            <w:tcW w:w="20" w:type="dxa"/>
            <w:vAlign w:val="bottom"/>
            <w:shd w:val="clear" w:color="auto" w:fill="D9D9D6"/>
          </w:tcPr>
          <w:p>
            <w:pPr>
              <w:spacing w:after="0"/>
              <w:rPr>
                <w:sz w:val="15"/>
                <w:szCs w:val="15"/>
                <w:color w:val="auto"/>
              </w:rPr>
            </w:pPr>
          </w:p>
        </w:tc>
        <w:tc>
          <w:tcPr>
            <w:tcW w:w="13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194</w:t>
            </w:r>
          </w:p>
        </w:tc>
        <w:tc>
          <w:tcPr>
            <w:tcW w:w="440" w:type="dxa"/>
            <w:vAlign w:val="bottom"/>
            <w:shd w:val="clear" w:color="auto" w:fill="D9D9D6"/>
          </w:tcPr>
          <w:p>
            <w:pPr>
              <w:spacing w:after="0"/>
              <w:rPr>
                <w:sz w:val="15"/>
                <w:szCs w:val="15"/>
                <w:color w:val="auto"/>
              </w:rPr>
            </w:pPr>
          </w:p>
        </w:tc>
        <w:tc>
          <w:tcPr>
            <w:tcW w:w="40" w:type="dxa"/>
            <w:vAlign w:val="bottom"/>
            <w:shd w:val="clear" w:color="auto" w:fill="D9D9D6"/>
          </w:tcPr>
          <w:p>
            <w:pPr>
              <w:spacing w:after="0"/>
              <w:rPr>
                <w:sz w:val="15"/>
                <w:szCs w:val="15"/>
                <w:color w:val="auto"/>
              </w:rPr>
            </w:pPr>
          </w:p>
        </w:tc>
        <w:tc>
          <w:tcPr>
            <w:tcW w:w="4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380</w:t>
            </w:r>
          </w:p>
        </w:tc>
        <w:tc>
          <w:tcPr>
            <w:tcW w:w="2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00" w:type="dxa"/>
            <w:vAlign w:val="bottom"/>
            <w:shd w:val="clear" w:color="auto" w:fill="D9D9D6"/>
          </w:tcPr>
          <w:p>
            <w:pPr>
              <w:spacing w:after="0"/>
              <w:rPr>
                <w:sz w:val="24"/>
                <w:szCs w:val="24"/>
                <w:color w:val="auto"/>
              </w:rPr>
            </w:pPr>
          </w:p>
        </w:tc>
        <w:tc>
          <w:tcPr>
            <w:tcW w:w="68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Residential Customer Relationships Mix</w:t>
            </w:r>
          </w:p>
        </w:tc>
        <w:tc>
          <w:tcPr>
            <w:tcW w:w="52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44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68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One Product Residential Customers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14,816</w:t>
            </w:r>
          </w:p>
        </w:tc>
        <w:tc>
          <w:tcPr>
            <w:tcW w:w="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12,997</w:t>
            </w:r>
          </w:p>
        </w:tc>
        <w:tc>
          <w:tcPr>
            <w:tcW w:w="2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486</w:t>
            </w:r>
          </w:p>
        </w:tc>
        <w:tc>
          <w:tcPr>
            <w:tcW w:w="44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4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589</w:t>
            </w:r>
          </w:p>
        </w:tc>
        <w:tc>
          <w:tcPr>
            <w:tcW w:w="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68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Two Product Residential Customers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8,364</w:t>
            </w:r>
          </w:p>
        </w:tc>
        <w:tc>
          <w:tcPr>
            <w:tcW w:w="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8,645</w:t>
            </w:r>
          </w:p>
        </w:tc>
        <w:tc>
          <w:tcPr>
            <w:tcW w:w="2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(43)</w:t>
            </w:r>
          </w:p>
        </w:tc>
        <w:tc>
          <w:tcPr>
            <w:tcW w:w="44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40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(89)</w:t>
            </w:r>
          </w:p>
        </w:tc>
        <w:tc>
          <w:tcPr>
            <w:tcW w:w="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68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Three or More Product Residential Customers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8,733</w:t>
            </w:r>
          </w:p>
        </w:tc>
        <w:tc>
          <w:tcPr>
            <w:tcW w:w="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9,420</w:t>
            </w:r>
          </w:p>
        </w:tc>
        <w:tc>
          <w:tcPr>
            <w:tcW w:w="2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(259)</w:t>
            </w:r>
          </w:p>
        </w:tc>
        <w:tc>
          <w:tcPr>
            <w:tcW w:w="44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40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(130)</w:t>
            </w:r>
          </w:p>
        </w:tc>
        <w:tc>
          <w:tcPr>
            <w:tcW w:w="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00" w:type="dxa"/>
            <w:vAlign w:val="bottom"/>
            <w:shd w:val="clear" w:color="auto" w:fill="D9D9D6"/>
          </w:tcPr>
          <w:p>
            <w:pPr>
              <w:spacing w:after="0"/>
              <w:rPr>
                <w:sz w:val="24"/>
                <w:szCs w:val="24"/>
                <w:color w:val="auto"/>
              </w:rPr>
            </w:pPr>
          </w:p>
        </w:tc>
        <w:tc>
          <w:tcPr>
            <w:tcW w:w="68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Broadband Customers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29,836</w:t>
            </w:r>
          </w:p>
        </w:tc>
        <w:tc>
          <w:tcPr>
            <w:tcW w:w="2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28,774</w:t>
            </w: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253</w:t>
            </w:r>
          </w:p>
        </w:tc>
        <w:tc>
          <w:tcPr>
            <w:tcW w:w="44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4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448</w:t>
            </w:r>
          </w:p>
        </w:tc>
        <w:tc>
          <w:tcPr>
            <w:tcW w:w="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tcBorders>
              <w:bottom w:val="single" w:sz="8" w:color="D9D9D6"/>
            </w:tcBorders>
            <w:shd w:val="clear" w:color="auto" w:fill="D9D9D6"/>
          </w:tcPr>
          <w:p>
            <w:pPr>
              <w:spacing w:after="0"/>
              <w:rPr>
                <w:sz w:val="16"/>
                <w:szCs w:val="16"/>
                <w:color w:val="auto"/>
              </w:rPr>
            </w:pPr>
          </w:p>
        </w:tc>
        <w:tc>
          <w:tcPr>
            <w:tcW w:w="68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Broadband Customers</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2,327</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2,261</w:t>
            </w:r>
          </w:p>
        </w:tc>
        <w:tc>
          <w:tcPr>
            <w:tcW w:w="20" w:type="dxa"/>
            <w:vAlign w:val="bottom"/>
            <w:tcBorders>
              <w:bottom w:val="single" w:sz="8" w:color="auto"/>
            </w:tcBorders>
            <w:shd w:val="clear" w:color="auto" w:fill="D9D9D6"/>
          </w:tcPr>
          <w:p>
            <w:pPr>
              <w:spacing w:after="0"/>
              <w:rPr>
                <w:sz w:val="16"/>
                <w:szCs w:val="16"/>
                <w:color w:val="auto"/>
              </w:rPr>
            </w:pPr>
          </w:p>
        </w:tc>
        <w:tc>
          <w:tcPr>
            <w:tcW w:w="5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9</w:t>
            </w:r>
          </w:p>
        </w:tc>
        <w:tc>
          <w:tcPr>
            <w:tcW w:w="440" w:type="dxa"/>
            <w:vAlign w:val="bottom"/>
            <w:tcBorders>
              <w:bottom w:val="single" w:sz="8" w:color="auto"/>
            </w:tcBorders>
            <w:shd w:val="clear" w:color="auto" w:fill="D9D9D6"/>
          </w:tcPr>
          <w:p>
            <w:pPr>
              <w:spacing w:after="0"/>
              <w:rPr>
                <w:sz w:val="16"/>
                <w:szCs w:val="16"/>
                <w:color w:val="auto"/>
              </w:rPr>
            </w:pPr>
          </w:p>
        </w:tc>
        <w:tc>
          <w:tcPr>
            <w:tcW w:w="40" w:type="dxa"/>
            <w:vAlign w:val="bottom"/>
            <w:tcBorders>
              <w:bottom w:val="single" w:sz="8" w:color="auto"/>
            </w:tcBorders>
            <w:shd w:val="clear" w:color="auto" w:fill="D9D9D6"/>
          </w:tcPr>
          <w:p>
            <w:pPr>
              <w:spacing w:after="0"/>
              <w:rPr>
                <w:sz w:val="16"/>
                <w:szCs w:val="16"/>
                <w:color w:val="auto"/>
              </w:rPr>
            </w:pPr>
          </w:p>
        </w:tc>
        <w:tc>
          <w:tcPr>
            <w:tcW w:w="40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auto"/>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shd w:val="clear" w:color="auto" w:fill="D9D9D6"/>
          </w:tcPr>
          <w:p>
            <w:pPr>
              <w:spacing w:after="0"/>
              <w:rPr>
                <w:sz w:val="15"/>
                <w:szCs w:val="15"/>
                <w:color w:val="auto"/>
              </w:rPr>
            </w:pPr>
          </w:p>
        </w:tc>
        <w:tc>
          <w:tcPr>
            <w:tcW w:w="68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Broadband Customers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32,163</w:t>
            </w:r>
          </w:p>
        </w:tc>
        <w:tc>
          <w:tcPr>
            <w:tcW w:w="2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31,034</w:t>
            </w:r>
          </w:p>
        </w:tc>
        <w:tc>
          <w:tcPr>
            <w:tcW w:w="20" w:type="dxa"/>
            <w:vAlign w:val="bottom"/>
            <w:shd w:val="clear" w:color="auto" w:fill="D9D9D6"/>
          </w:tcPr>
          <w:p>
            <w:pPr>
              <w:spacing w:after="0"/>
              <w:rPr>
                <w:sz w:val="15"/>
                <w:szCs w:val="15"/>
                <w:color w:val="auto"/>
              </w:rPr>
            </w:pPr>
          </w:p>
        </w:tc>
        <w:tc>
          <w:tcPr>
            <w:tcW w:w="50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262</w:t>
            </w:r>
          </w:p>
        </w:tc>
        <w:tc>
          <w:tcPr>
            <w:tcW w:w="440" w:type="dxa"/>
            <w:vAlign w:val="bottom"/>
            <w:shd w:val="clear" w:color="auto" w:fill="D9D9D6"/>
          </w:tcPr>
          <w:p>
            <w:pPr>
              <w:spacing w:after="0"/>
              <w:rPr>
                <w:sz w:val="15"/>
                <w:szCs w:val="15"/>
                <w:color w:val="auto"/>
              </w:rPr>
            </w:pPr>
          </w:p>
        </w:tc>
        <w:tc>
          <w:tcPr>
            <w:tcW w:w="40" w:type="dxa"/>
            <w:vAlign w:val="bottom"/>
            <w:shd w:val="clear" w:color="auto" w:fill="D9D9D6"/>
          </w:tcPr>
          <w:p>
            <w:pPr>
              <w:spacing w:after="0"/>
              <w:rPr>
                <w:sz w:val="15"/>
                <w:szCs w:val="15"/>
                <w:color w:val="auto"/>
              </w:rPr>
            </w:pPr>
          </w:p>
        </w:tc>
        <w:tc>
          <w:tcPr>
            <w:tcW w:w="4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461</w:t>
            </w:r>
          </w:p>
        </w:tc>
        <w:tc>
          <w:tcPr>
            <w:tcW w:w="2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00" w:type="dxa"/>
            <w:vAlign w:val="bottom"/>
            <w:shd w:val="clear" w:color="auto" w:fill="D9D9D6"/>
          </w:tcPr>
          <w:p>
            <w:pPr>
              <w:spacing w:after="0"/>
              <w:rPr>
                <w:sz w:val="24"/>
                <w:szCs w:val="24"/>
                <w:color w:val="auto"/>
              </w:rPr>
            </w:pPr>
          </w:p>
        </w:tc>
        <w:tc>
          <w:tcPr>
            <w:tcW w:w="68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Video Customers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17,011</w:t>
            </w:r>
          </w:p>
        </w:tc>
        <w:tc>
          <w:tcPr>
            <w:tcW w:w="2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18,590</w:t>
            </w: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(484)</w:t>
            </w:r>
          </w:p>
        </w:tc>
        <w:tc>
          <w:tcPr>
            <w:tcW w:w="44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40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(404)</w:t>
            </w:r>
          </w:p>
        </w:tc>
        <w:tc>
          <w:tcPr>
            <w:tcW w:w="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tcBorders>
              <w:bottom w:val="single" w:sz="8" w:color="D9D9D6"/>
            </w:tcBorders>
            <w:shd w:val="clear" w:color="auto" w:fill="D9D9D6"/>
          </w:tcPr>
          <w:p>
            <w:pPr>
              <w:spacing w:after="0"/>
              <w:rPr>
                <w:sz w:val="16"/>
                <w:szCs w:val="16"/>
                <w:color w:val="auto"/>
              </w:rPr>
            </w:pPr>
          </w:p>
        </w:tc>
        <w:tc>
          <w:tcPr>
            <w:tcW w:w="68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Video Customers</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654</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765</w:t>
            </w:r>
          </w:p>
        </w:tc>
        <w:tc>
          <w:tcPr>
            <w:tcW w:w="20" w:type="dxa"/>
            <w:vAlign w:val="bottom"/>
            <w:tcBorders>
              <w:bottom w:val="single" w:sz="8" w:color="auto"/>
            </w:tcBorders>
            <w:shd w:val="clear" w:color="auto" w:fill="D9D9D6"/>
          </w:tcPr>
          <w:p>
            <w:pPr>
              <w:spacing w:after="0"/>
              <w:rPr>
                <w:sz w:val="16"/>
                <w:szCs w:val="16"/>
                <w:color w:val="auto"/>
              </w:rPr>
            </w:pPr>
          </w:p>
        </w:tc>
        <w:tc>
          <w:tcPr>
            <w:tcW w:w="5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(27)</w:t>
            </w:r>
          </w:p>
        </w:tc>
        <w:tc>
          <w:tcPr>
            <w:tcW w:w="440" w:type="dxa"/>
            <w:vAlign w:val="bottom"/>
            <w:tcBorders>
              <w:bottom w:val="single" w:sz="8" w:color="auto"/>
            </w:tcBorders>
            <w:shd w:val="clear" w:color="auto" w:fill="D9D9D6"/>
          </w:tcPr>
          <w:p>
            <w:pPr>
              <w:spacing w:after="0"/>
              <w:rPr>
                <w:sz w:val="16"/>
                <w:szCs w:val="16"/>
                <w:color w:val="auto"/>
              </w:rPr>
            </w:pPr>
          </w:p>
        </w:tc>
        <w:tc>
          <w:tcPr>
            <w:tcW w:w="40" w:type="dxa"/>
            <w:vAlign w:val="bottom"/>
            <w:tcBorders>
              <w:bottom w:val="single" w:sz="8" w:color="auto"/>
            </w:tcBorders>
            <w:shd w:val="clear" w:color="auto" w:fill="D9D9D6"/>
          </w:tcPr>
          <w:p>
            <w:pPr>
              <w:spacing w:after="0"/>
              <w:rPr>
                <w:sz w:val="16"/>
                <w:szCs w:val="16"/>
                <w:color w:val="auto"/>
              </w:rPr>
            </w:pPr>
          </w:p>
        </w:tc>
        <w:tc>
          <w:tcPr>
            <w:tcW w:w="40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(87)</w:t>
            </w:r>
          </w:p>
        </w:tc>
        <w:tc>
          <w:tcPr>
            <w:tcW w:w="20" w:type="dxa"/>
            <w:vAlign w:val="bottom"/>
            <w:tcBorders>
              <w:bottom w:val="single" w:sz="8" w:color="auto"/>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shd w:val="clear" w:color="auto" w:fill="D9D9D6"/>
          </w:tcPr>
          <w:p>
            <w:pPr>
              <w:spacing w:after="0"/>
              <w:rPr>
                <w:sz w:val="15"/>
                <w:szCs w:val="15"/>
                <w:color w:val="auto"/>
              </w:rPr>
            </w:pPr>
          </w:p>
        </w:tc>
        <w:tc>
          <w:tcPr>
            <w:tcW w:w="68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Video Customers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17,664</w:t>
            </w:r>
          </w:p>
        </w:tc>
        <w:tc>
          <w:tcPr>
            <w:tcW w:w="2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19,355</w:t>
            </w:r>
          </w:p>
        </w:tc>
        <w:tc>
          <w:tcPr>
            <w:tcW w:w="20" w:type="dxa"/>
            <w:vAlign w:val="bottom"/>
            <w:shd w:val="clear" w:color="auto" w:fill="D9D9D6"/>
          </w:tcPr>
          <w:p>
            <w:pPr>
              <w:spacing w:after="0"/>
              <w:rPr>
                <w:sz w:val="15"/>
                <w:szCs w:val="15"/>
                <w:color w:val="auto"/>
              </w:rPr>
            </w:pPr>
          </w:p>
        </w:tc>
        <w:tc>
          <w:tcPr>
            <w:tcW w:w="50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(512)</w:t>
            </w:r>
          </w:p>
        </w:tc>
        <w:tc>
          <w:tcPr>
            <w:tcW w:w="440" w:type="dxa"/>
            <w:vAlign w:val="bottom"/>
            <w:shd w:val="clear" w:color="auto" w:fill="D9D9D6"/>
          </w:tcPr>
          <w:p>
            <w:pPr>
              <w:spacing w:after="0"/>
              <w:rPr>
                <w:sz w:val="15"/>
                <w:szCs w:val="15"/>
                <w:color w:val="auto"/>
              </w:rPr>
            </w:pPr>
          </w:p>
        </w:tc>
        <w:tc>
          <w:tcPr>
            <w:tcW w:w="40" w:type="dxa"/>
            <w:vAlign w:val="bottom"/>
            <w:shd w:val="clear" w:color="auto" w:fill="D9D9D6"/>
          </w:tcPr>
          <w:p>
            <w:pPr>
              <w:spacing w:after="0"/>
              <w:rPr>
                <w:sz w:val="15"/>
                <w:szCs w:val="15"/>
                <w:color w:val="auto"/>
              </w:rPr>
            </w:pPr>
          </w:p>
        </w:tc>
        <w:tc>
          <w:tcPr>
            <w:tcW w:w="40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(491)</w:t>
            </w:r>
          </w:p>
        </w:tc>
        <w:tc>
          <w:tcPr>
            <w:tcW w:w="2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00" w:type="dxa"/>
            <w:vAlign w:val="bottom"/>
            <w:shd w:val="clear" w:color="auto" w:fill="D9D9D6"/>
          </w:tcPr>
          <w:p>
            <w:pPr>
              <w:spacing w:after="0"/>
              <w:rPr>
                <w:sz w:val="24"/>
                <w:szCs w:val="24"/>
                <w:color w:val="auto"/>
              </w:rPr>
            </w:pPr>
          </w:p>
        </w:tc>
        <w:tc>
          <w:tcPr>
            <w:tcW w:w="68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Voice Customers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8,781</w:t>
            </w:r>
          </w:p>
        </w:tc>
        <w:tc>
          <w:tcPr>
            <w:tcW w:w="2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9,533</w:t>
            </w: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(282)</w:t>
            </w:r>
          </w:p>
        </w:tc>
        <w:tc>
          <w:tcPr>
            <w:tcW w:w="44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40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(112)</w:t>
            </w:r>
          </w:p>
        </w:tc>
        <w:tc>
          <w:tcPr>
            <w:tcW w:w="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tcBorders>
              <w:bottom w:val="single" w:sz="8" w:color="D9D9D6"/>
            </w:tcBorders>
            <w:shd w:val="clear" w:color="auto" w:fill="D9D9D6"/>
          </w:tcPr>
          <w:p>
            <w:pPr>
              <w:spacing w:after="0"/>
              <w:rPr>
                <w:sz w:val="16"/>
                <w:szCs w:val="16"/>
                <w:color w:val="auto"/>
              </w:rPr>
            </w:pPr>
          </w:p>
        </w:tc>
        <w:tc>
          <w:tcPr>
            <w:tcW w:w="68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Voice Customers</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1,391</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1,363</w:t>
            </w:r>
          </w:p>
        </w:tc>
        <w:tc>
          <w:tcPr>
            <w:tcW w:w="20" w:type="dxa"/>
            <w:vAlign w:val="bottom"/>
            <w:tcBorders>
              <w:bottom w:val="single" w:sz="8" w:color="auto"/>
            </w:tcBorders>
            <w:shd w:val="clear" w:color="auto" w:fill="D9D9D6"/>
          </w:tcPr>
          <w:p>
            <w:pPr>
              <w:spacing w:after="0"/>
              <w:rPr>
                <w:sz w:val="16"/>
                <w:szCs w:val="16"/>
                <w:color w:val="auto"/>
              </w:rPr>
            </w:pPr>
          </w:p>
        </w:tc>
        <w:tc>
          <w:tcPr>
            <w:tcW w:w="5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w:t>
            </w:r>
          </w:p>
        </w:tc>
        <w:tc>
          <w:tcPr>
            <w:tcW w:w="440" w:type="dxa"/>
            <w:vAlign w:val="bottom"/>
            <w:tcBorders>
              <w:bottom w:val="single" w:sz="8" w:color="auto"/>
            </w:tcBorders>
            <w:shd w:val="clear" w:color="auto" w:fill="D9D9D6"/>
          </w:tcPr>
          <w:p>
            <w:pPr>
              <w:spacing w:after="0"/>
              <w:rPr>
                <w:sz w:val="16"/>
                <w:szCs w:val="16"/>
                <w:color w:val="auto"/>
              </w:rPr>
            </w:pPr>
          </w:p>
        </w:tc>
        <w:tc>
          <w:tcPr>
            <w:tcW w:w="40" w:type="dxa"/>
            <w:vAlign w:val="bottom"/>
            <w:tcBorders>
              <w:bottom w:val="single" w:sz="8" w:color="auto"/>
            </w:tcBorders>
            <w:shd w:val="clear" w:color="auto" w:fill="D9D9D6"/>
          </w:tcPr>
          <w:p>
            <w:pPr>
              <w:spacing w:after="0"/>
              <w:rPr>
                <w:sz w:val="16"/>
                <w:szCs w:val="16"/>
                <w:color w:val="auto"/>
              </w:rPr>
            </w:pPr>
          </w:p>
        </w:tc>
        <w:tc>
          <w:tcPr>
            <w:tcW w:w="40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auto"/>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shd w:val="clear" w:color="auto" w:fill="D9D9D6"/>
          </w:tcPr>
          <w:p>
            <w:pPr>
              <w:spacing w:after="0"/>
              <w:rPr>
                <w:sz w:val="15"/>
                <w:szCs w:val="15"/>
                <w:color w:val="auto"/>
              </w:rPr>
            </w:pPr>
          </w:p>
        </w:tc>
        <w:tc>
          <w:tcPr>
            <w:tcW w:w="68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Voice Customers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10,171</w:t>
            </w:r>
          </w:p>
        </w:tc>
        <w:tc>
          <w:tcPr>
            <w:tcW w:w="2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10,896</w:t>
            </w:r>
          </w:p>
        </w:tc>
        <w:tc>
          <w:tcPr>
            <w:tcW w:w="20" w:type="dxa"/>
            <w:vAlign w:val="bottom"/>
            <w:shd w:val="clear" w:color="auto" w:fill="D9D9D6"/>
          </w:tcPr>
          <w:p>
            <w:pPr>
              <w:spacing w:after="0"/>
              <w:rPr>
                <w:sz w:val="15"/>
                <w:szCs w:val="15"/>
                <w:color w:val="auto"/>
              </w:rPr>
            </w:pPr>
          </w:p>
        </w:tc>
        <w:tc>
          <w:tcPr>
            <w:tcW w:w="50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(282)</w:t>
            </w:r>
          </w:p>
        </w:tc>
        <w:tc>
          <w:tcPr>
            <w:tcW w:w="440" w:type="dxa"/>
            <w:vAlign w:val="bottom"/>
            <w:shd w:val="clear" w:color="auto" w:fill="D9D9D6"/>
          </w:tcPr>
          <w:p>
            <w:pPr>
              <w:spacing w:after="0"/>
              <w:rPr>
                <w:sz w:val="15"/>
                <w:szCs w:val="15"/>
                <w:color w:val="auto"/>
              </w:rPr>
            </w:pPr>
          </w:p>
        </w:tc>
        <w:tc>
          <w:tcPr>
            <w:tcW w:w="40" w:type="dxa"/>
            <w:vAlign w:val="bottom"/>
            <w:shd w:val="clear" w:color="auto" w:fill="D9D9D6"/>
          </w:tcPr>
          <w:p>
            <w:pPr>
              <w:spacing w:after="0"/>
              <w:rPr>
                <w:sz w:val="15"/>
                <w:szCs w:val="15"/>
                <w:color w:val="auto"/>
              </w:rPr>
            </w:pPr>
          </w:p>
        </w:tc>
        <w:tc>
          <w:tcPr>
            <w:tcW w:w="40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(106)</w:t>
            </w:r>
          </w:p>
        </w:tc>
        <w:tc>
          <w:tcPr>
            <w:tcW w:w="2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00" w:type="dxa"/>
            <w:vAlign w:val="bottom"/>
            <w:shd w:val="clear" w:color="auto" w:fill="D9D9D6"/>
          </w:tcPr>
          <w:p>
            <w:pPr>
              <w:spacing w:after="0"/>
              <w:rPr>
                <w:sz w:val="24"/>
                <w:szCs w:val="24"/>
                <w:color w:val="auto"/>
              </w:rPr>
            </w:pPr>
          </w:p>
        </w:tc>
        <w:tc>
          <w:tcPr>
            <w:tcW w:w="68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Wireless Lines</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4,298</w:t>
            </w:r>
          </w:p>
        </w:tc>
        <w:tc>
          <w:tcPr>
            <w:tcW w:w="2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3,103</w:t>
            </w: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318</w:t>
            </w:r>
          </w:p>
        </w:tc>
        <w:tc>
          <w:tcPr>
            <w:tcW w:w="44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40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278</w:t>
            </w:r>
          </w:p>
        </w:tc>
        <w:tc>
          <w:tcPr>
            <w:tcW w:w="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0" w:type="dxa"/>
            <w:vAlign w:val="bottom"/>
            <w:shd w:val="clear" w:color="auto" w:fill="D9D9D6"/>
          </w:tcPr>
          <w:p>
            <w:pPr>
              <w:spacing w:after="0"/>
              <w:rPr>
                <w:sz w:val="4"/>
                <w:szCs w:val="4"/>
                <w:color w:val="auto"/>
              </w:rPr>
            </w:pPr>
          </w:p>
        </w:tc>
        <w:tc>
          <w:tcPr>
            <w:tcW w:w="680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46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440" w:type="dxa"/>
            <w:vAlign w:val="bottom"/>
            <w:shd w:val="clear" w:color="auto" w:fill="D9D9D6"/>
          </w:tcPr>
          <w:p>
            <w:pPr>
              <w:spacing w:after="0"/>
              <w:rPr>
                <w:sz w:val="4"/>
                <w:szCs w:val="4"/>
                <w:color w:val="auto"/>
              </w:rPr>
            </w:pPr>
          </w:p>
        </w:tc>
        <w:tc>
          <w:tcPr>
            <w:tcW w:w="4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6.5% to $7.3 billion in the first quarter of 2022,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3.3% increase in operating expenses. In the first quarter of 2022, programming costs decreased 1.1%, reflecting a decline in the number of video subscribers, partially offset by the timing of contract renewals. Non-programming expenses increased 6.3%, primarily reflecting higher technical and product support expenses, other expenses, and advertising, marketing and promotion expenses, partially offset by lower franchise and regulatory fees and customer service expenses. Non-programming expenses per customer relationship increased 3.2%. Adjusted EBITDA per customer relationship increased 3.3%, and Adjusted EBITDA margin was 44.0% compared to 43.2% in the prior year period.</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Cable Communications of $1.4 billion in the first quarter of 2022 were consistent with the prior year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reflecting increased investment in support capital, partially offset by decreased investment in customer premise equipment and line extensions. Cable capital expenditures represented 8.3% of Cable revenue in the first quarter of 2022 compared to 8.7% in the prior year period.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70"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 w:type="dxa"/>
            <w:vAlign w:val="bottom"/>
            <w:tcBorders>
              <w:bottom w:val="single" w:sz="8" w:color="D9D9D6"/>
            </w:tcBorders>
            <w:shd w:val="clear" w:color="auto" w:fill="D9D9D6"/>
          </w:tcPr>
          <w:p>
            <w:pPr>
              <w:spacing w:after="0"/>
              <w:rPr>
                <w:sz w:val="16"/>
                <w:szCs w:val="16"/>
                <w:color w:val="auto"/>
              </w:rPr>
            </w:pPr>
          </w:p>
        </w:tc>
        <w:tc>
          <w:tcPr>
            <w:tcW w:w="8140" w:type="dxa"/>
            <w:vAlign w:val="bottom"/>
            <w:tcBorders>
              <w:bottom w:val="single" w:sz="8" w:color="D9D9D6"/>
            </w:tcBorders>
            <w:shd w:val="clear" w:color="auto" w:fill="D9D9D6"/>
          </w:tcPr>
          <w:p>
            <w:pPr>
              <w:spacing w:after="0"/>
              <w:rPr>
                <w:sz w:val="16"/>
                <w:szCs w:val="16"/>
                <w:color w:val="auto"/>
              </w:rPr>
            </w:pPr>
          </w:p>
        </w:tc>
        <w:tc>
          <w:tcPr>
            <w:tcW w:w="560" w:type="dxa"/>
            <w:vAlign w:val="bottom"/>
            <w:tcBorders>
              <w:bottom w:val="single" w:sz="8" w:color="D9D9D6"/>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20" w:type="dxa"/>
            <w:vAlign w:val="bottom"/>
            <w:tcBorders>
              <w:bottom w:val="single" w:sz="8" w:color="D9D9D6"/>
            </w:tcBorders>
            <w:shd w:val="clear" w:color="auto" w:fill="D9D9D6"/>
          </w:tcPr>
          <w:p>
            <w:pPr>
              <w:spacing w:after="0"/>
              <w:rPr>
                <w:sz w:val="16"/>
                <w:szCs w:val="16"/>
                <w:color w:val="auto"/>
              </w:rPr>
            </w:pPr>
          </w:p>
        </w:tc>
        <w:tc>
          <w:tcPr>
            <w:tcW w:w="180" w:type="dxa"/>
            <w:vAlign w:val="bottom"/>
            <w:tcBorders>
              <w:bottom w:val="single" w:sz="8" w:color="D9D9D6"/>
            </w:tcBorders>
            <w:shd w:val="clear" w:color="auto" w:fill="D9D9D6"/>
          </w:tcPr>
          <w:p>
            <w:pPr>
              <w:spacing w:after="0"/>
              <w:rPr>
                <w:sz w:val="16"/>
                <w:szCs w:val="16"/>
                <w:color w:val="auto"/>
              </w:rPr>
            </w:pPr>
          </w:p>
        </w:tc>
        <w:tc>
          <w:tcPr>
            <w:tcW w:w="720" w:type="dxa"/>
            <w:vAlign w:val="bottom"/>
            <w:tcBorders>
              <w:bottom w:val="single" w:sz="8" w:color="auto"/>
            </w:tcBorders>
            <w:gridSpan w:val="3"/>
            <w:shd w:val="clear" w:color="auto" w:fill="D9D9D6"/>
          </w:tcPr>
          <w:p>
            <w:pPr>
              <w:spacing w:after="0"/>
              <w:rPr>
                <w:sz w:val="20"/>
                <w:szCs w:val="20"/>
                <w:color w:val="auto"/>
              </w:rPr>
            </w:pPr>
            <w:r>
              <w:rPr>
                <w:rFonts w:ascii="Arial" w:cs="Arial" w:eastAsia="Arial" w:hAnsi="Arial"/>
                <w:sz w:val="14"/>
                <w:szCs w:val="14"/>
                <w:color w:val="auto"/>
                <w:w w:val="99"/>
              </w:rPr>
              <w:t>1st Quarter</w:t>
            </w:r>
          </w:p>
        </w:tc>
        <w:tc>
          <w:tcPr>
            <w:tcW w:w="220" w:type="dxa"/>
            <w:vAlign w:val="bottom"/>
            <w:tcBorders>
              <w:bottom w:val="single" w:sz="8" w:color="D9D9D6"/>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180" w:type="dxa"/>
            <w:vAlign w:val="bottom"/>
            <w:tcBorders>
              <w:bottom w:val="single" w:sz="8" w:color="D9D9D6"/>
            </w:tcBorders>
            <w:shd w:val="clear" w:color="auto" w:fill="D9D9D6"/>
          </w:tcPr>
          <w:p>
            <w:pPr>
              <w:spacing w:after="0"/>
              <w:rPr>
                <w:sz w:val="16"/>
                <w:szCs w:val="16"/>
                <w:color w:val="auto"/>
              </w:rPr>
            </w:pPr>
          </w:p>
        </w:tc>
        <w:tc>
          <w:tcPr>
            <w:tcW w:w="20" w:type="dxa"/>
            <w:vAlign w:val="bottom"/>
            <w:tcBorders>
              <w:bottom w:val="single" w:sz="8" w:color="D9D9D6"/>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814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9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220" w:type="dxa"/>
            <w:vAlign w:val="bottom"/>
            <w:shd w:val="clear" w:color="auto" w:fill="D9D9D6"/>
          </w:tcPr>
          <w:p>
            <w:pPr>
              <w:spacing w:after="0"/>
              <w:rPr>
                <w:sz w:val="14"/>
                <w:szCs w:val="14"/>
                <w:color w:val="auto"/>
              </w:rPr>
            </w:pPr>
          </w:p>
        </w:tc>
        <w:tc>
          <w:tcPr>
            <w:tcW w:w="960" w:type="dxa"/>
            <w:vAlign w:val="bottom"/>
            <w:gridSpan w:val="5"/>
            <w:shd w:val="clear" w:color="auto" w:fill="D9D9D6"/>
          </w:tcPr>
          <w:p>
            <w:pPr>
              <w:jc w:val="right"/>
              <w:ind w:right="1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8140" w:type="dxa"/>
            <w:vAlign w:val="bottom"/>
            <w:tcBorders>
              <w:top w:val="single" w:sz="8" w:color="D9D9D6"/>
            </w:tcBorders>
            <w:vMerge w:val="continue"/>
            <w:shd w:val="clear" w:color="auto" w:fill="D9D9D6"/>
          </w:tcPr>
          <w:p>
            <w:pPr>
              <w:spacing w:after="0"/>
              <w:rPr>
                <w:sz w:val="17"/>
                <w:szCs w:val="17"/>
                <w:color w:val="auto"/>
              </w:rPr>
            </w:pPr>
          </w:p>
        </w:tc>
        <w:tc>
          <w:tcPr>
            <w:tcW w:w="56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80" w:type="dxa"/>
            <w:vAlign w:val="bottom"/>
            <w:tcBorders>
              <w:top w:val="single" w:sz="8" w:color="D9D9D6"/>
            </w:tcBorders>
            <w:shd w:val="clear" w:color="auto" w:fill="D9D9D6"/>
          </w:tcPr>
          <w:p>
            <w:pPr>
              <w:spacing w:after="0"/>
              <w:rPr>
                <w:sz w:val="17"/>
                <w:szCs w:val="17"/>
                <w:color w:val="auto"/>
              </w:rPr>
            </w:pPr>
          </w:p>
        </w:tc>
        <w:tc>
          <w:tcPr>
            <w:tcW w:w="3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Media</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$6,865</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$5,036</w:t>
            </w:r>
          </w:p>
        </w:tc>
        <w:tc>
          <w:tcPr>
            <w:tcW w:w="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36.3 %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220"/>
              <w:spacing w:after="0"/>
              <w:rPr>
                <w:sz w:val="20"/>
                <w:szCs w:val="20"/>
                <w:color w:val="auto"/>
              </w:rPr>
            </w:pPr>
            <w:r>
              <w:rPr>
                <w:rFonts w:ascii="Arial" w:cs="Arial" w:eastAsia="Arial" w:hAnsi="Arial"/>
                <w:sz w:val="14"/>
                <w:szCs w:val="14"/>
                <w:i w:val="1"/>
                <w:iCs w:val="1"/>
                <w:color w:val="auto"/>
              </w:rPr>
              <w:t>Excluding Olympics and Super Bowl</w:t>
            </w:r>
            <w:r>
              <w:rPr>
                <w:rFonts w:ascii="Arial" w:cs="Arial" w:eastAsia="Arial" w:hAnsi="Arial"/>
                <w:sz w:val="9"/>
                <w:szCs w:val="9"/>
                <w:i w:val="1"/>
                <w:iCs w:val="1"/>
                <w:color w:val="auto"/>
              </w:rPr>
              <w:t>5</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$5,383</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$5,036</w:t>
            </w:r>
          </w:p>
        </w:tc>
        <w:tc>
          <w:tcPr>
            <w:tcW w:w="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6.9 %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Studios</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2,757</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2,396</w:t>
            </w:r>
          </w:p>
        </w:tc>
        <w:tc>
          <w:tcPr>
            <w:tcW w:w="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15.1 %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1,560</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619</w:t>
            </w:r>
          </w:p>
        </w:tc>
        <w:tc>
          <w:tcPr>
            <w:tcW w:w="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151.9 %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and other</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16</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16</w:t>
            </w:r>
          </w:p>
        </w:tc>
        <w:tc>
          <w:tcPr>
            <w:tcW w:w="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6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81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Eliminations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(901)</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(1,043)</w:t>
            </w:r>
          </w:p>
        </w:tc>
        <w:tc>
          <w:tcPr>
            <w:tcW w:w="20" w:type="dxa"/>
            <w:vAlign w:val="bottom"/>
            <w:tcBorders>
              <w:bottom w:val="single" w:sz="8" w:color="auto"/>
            </w:tcBorders>
            <w:shd w:val="clear" w:color="auto" w:fill="D9D9D6"/>
          </w:tcPr>
          <w:p>
            <w:pPr>
              <w:spacing w:after="0"/>
              <w:rPr>
                <w:sz w:val="16"/>
                <w:szCs w:val="16"/>
                <w:color w:val="auto"/>
              </w:rPr>
            </w:pPr>
          </w:p>
        </w:tc>
        <w:tc>
          <w:tcPr>
            <w:tcW w:w="220" w:type="dxa"/>
            <w:vAlign w:val="bottom"/>
            <w:tcBorders>
              <w:bottom w:val="single" w:sz="8" w:color="auto"/>
            </w:tcBorders>
            <w:shd w:val="clear" w:color="auto" w:fill="D9D9D6"/>
          </w:tcPr>
          <w:p>
            <w:pPr>
              <w:spacing w:after="0"/>
              <w:rPr>
                <w:sz w:val="16"/>
                <w:szCs w:val="16"/>
                <w:color w:val="auto"/>
              </w:rPr>
            </w:pPr>
          </w:p>
        </w:tc>
        <w:tc>
          <w:tcPr>
            <w:tcW w:w="6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13.5</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$10,296</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$7,024</w:t>
            </w:r>
          </w:p>
        </w:tc>
        <w:tc>
          <w:tcPr>
            <w:tcW w:w="20" w:type="dxa"/>
            <w:vAlign w:val="bottom"/>
            <w:shd w:val="clear" w:color="auto" w:fill="D9D9D6"/>
          </w:tcPr>
          <w:p>
            <w:pPr>
              <w:spacing w:after="0"/>
              <w:rPr>
                <w:sz w:val="15"/>
                <w:szCs w:val="15"/>
                <w:color w:val="auto"/>
              </w:rPr>
            </w:pPr>
          </w:p>
        </w:tc>
        <w:tc>
          <w:tcPr>
            <w:tcW w:w="220" w:type="dxa"/>
            <w:vAlign w:val="bottom"/>
            <w:shd w:val="clear" w:color="auto" w:fill="D9D9D6"/>
          </w:tcPr>
          <w:p>
            <w:pPr>
              <w:spacing w:after="0"/>
              <w:rPr>
                <w:sz w:val="15"/>
                <w:szCs w:val="15"/>
                <w:color w:val="auto"/>
              </w:rPr>
            </w:pPr>
          </w:p>
        </w:tc>
        <w:tc>
          <w:tcPr>
            <w:tcW w:w="6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46.6</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5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Media</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$1,159</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$1,473</w:t>
            </w:r>
          </w:p>
        </w:tc>
        <w:tc>
          <w:tcPr>
            <w:tcW w:w="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(21.3 %)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Studios</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245</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497</w:t>
            </w:r>
          </w:p>
        </w:tc>
        <w:tc>
          <w:tcPr>
            <w:tcW w:w="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(50.7 %)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451</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(61)</w:t>
            </w:r>
          </w:p>
        </w:tc>
        <w:tc>
          <w:tcPr>
            <w:tcW w:w="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5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NM</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and other</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(191)</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(209)</w:t>
            </w:r>
          </w:p>
        </w:tc>
        <w:tc>
          <w:tcPr>
            <w:tcW w:w="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8.3 %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81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Eliminations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(62)</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(210)</w:t>
            </w:r>
          </w:p>
        </w:tc>
        <w:tc>
          <w:tcPr>
            <w:tcW w:w="20" w:type="dxa"/>
            <w:vAlign w:val="bottom"/>
            <w:tcBorders>
              <w:bottom w:val="single" w:sz="8" w:color="auto"/>
            </w:tcBorders>
            <w:shd w:val="clear" w:color="auto" w:fill="D9D9D6"/>
          </w:tcPr>
          <w:p>
            <w:pPr>
              <w:spacing w:after="0"/>
              <w:rPr>
                <w:sz w:val="16"/>
                <w:szCs w:val="16"/>
                <w:color w:val="auto"/>
              </w:rPr>
            </w:pPr>
          </w:p>
        </w:tc>
        <w:tc>
          <w:tcPr>
            <w:tcW w:w="220" w:type="dxa"/>
            <w:vAlign w:val="bottom"/>
            <w:tcBorders>
              <w:bottom w:val="single" w:sz="8" w:color="auto"/>
            </w:tcBorders>
            <w:shd w:val="clear" w:color="auto" w:fill="D9D9D6"/>
          </w:tcPr>
          <w:p>
            <w:pPr>
              <w:spacing w:after="0"/>
              <w:rPr>
                <w:sz w:val="16"/>
                <w:szCs w:val="16"/>
                <w:color w:val="auto"/>
              </w:rPr>
            </w:pPr>
          </w:p>
        </w:tc>
        <w:tc>
          <w:tcPr>
            <w:tcW w:w="6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70.4</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$1,601</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$1,490</w:t>
            </w:r>
          </w:p>
        </w:tc>
        <w:tc>
          <w:tcPr>
            <w:tcW w:w="20" w:type="dxa"/>
            <w:vAlign w:val="bottom"/>
            <w:shd w:val="clear" w:color="auto" w:fill="D9D9D6"/>
          </w:tcPr>
          <w:p>
            <w:pPr>
              <w:spacing w:after="0"/>
              <w:rPr>
                <w:sz w:val="15"/>
                <w:szCs w:val="15"/>
                <w:color w:val="auto"/>
              </w:rPr>
            </w:pPr>
          </w:p>
        </w:tc>
        <w:tc>
          <w:tcPr>
            <w:tcW w:w="220" w:type="dxa"/>
            <w:vAlign w:val="bottom"/>
            <w:shd w:val="clear" w:color="auto" w:fill="D9D9D6"/>
          </w:tcPr>
          <w:p>
            <w:pPr>
              <w:spacing w:after="0"/>
              <w:rPr>
                <w:sz w:val="15"/>
                <w:szCs w:val="15"/>
                <w:color w:val="auto"/>
              </w:rPr>
            </w:pPr>
          </w:p>
        </w:tc>
        <w:tc>
          <w:tcPr>
            <w:tcW w:w="6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7.4</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color w:val="auto"/>
              </w:rPr>
              <w:t>NM=comparison not meaningful.</w:t>
            </w:r>
          </w:p>
        </w:tc>
        <w:tc>
          <w:tcPr>
            <w:tcW w:w="5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814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46.6% to $ 10.3 billion in the first quarter of 2022, including $1.5 billion of incremental revenue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2022 Beijing Olympics and the NFL's Super Bowl included in the Media segment.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increased 7.4% to $1.6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Media revenue increased 36.3% to $6.9 billion in the first quarter of 2022, primarily reflecting higher advertising revenue and distribution revenue. Excluding $963 million of revenue generated by the broadcast of the 2022 Beijing Olympics and $ 519 million of revenue generated by the broadcast of the NFL's Super Bowl, Media revenue increased 6.9%</w:t>
      </w:r>
      <w:r>
        <w:rPr>
          <w:rFonts w:ascii="Arial" w:cs="Arial" w:eastAsia="Arial" w:hAnsi="Arial"/>
          <w:sz w:val="23"/>
          <w:szCs w:val="23"/>
          <w:color w:val="auto"/>
          <w:vertAlign w:val="superscript"/>
        </w:rPr>
        <w:t>5</w:t>
      </w:r>
      <w:r>
        <w:rPr>
          <w:rFonts w:ascii="Arial" w:cs="Arial" w:eastAsia="Arial" w:hAnsi="Arial"/>
          <w:sz w:val="18"/>
          <w:szCs w:val="18"/>
          <w:color w:val="auto"/>
        </w:rPr>
        <w:t>. Advertising revenue increased 59.2%, driven by the broadcasts of the 2022 Beijing Olympics and the NFL's Super Bowl, and additional Peacock sales. Distribution revenue increased 21.6%, reflecting the broadcast of the 2022 Beijing Olympics, increases at Peacock, as well as contractual rate increases, partially offset by a decline in subscribers at our networks. Adjusted EBITDA decreased 21.3% to $1.2 billion in the first quarter of 2022, reflecting higher operating expenses, which more than offset higher revenue. The increase in operating expenses was primarily driven by higher programming and production expenses, reflecting higher sports programming costs associated with the broadcasts of 2022 Beijing Olympics and the NFL's Super Bowl, as well as higher programming costs at Peacock. Media results include $472 million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$ 456 million related to Peacock, including amounts attributable to the 2022 Beijing Olympics and the NFL's Super Bowl, compared to $91 million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$277 million in the prior year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Studios revenue increased 15.1% to $2.8 billion in the first quarter of 2022, primarily reflecting higher content licensing revenue and theatrical revenue. Content licensing revenue increased 9.8%, driven by film and television content licensing, and reflects the comparison to the same period last year which included a new licensing agreement for content that became exclusively available for streaming on Peacock. Theatrical revenue increased $129 million to $168 million, primarily driven by the recent release, </w:t>
      </w:r>
      <w:r>
        <w:rPr>
          <w:rFonts w:ascii="Arial" w:cs="Arial" w:eastAsia="Arial" w:hAnsi="Arial"/>
          <w:sz w:val="18"/>
          <w:szCs w:val="18"/>
          <w:i w:val="1"/>
          <w:iCs w:val="1"/>
          <w:color w:val="auto"/>
        </w:rPr>
        <w:t>Sing 2,</w:t>
      </w:r>
      <w:r>
        <w:rPr>
          <w:rFonts w:ascii="Arial" w:cs="Arial" w:eastAsia="Arial" w:hAnsi="Arial"/>
          <w:sz w:val="18"/>
          <w:szCs w:val="18"/>
          <w:color w:val="auto"/>
        </w:rPr>
        <w:t xml:space="preserve"> and a favorable comparison to the prior year period, which was adversely impacted by theater closures and theaters operating at reduced capacity due to COVID-19. Adjusted EBITDA decreased 50.7% to $245 million in the first quarter of 2022, reflecting higher operating expenses, which more than offset higher revenue, including the comparison to the licensing agreement for content on Peacock in the prior year period. The increase in operating expenses was driven by higher programming and production expenses, reflecting higher amortization of television and film production costs in the current year period and compared to the prior year period when production was impacted due to COVID-19, as well as an increase in advertising, marketing and promotion expenses ahead of upcoming film releases.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Theme Parks revenue increased $941 million to $1.6 billion in the first quarter of 2022, reflecting improved operating conditions compared to the prior year period, when each of our theme parks in the U.S. and Japan was either operating at limited capacity or closed as a result of COVID-19, and also the opening of Universal Beijing Resort in September 2021. Theme Parks Adjusted EBITDA was $451 million in the first quarter of 2022, compared to a loss of $61 million in the prior year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NBCUniversal Headquarters and Other includes overhead, personnel costs and costs associated with corporate initiatives. Headquarters and Other Adjusted EBITDA loss in the first quarter of 2022 was $191 million, compared to a loss of $209 million in the prior year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Amounts represent eliminations of transactions between our NBCUniversal segments, which are affected by the timing of recognition of content licenses between our Studios and Media segments. Revenue eliminations in the first quarter of 2022 were $901 million, compared to $1.0 billion in the prior year period, and Adjusted EBITDA eliminations were a loss of $62 million, compared to a loss of $210 million in the prior year period. The year-over-year changes were primarily driven by the licensing of content by the Studios segment to Peacock in the Media segment.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0" w:type="dxa"/>
            <w:vAlign w:val="bottom"/>
            <w:shd w:val="clear" w:color="auto" w:fill="D9D9D6"/>
          </w:tcPr>
          <w:p>
            <w:pPr>
              <w:spacing w:after="0"/>
              <w:rPr>
                <w:sz w:val="16"/>
                <w:szCs w:val="16"/>
                <w:color w:val="auto"/>
              </w:rPr>
            </w:pPr>
          </w:p>
        </w:tc>
        <w:tc>
          <w:tcPr>
            <w:tcW w:w="67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66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2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4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 w:type="dxa"/>
            <w:vAlign w:val="bottom"/>
            <w:shd w:val="clear" w:color="auto" w:fill="D9D9D6"/>
          </w:tcPr>
          <w:p>
            <w:pPr>
              <w:spacing w:after="0"/>
              <w:rPr>
                <w:sz w:val="18"/>
                <w:szCs w:val="18"/>
                <w:color w:val="auto"/>
              </w:rPr>
            </w:pPr>
          </w:p>
        </w:tc>
        <w:tc>
          <w:tcPr>
            <w:tcW w:w="6760" w:type="dxa"/>
            <w:vAlign w:val="bottom"/>
            <w:shd w:val="clear" w:color="auto" w:fill="D9D9D6"/>
          </w:tcPr>
          <w:p>
            <w:pPr>
              <w:spacing w:after="0"/>
              <w:rPr>
                <w:sz w:val="18"/>
                <w:szCs w:val="18"/>
                <w:color w:val="auto"/>
              </w:rPr>
            </w:pPr>
          </w:p>
        </w:tc>
        <w:tc>
          <w:tcPr>
            <w:tcW w:w="660" w:type="dxa"/>
            <w:vAlign w:val="bottom"/>
            <w:shd w:val="clear" w:color="auto" w:fill="D9D9D6"/>
          </w:tcPr>
          <w:p>
            <w:pPr>
              <w:spacing w:after="0"/>
              <w:rPr>
                <w:sz w:val="18"/>
                <w:szCs w:val="18"/>
                <w:color w:val="auto"/>
              </w:rPr>
            </w:pPr>
          </w:p>
        </w:tc>
        <w:tc>
          <w:tcPr>
            <w:tcW w:w="320" w:type="dxa"/>
            <w:vAlign w:val="bottom"/>
            <w:shd w:val="clear" w:color="auto" w:fill="D9D9D6"/>
          </w:tcPr>
          <w:p>
            <w:pPr>
              <w:spacing w:after="0"/>
              <w:rPr>
                <w:sz w:val="18"/>
                <w:szCs w:val="18"/>
                <w:color w:val="auto"/>
              </w:rPr>
            </w:pPr>
          </w:p>
        </w:tc>
        <w:tc>
          <w:tcPr>
            <w:tcW w:w="20" w:type="dxa"/>
            <w:vAlign w:val="bottom"/>
            <w:shd w:val="clear" w:color="auto" w:fill="D9D9D6"/>
          </w:tcPr>
          <w:p>
            <w:pPr>
              <w:spacing w:after="0"/>
              <w:rPr>
                <w:sz w:val="18"/>
                <w:szCs w:val="18"/>
                <w:color w:val="auto"/>
              </w:rPr>
            </w:pPr>
          </w:p>
        </w:tc>
        <w:tc>
          <w:tcPr>
            <w:tcW w:w="660" w:type="dxa"/>
            <w:vAlign w:val="bottom"/>
            <w:shd w:val="clear" w:color="auto" w:fill="D9D9D6"/>
          </w:tcPr>
          <w:p>
            <w:pPr>
              <w:spacing w:after="0"/>
              <w:rPr>
                <w:sz w:val="18"/>
                <w:szCs w:val="18"/>
                <w:color w:val="auto"/>
              </w:rPr>
            </w:pPr>
          </w:p>
        </w:tc>
        <w:tc>
          <w:tcPr>
            <w:tcW w:w="60" w:type="dxa"/>
            <w:vAlign w:val="bottom"/>
            <w:shd w:val="clear" w:color="auto" w:fill="D9D9D6"/>
          </w:tcPr>
          <w:p>
            <w:pPr>
              <w:spacing w:after="0"/>
              <w:rPr>
                <w:sz w:val="18"/>
                <w:szCs w:val="18"/>
                <w:color w:val="auto"/>
              </w:rPr>
            </w:pPr>
          </w:p>
        </w:tc>
        <w:tc>
          <w:tcPr>
            <w:tcW w:w="74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1st Quarter</w:t>
            </w:r>
          </w:p>
        </w:tc>
        <w:tc>
          <w:tcPr>
            <w:tcW w:w="80" w:type="dxa"/>
            <w:vAlign w:val="bottom"/>
            <w:shd w:val="clear" w:color="auto" w:fill="D9D9D6"/>
          </w:tcPr>
          <w:p>
            <w:pPr>
              <w:spacing w:after="0"/>
              <w:rPr>
                <w:sz w:val="18"/>
                <w:szCs w:val="18"/>
                <w:color w:val="auto"/>
              </w:rPr>
            </w:pPr>
          </w:p>
        </w:tc>
        <w:tc>
          <w:tcPr>
            <w:tcW w:w="320" w:type="dxa"/>
            <w:vAlign w:val="bottom"/>
            <w:shd w:val="clear" w:color="auto" w:fill="D9D9D6"/>
          </w:tcPr>
          <w:p>
            <w:pPr>
              <w:spacing w:after="0"/>
              <w:rPr>
                <w:sz w:val="18"/>
                <w:szCs w:val="18"/>
                <w:color w:val="auto"/>
              </w:rPr>
            </w:pPr>
          </w:p>
        </w:tc>
        <w:tc>
          <w:tcPr>
            <w:tcW w:w="200" w:type="dxa"/>
            <w:vAlign w:val="bottom"/>
            <w:shd w:val="clear" w:color="auto" w:fill="D9D9D6"/>
          </w:tcPr>
          <w:p>
            <w:pPr>
              <w:spacing w:after="0"/>
              <w:rPr>
                <w:sz w:val="18"/>
                <w:szCs w:val="18"/>
                <w:color w:val="auto"/>
              </w:rPr>
            </w:pPr>
          </w:p>
        </w:tc>
        <w:tc>
          <w:tcPr>
            <w:tcW w:w="20" w:type="dxa"/>
            <w:vAlign w:val="bottom"/>
            <w:shd w:val="clear" w:color="auto" w:fill="D9D9D6"/>
          </w:tcPr>
          <w:p>
            <w:pPr>
              <w:spacing w:after="0"/>
              <w:rPr>
                <w:sz w:val="18"/>
                <w:szCs w:val="18"/>
                <w:color w:val="auto"/>
              </w:rPr>
            </w:pPr>
          </w:p>
        </w:tc>
        <w:tc>
          <w:tcPr>
            <w:tcW w:w="520" w:type="dxa"/>
            <w:vAlign w:val="bottom"/>
            <w:shd w:val="clear" w:color="auto" w:fill="D9D9D6"/>
          </w:tcPr>
          <w:p>
            <w:pPr>
              <w:spacing w:after="0"/>
              <w:rPr>
                <w:sz w:val="18"/>
                <w:szCs w:val="18"/>
                <w:color w:val="auto"/>
              </w:rPr>
            </w:pPr>
          </w:p>
        </w:tc>
        <w:tc>
          <w:tcPr>
            <w:tcW w:w="360" w:type="dxa"/>
            <w:vAlign w:val="bottom"/>
            <w:shd w:val="clear" w:color="auto" w:fill="D9D9D6"/>
          </w:tcPr>
          <w:p>
            <w:pPr>
              <w:spacing w:after="0"/>
              <w:rPr>
                <w:sz w:val="18"/>
                <w:szCs w:val="18"/>
                <w:color w:val="auto"/>
              </w:rPr>
            </w:pPr>
          </w:p>
        </w:tc>
        <w:tc>
          <w:tcPr>
            <w:tcW w:w="140" w:type="dxa"/>
            <w:vAlign w:val="bottom"/>
            <w:shd w:val="clear" w:color="auto" w:fill="D9D9D6"/>
          </w:tcPr>
          <w:p>
            <w:pPr>
              <w:spacing w:after="0"/>
              <w:rPr>
                <w:sz w:val="18"/>
                <w:szCs w:val="18"/>
                <w:color w:val="auto"/>
              </w:rPr>
            </w:pPr>
          </w:p>
        </w:tc>
        <w:tc>
          <w:tcPr>
            <w:tcW w:w="60" w:type="dxa"/>
            <w:vAlign w:val="bottom"/>
            <w:shd w:val="clear" w:color="auto" w:fill="D9D9D6"/>
          </w:tcPr>
          <w:p>
            <w:pPr>
              <w:spacing w:after="0"/>
              <w:rPr>
                <w:sz w:val="18"/>
                <w:szCs w:val="18"/>
                <w:color w:val="auto"/>
              </w:rPr>
            </w:pPr>
          </w:p>
        </w:tc>
        <w:tc>
          <w:tcPr>
            <w:tcW w:w="22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 w:type="dxa"/>
            <w:vAlign w:val="bottom"/>
            <w:tcBorders>
              <w:top w:val="single" w:sz="8" w:color="D9D9D6"/>
            </w:tcBorders>
            <w:shd w:val="clear" w:color="auto" w:fill="D9D9D6"/>
          </w:tcPr>
          <w:p>
            <w:pPr>
              <w:spacing w:after="0"/>
              <w:rPr>
                <w:sz w:val="20"/>
                <w:szCs w:val="20"/>
                <w:color w:val="auto"/>
              </w:rPr>
            </w:pPr>
          </w:p>
        </w:tc>
        <w:tc>
          <w:tcPr>
            <w:tcW w:w="6760" w:type="dxa"/>
            <w:vAlign w:val="bottom"/>
            <w:tcBorders>
              <w:top w:val="single" w:sz="8" w:color="D9D9D6"/>
            </w:tcBorders>
            <w:shd w:val="clear" w:color="auto" w:fill="D9D9D6"/>
          </w:tcPr>
          <w:p>
            <w:pPr>
              <w:spacing w:after="0"/>
              <w:rPr>
                <w:sz w:val="20"/>
                <w:szCs w:val="20"/>
                <w:color w:val="auto"/>
              </w:rPr>
            </w:pPr>
          </w:p>
        </w:tc>
        <w:tc>
          <w:tcPr>
            <w:tcW w:w="66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D9D9D6"/>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660" w:type="dxa"/>
            <w:vAlign w:val="bottom"/>
            <w:tcBorders>
              <w:top w:val="single" w:sz="8" w:color="D9D9D6"/>
            </w:tcBorders>
            <w:shd w:val="clear" w:color="auto" w:fill="D9D9D6"/>
          </w:tcPr>
          <w:p>
            <w:pPr>
              <w:spacing w:after="0"/>
              <w:rPr>
                <w:sz w:val="20"/>
                <w:szCs w:val="20"/>
                <w:color w:val="auto"/>
              </w:rPr>
            </w:pPr>
          </w:p>
        </w:tc>
        <w:tc>
          <w:tcPr>
            <w:tcW w:w="60" w:type="dxa"/>
            <w:vAlign w:val="bottom"/>
            <w:tcBorders>
              <w:top w:val="single" w:sz="8" w:color="D9D9D6"/>
            </w:tcBorders>
            <w:shd w:val="clear" w:color="auto" w:fill="D9D9D6"/>
          </w:tcPr>
          <w:p>
            <w:pPr>
              <w:spacing w:after="0"/>
              <w:rPr>
                <w:sz w:val="20"/>
                <w:szCs w:val="20"/>
                <w:color w:val="auto"/>
              </w:rPr>
            </w:pPr>
          </w:p>
        </w:tc>
        <w:tc>
          <w:tcPr>
            <w:tcW w:w="260" w:type="dxa"/>
            <w:vAlign w:val="bottom"/>
            <w:tcBorders>
              <w:top w:val="single" w:sz="8" w:color="auto"/>
            </w:tcBorders>
            <w:shd w:val="clear" w:color="auto" w:fill="D9D9D6"/>
          </w:tcPr>
          <w:p>
            <w:pPr>
              <w:spacing w:after="0"/>
              <w:rPr>
                <w:sz w:val="20"/>
                <w:szCs w:val="20"/>
                <w:color w:val="auto"/>
              </w:rPr>
            </w:pPr>
          </w:p>
        </w:tc>
        <w:tc>
          <w:tcPr>
            <w:tcW w:w="20" w:type="dxa"/>
            <w:vAlign w:val="bottom"/>
            <w:tcBorders>
              <w:top w:val="single" w:sz="8" w:color="auto"/>
            </w:tcBorders>
            <w:shd w:val="clear" w:color="auto" w:fill="D9D9D6"/>
          </w:tcPr>
          <w:p>
            <w:pPr>
              <w:spacing w:after="0"/>
              <w:rPr>
                <w:sz w:val="20"/>
                <w:szCs w:val="20"/>
                <w:color w:val="auto"/>
              </w:rPr>
            </w:pPr>
          </w:p>
        </w:tc>
        <w:tc>
          <w:tcPr>
            <w:tcW w:w="440" w:type="dxa"/>
            <w:vAlign w:val="bottom"/>
            <w:tcBorders>
              <w:top w:val="single" w:sz="8" w:color="auto"/>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8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D9D9D6"/>
            </w:tcBorders>
            <w:shd w:val="clear" w:color="auto" w:fill="D9D9D6"/>
          </w:tcPr>
          <w:p>
            <w:pPr>
              <w:spacing w:after="0"/>
              <w:rPr>
                <w:sz w:val="20"/>
                <w:szCs w:val="20"/>
                <w:color w:val="auto"/>
              </w:rPr>
            </w:pPr>
          </w:p>
        </w:tc>
        <w:tc>
          <w:tcPr>
            <w:tcW w:w="200" w:type="dxa"/>
            <w:vAlign w:val="bottom"/>
            <w:tcBorders>
              <w:top w:val="single" w:sz="8" w:color="D9D9D6"/>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1300" w:type="dxa"/>
            <w:vAlign w:val="bottom"/>
            <w:tcBorders>
              <w:top w:val="single" w:sz="8" w:color="D9D9D6"/>
            </w:tcBorders>
            <w:gridSpan w:val="5"/>
            <w:shd w:val="clear" w:color="auto" w:fill="D9D9D6"/>
          </w:tcPr>
          <w:p>
            <w:pPr>
              <w:jc w:val="right"/>
              <w:ind w:right="28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35"/>
        </w:trPr>
        <w:tc>
          <w:tcPr>
            <w:tcW w:w="100" w:type="dxa"/>
            <w:vAlign w:val="bottom"/>
            <w:shd w:val="clear" w:color="auto" w:fill="D9D9D6"/>
          </w:tcPr>
          <w:p>
            <w:pPr>
              <w:spacing w:after="0"/>
              <w:rPr>
                <w:sz w:val="11"/>
                <w:szCs w:val="11"/>
                <w:color w:val="auto"/>
              </w:rPr>
            </w:pPr>
          </w:p>
        </w:tc>
        <w:tc>
          <w:tcPr>
            <w:tcW w:w="6760" w:type="dxa"/>
            <w:vAlign w:val="bottom"/>
            <w:shd w:val="clear" w:color="auto" w:fill="D9D9D6"/>
          </w:tcPr>
          <w:p>
            <w:pPr>
              <w:spacing w:after="0"/>
              <w:rPr>
                <w:sz w:val="11"/>
                <w:szCs w:val="11"/>
                <w:color w:val="auto"/>
              </w:rPr>
            </w:pPr>
          </w:p>
        </w:tc>
        <w:tc>
          <w:tcPr>
            <w:tcW w:w="100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100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440" w:type="dxa"/>
            <w:vAlign w:val="bottom"/>
            <w:shd w:val="clear" w:color="auto" w:fill="D9D9D6"/>
          </w:tcPr>
          <w:p>
            <w:pPr>
              <w:spacing w:after="0"/>
              <w:rPr>
                <w:sz w:val="11"/>
                <w:szCs w:val="11"/>
                <w:color w:val="auto"/>
              </w:rPr>
            </w:pPr>
          </w:p>
        </w:tc>
        <w:tc>
          <w:tcPr>
            <w:tcW w:w="20" w:type="dxa"/>
            <w:vAlign w:val="bottom"/>
            <w:shd w:val="clear" w:color="auto" w:fill="D9D9D6"/>
          </w:tcPr>
          <w:p>
            <w:pPr>
              <w:spacing w:after="0"/>
              <w:rPr>
                <w:sz w:val="11"/>
                <w:szCs w:val="11"/>
                <w:color w:val="auto"/>
              </w:rPr>
            </w:pPr>
          </w:p>
        </w:tc>
        <w:tc>
          <w:tcPr>
            <w:tcW w:w="620" w:type="dxa"/>
            <w:vAlign w:val="bottom"/>
            <w:gridSpan w:val="4"/>
            <w:vMerge w:val="restart"/>
            <w:shd w:val="clear" w:color="auto" w:fill="D9D9D6"/>
          </w:tcPr>
          <w:p>
            <w:pPr>
              <w:ind w:left="80"/>
              <w:spacing w:after="0"/>
              <w:rPr>
                <w:sz w:val="20"/>
                <w:szCs w:val="20"/>
                <w:color w:val="auto"/>
              </w:rPr>
            </w:pPr>
            <w:r>
              <w:rPr>
                <w:rFonts w:ascii="Arial" w:cs="Arial" w:eastAsia="Arial" w:hAnsi="Arial"/>
                <w:sz w:val="14"/>
                <w:szCs w:val="14"/>
                <w:color w:val="auto"/>
              </w:rPr>
              <w:t>Change</w:t>
            </w:r>
          </w:p>
        </w:tc>
        <w:tc>
          <w:tcPr>
            <w:tcW w:w="1300" w:type="dxa"/>
            <w:vAlign w:val="bottom"/>
            <w:gridSpan w:val="5"/>
            <w:shd w:val="clear" w:color="auto" w:fill="D9D9D6"/>
          </w:tcPr>
          <w:p>
            <w:pPr>
              <w:jc w:val="right"/>
              <w:ind w:right="280"/>
              <w:spacing w:after="0" w:line="135"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44"/>
        </w:trPr>
        <w:tc>
          <w:tcPr>
            <w:tcW w:w="100" w:type="dxa"/>
            <w:vAlign w:val="bottom"/>
            <w:shd w:val="clear" w:color="auto" w:fill="D9D9D6"/>
          </w:tcPr>
          <w:p>
            <w:pPr>
              <w:spacing w:after="0"/>
              <w:rPr>
                <w:sz w:val="12"/>
                <w:szCs w:val="12"/>
                <w:color w:val="auto"/>
              </w:rPr>
            </w:pPr>
          </w:p>
        </w:tc>
        <w:tc>
          <w:tcPr>
            <w:tcW w:w="676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1000" w:type="dxa"/>
            <w:vAlign w:val="bottom"/>
            <w:gridSpan w:val="3"/>
            <w:vMerge w:val="continue"/>
            <w:shd w:val="clear" w:color="auto" w:fill="D9D9D6"/>
          </w:tcPr>
          <w:p>
            <w:pPr>
              <w:spacing w:after="0"/>
              <w:rPr>
                <w:sz w:val="12"/>
                <w:szCs w:val="12"/>
                <w:color w:val="auto"/>
              </w:rPr>
            </w:pPr>
          </w:p>
        </w:tc>
        <w:tc>
          <w:tcPr>
            <w:tcW w:w="1000" w:type="dxa"/>
            <w:vAlign w:val="bottom"/>
            <w:gridSpan w:val="4"/>
            <w:vMerge w:val="continue"/>
            <w:shd w:val="clear" w:color="auto" w:fill="D9D9D6"/>
          </w:tcPr>
          <w:p>
            <w:pPr>
              <w:spacing w:after="0"/>
              <w:rPr>
                <w:sz w:val="12"/>
                <w:szCs w:val="12"/>
                <w:color w:val="auto"/>
              </w:rPr>
            </w:pPr>
          </w:p>
        </w:tc>
        <w:tc>
          <w:tcPr>
            <w:tcW w:w="44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620" w:type="dxa"/>
            <w:vAlign w:val="bottom"/>
            <w:gridSpan w:val="4"/>
            <w:vMerge w:val="continue"/>
            <w:shd w:val="clear" w:color="auto" w:fill="D9D9D6"/>
          </w:tcPr>
          <w:p>
            <w:pPr>
              <w:spacing w:after="0"/>
              <w:rPr>
                <w:sz w:val="12"/>
                <w:szCs w:val="12"/>
                <w:color w:val="auto"/>
              </w:rPr>
            </w:pPr>
          </w:p>
        </w:tc>
        <w:tc>
          <w:tcPr>
            <w:tcW w:w="1300" w:type="dxa"/>
            <w:vAlign w:val="bottom"/>
            <w:gridSpan w:val="5"/>
            <w:shd w:val="clear" w:color="auto" w:fill="D9D9D6"/>
          </w:tcPr>
          <w:p>
            <w:pPr>
              <w:ind w:left="520"/>
              <w:spacing w:after="0" w:line="144" w:lineRule="exact"/>
              <w:rPr>
                <w:sz w:val="20"/>
                <w:szCs w:val="20"/>
                <w:color w:val="auto"/>
              </w:rPr>
            </w:pPr>
            <w:r>
              <w:rPr>
                <w:rFonts w:ascii="Arial" w:cs="Arial" w:eastAsia="Arial" w:hAnsi="Arial"/>
                <w:sz w:val="14"/>
                <w:szCs w:val="14"/>
                <w:color w:val="auto"/>
              </w:rPr>
              <w:t>Change</w:t>
            </w:r>
            <w:r>
              <w:rPr>
                <w:rFonts w:ascii="Arial" w:cs="Arial" w:eastAsia="Arial" w:hAnsi="Arial"/>
                <w:sz w:val="9"/>
                <w:szCs w:val="9"/>
                <w:u w:val="single" w:color="auto"/>
                <w:color w:val="auto"/>
              </w:rPr>
              <w:t>7</w:t>
            </w:r>
          </w:p>
        </w:tc>
        <w:tc>
          <w:tcPr>
            <w:tcW w:w="0" w:type="dxa"/>
            <w:vAlign w:val="bottom"/>
          </w:tcPr>
          <w:p>
            <w:pPr>
              <w:spacing w:after="0"/>
              <w:rPr>
                <w:sz w:val="1"/>
                <w:szCs w:val="1"/>
                <w:color w:val="auto"/>
              </w:rPr>
            </w:pPr>
          </w:p>
        </w:tc>
      </w:tr>
      <w:tr>
        <w:trPr>
          <w:trHeight w:val="196"/>
        </w:trPr>
        <w:tc>
          <w:tcPr>
            <w:tcW w:w="100" w:type="dxa"/>
            <w:vAlign w:val="bottom"/>
            <w:tcBorders>
              <w:top w:val="single" w:sz="8" w:color="D9D9D6"/>
            </w:tcBorders>
            <w:shd w:val="clear" w:color="auto" w:fill="D9D9D6"/>
          </w:tcPr>
          <w:p>
            <w:pPr>
              <w:spacing w:after="0"/>
              <w:rPr>
                <w:sz w:val="17"/>
                <w:szCs w:val="17"/>
                <w:color w:val="auto"/>
              </w:rPr>
            </w:pPr>
          </w:p>
        </w:tc>
        <w:tc>
          <w:tcPr>
            <w:tcW w:w="6760" w:type="dxa"/>
            <w:vAlign w:val="bottom"/>
            <w:tcBorders>
              <w:top w:val="single" w:sz="8" w:color="D9D9D6"/>
            </w:tcBorders>
            <w:vMerge w:val="continue"/>
            <w:shd w:val="clear" w:color="auto" w:fill="D9D9D6"/>
          </w:tcPr>
          <w:p>
            <w:pPr>
              <w:spacing w:after="0"/>
              <w:rPr>
                <w:sz w:val="17"/>
                <w:szCs w:val="17"/>
                <w:color w:val="auto"/>
              </w:rPr>
            </w:pPr>
          </w:p>
        </w:tc>
        <w:tc>
          <w:tcPr>
            <w:tcW w:w="66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660" w:type="dxa"/>
            <w:vAlign w:val="bottom"/>
            <w:tcBorders>
              <w:top w:val="single" w:sz="8" w:color="D9D9D6"/>
            </w:tcBorders>
            <w:shd w:val="clear" w:color="auto" w:fill="D9D9D6"/>
          </w:tcPr>
          <w:p>
            <w:pPr>
              <w:spacing w:after="0"/>
              <w:rPr>
                <w:sz w:val="17"/>
                <w:szCs w:val="17"/>
                <w:color w:val="auto"/>
              </w:rPr>
            </w:pPr>
          </w:p>
        </w:tc>
        <w:tc>
          <w:tcPr>
            <w:tcW w:w="60" w:type="dxa"/>
            <w:vAlign w:val="bottom"/>
            <w:tcBorders>
              <w:top w:val="single" w:sz="8" w:color="auto"/>
            </w:tcBorders>
            <w:shd w:val="clear" w:color="auto" w:fill="D9D9D6"/>
          </w:tcPr>
          <w:p>
            <w:pPr>
              <w:spacing w:after="0"/>
              <w:rPr>
                <w:sz w:val="17"/>
                <w:szCs w:val="17"/>
                <w:color w:val="auto"/>
              </w:rPr>
            </w:pPr>
          </w:p>
        </w:tc>
        <w:tc>
          <w:tcPr>
            <w:tcW w:w="26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440" w:type="dxa"/>
            <w:vAlign w:val="bottom"/>
            <w:tcBorders>
              <w:top w:val="single" w:sz="8" w:color="D9D9D6"/>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140" w:type="dxa"/>
            <w:vAlign w:val="bottom"/>
            <w:tcBorders>
              <w:top w:val="single" w:sz="8" w:color="auto"/>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67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Direct-to-Consumer</w:t>
            </w:r>
          </w:p>
        </w:tc>
        <w:tc>
          <w:tcPr>
            <w:tcW w:w="10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$3,884</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$4,065</w:t>
            </w:r>
          </w:p>
        </w:tc>
        <w:tc>
          <w:tcPr>
            <w:tcW w:w="44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(4.5</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0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(0.4 %)</w:t>
            </w:r>
          </w:p>
        </w:tc>
        <w:tc>
          <w:tcPr>
            <w:tcW w:w="2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67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w:t>
            </w:r>
          </w:p>
        </w:tc>
        <w:tc>
          <w:tcPr>
            <w:tcW w:w="10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295</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358</w:t>
            </w:r>
          </w:p>
        </w:tc>
        <w:tc>
          <w:tcPr>
            <w:tcW w:w="44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(17.5</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0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(14.3 %)</w:t>
            </w:r>
          </w:p>
        </w:tc>
        <w:tc>
          <w:tcPr>
            <w:tcW w:w="2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Borders>
              <w:bottom w:val="single" w:sz="8" w:color="D9D9D6"/>
            </w:tcBorders>
            <w:shd w:val="clear" w:color="auto" w:fill="D9D9D6"/>
          </w:tcPr>
          <w:p>
            <w:pPr>
              <w:spacing w:after="0"/>
              <w:rPr>
                <w:sz w:val="16"/>
                <w:szCs w:val="16"/>
                <w:color w:val="auto"/>
              </w:rPr>
            </w:pPr>
          </w:p>
        </w:tc>
        <w:tc>
          <w:tcPr>
            <w:tcW w:w="67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10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596</w:t>
            </w:r>
          </w:p>
        </w:tc>
        <w:tc>
          <w:tcPr>
            <w:tcW w:w="100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574</w:t>
            </w:r>
          </w:p>
        </w:tc>
        <w:tc>
          <w:tcPr>
            <w:tcW w:w="440" w:type="dxa"/>
            <w:vAlign w:val="bottom"/>
            <w:tcBorders>
              <w:bottom w:val="single" w:sz="8" w:color="auto"/>
            </w:tcBorders>
            <w:shd w:val="clear" w:color="auto" w:fill="D9D9D6"/>
          </w:tcPr>
          <w:p>
            <w:pPr>
              <w:spacing w:after="0"/>
              <w:rPr>
                <w:sz w:val="16"/>
                <w:szCs w:val="16"/>
                <w:color w:val="auto"/>
              </w:rPr>
            </w:pPr>
          </w:p>
        </w:tc>
        <w:tc>
          <w:tcPr>
            <w:tcW w:w="20" w:type="dxa"/>
            <w:vAlign w:val="bottom"/>
            <w:tcBorders>
              <w:bottom w:val="single" w:sz="8" w:color="auto"/>
            </w:tcBorders>
            <w:shd w:val="clear" w:color="auto" w:fill="D9D9D6"/>
          </w:tcPr>
          <w:p>
            <w:pPr>
              <w:spacing w:after="0"/>
              <w:rPr>
                <w:sz w:val="16"/>
                <w:szCs w:val="16"/>
                <w:color w:val="auto"/>
              </w:rPr>
            </w:pPr>
          </w:p>
        </w:tc>
        <w:tc>
          <w:tcPr>
            <w:tcW w:w="40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3.8</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7.9</w:t>
            </w:r>
          </w:p>
        </w:tc>
        <w:tc>
          <w:tcPr>
            <w:tcW w:w="14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6"/>
              </w:rPr>
              <w:t>%</w:t>
            </w:r>
          </w:p>
        </w:tc>
        <w:tc>
          <w:tcPr>
            <w:tcW w:w="60" w:type="dxa"/>
            <w:vAlign w:val="bottom"/>
            <w:tcBorders>
              <w:bottom w:val="single" w:sz="8" w:color="auto"/>
            </w:tcBorders>
            <w:shd w:val="clear" w:color="auto" w:fill="D9D9D6"/>
          </w:tcPr>
          <w:p>
            <w:pPr>
              <w:spacing w:after="0"/>
              <w:rPr>
                <w:sz w:val="16"/>
                <w:szCs w:val="16"/>
                <w:color w:val="auto"/>
              </w:rPr>
            </w:pPr>
          </w:p>
        </w:tc>
        <w:tc>
          <w:tcPr>
            <w:tcW w:w="2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shd w:val="clear" w:color="auto" w:fill="D9D9D6"/>
          </w:tcPr>
          <w:p>
            <w:pPr>
              <w:spacing w:after="0"/>
              <w:rPr>
                <w:sz w:val="15"/>
                <w:szCs w:val="15"/>
                <w:color w:val="auto"/>
              </w:rPr>
            </w:pPr>
          </w:p>
        </w:tc>
        <w:tc>
          <w:tcPr>
            <w:tcW w:w="67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10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$4,775</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$4,997</w:t>
            </w:r>
          </w:p>
        </w:tc>
        <w:tc>
          <w:tcPr>
            <w:tcW w:w="44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4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(4.5</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(0.5</w:t>
            </w:r>
          </w:p>
        </w:tc>
        <w:tc>
          <w:tcPr>
            <w:tcW w:w="200" w:type="dxa"/>
            <w:vAlign w:val="bottom"/>
            <w:gridSpan w:val="2"/>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00" w:type="dxa"/>
            <w:vAlign w:val="bottom"/>
            <w:shd w:val="clear" w:color="auto" w:fill="D9D9D6"/>
          </w:tcPr>
          <w:p>
            <w:pPr>
              <w:spacing w:after="0"/>
              <w:rPr>
                <w:sz w:val="24"/>
                <w:szCs w:val="24"/>
                <w:color w:val="auto"/>
              </w:rPr>
            </w:pPr>
          </w:p>
        </w:tc>
        <w:tc>
          <w:tcPr>
            <w:tcW w:w="67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Operating Costs and Expenses</w:t>
            </w:r>
          </w:p>
        </w:tc>
        <w:tc>
          <w:tcPr>
            <w:tcW w:w="10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$4,153</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$4,633</w:t>
            </w:r>
          </w:p>
        </w:tc>
        <w:tc>
          <w:tcPr>
            <w:tcW w:w="4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6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(10.4 %)</w:t>
            </w:r>
          </w:p>
        </w:tc>
        <w:tc>
          <w:tcPr>
            <w:tcW w:w="20" w:type="dxa"/>
            <w:vAlign w:val="bottom"/>
            <w:shd w:val="clear" w:color="auto" w:fill="D9D9D6"/>
          </w:tcPr>
          <w:p>
            <w:pPr>
              <w:spacing w:after="0"/>
              <w:rPr>
                <w:sz w:val="24"/>
                <w:szCs w:val="24"/>
                <w:color w:val="auto"/>
              </w:rPr>
            </w:pPr>
          </w:p>
        </w:tc>
        <w:tc>
          <w:tcPr>
            <w:tcW w:w="10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(6.3 %)</w:t>
            </w:r>
          </w:p>
        </w:tc>
        <w:tc>
          <w:tcPr>
            <w:tcW w:w="2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0" w:type="dxa"/>
            <w:vAlign w:val="bottom"/>
            <w:shd w:val="clear" w:color="auto" w:fill="D9D9D6"/>
          </w:tcPr>
          <w:p>
            <w:pPr>
              <w:spacing w:after="0"/>
              <w:rPr>
                <w:sz w:val="24"/>
                <w:szCs w:val="24"/>
                <w:color w:val="auto"/>
              </w:rPr>
            </w:pPr>
          </w:p>
        </w:tc>
        <w:tc>
          <w:tcPr>
            <w:tcW w:w="67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Adjusted EBITDA</w:t>
            </w:r>
          </w:p>
        </w:tc>
        <w:tc>
          <w:tcPr>
            <w:tcW w:w="10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$622</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$364</w:t>
            </w:r>
          </w:p>
        </w:tc>
        <w:tc>
          <w:tcPr>
            <w:tcW w:w="4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6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71.0 %</w:t>
            </w:r>
          </w:p>
        </w:tc>
        <w:tc>
          <w:tcPr>
            <w:tcW w:w="20" w:type="dxa"/>
            <w:vAlign w:val="bottom"/>
            <w:shd w:val="clear" w:color="auto" w:fill="D9D9D6"/>
          </w:tcPr>
          <w:p>
            <w:pPr>
              <w:spacing w:after="0"/>
              <w:rPr>
                <w:sz w:val="24"/>
                <w:szCs w:val="24"/>
                <w:color w:val="auto"/>
              </w:rPr>
            </w:pPr>
          </w:p>
        </w:tc>
        <w:tc>
          <w:tcPr>
            <w:tcW w:w="102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71.2 %</w:t>
            </w:r>
          </w:p>
        </w:tc>
        <w:tc>
          <w:tcPr>
            <w:tcW w:w="6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D9D9D6"/>
          </w:tcPr>
          <w:p>
            <w:pPr>
              <w:spacing w:after="0"/>
              <w:rPr>
                <w:sz w:val="16"/>
                <w:szCs w:val="16"/>
                <w:color w:val="auto"/>
              </w:rPr>
            </w:pPr>
          </w:p>
        </w:tc>
        <w:tc>
          <w:tcPr>
            <w:tcW w:w="676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13.0 %</w:t>
            </w:r>
          </w:p>
        </w:tc>
        <w:tc>
          <w:tcPr>
            <w:tcW w:w="20" w:type="dxa"/>
            <w:vAlign w:val="bottom"/>
            <w:shd w:val="clear" w:color="auto" w:fill="D9D9D6"/>
          </w:tcPr>
          <w:p>
            <w:pPr>
              <w:spacing w:after="0"/>
              <w:rPr>
                <w:sz w:val="16"/>
                <w:szCs w:val="16"/>
                <w:color w:val="auto"/>
              </w:rPr>
            </w:pPr>
          </w:p>
        </w:tc>
        <w:tc>
          <w:tcPr>
            <w:tcW w:w="98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7.3 %</w:t>
            </w:r>
          </w:p>
        </w:tc>
        <w:tc>
          <w:tcPr>
            <w:tcW w:w="20" w:type="dxa"/>
            <w:vAlign w:val="bottom"/>
            <w:shd w:val="clear" w:color="auto" w:fill="D9D9D6"/>
          </w:tcPr>
          <w:p>
            <w:pPr>
              <w:spacing w:after="0"/>
              <w:rPr>
                <w:sz w:val="16"/>
                <w:szCs w:val="16"/>
                <w:color w:val="auto"/>
              </w:rPr>
            </w:pPr>
          </w:p>
        </w:tc>
        <w:tc>
          <w:tcPr>
            <w:tcW w:w="44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0" w:type="dxa"/>
            <w:vAlign w:val="bottom"/>
            <w:shd w:val="clear" w:color="auto" w:fill="D9D9D6"/>
          </w:tcPr>
          <w:p>
            <w:pPr>
              <w:spacing w:after="0"/>
              <w:rPr>
                <w:sz w:val="4"/>
                <w:szCs w:val="4"/>
                <w:color w:val="auto"/>
              </w:rPr>
            </w:pPr>
          </w:p>
        </w:tc>
        <w:tc>
          <w:tcPr>
            <w:tcW w:w="6760" w:type="dxa"/>
            <w:vAlign w:val="bottom"/>
            <w:shd w:val="clear" w:color="auto" w:fill="D9D9D6"/>
          </w:tcPr>
          <w:p>
            <w:pPr>
              <w:spacing w:after="0"/>
              <w:rPr>
                <w:sz w:val="4"/>
                <w:szCs w:val="4"/>
                <w:color w:val="auto"/>
              </w:rPr>
            </w:pPr>
          </w:p>
        </w:tc>
        <w:tc>
          <w:tcPr>
            <w:tcW w:w="6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66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2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4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Sky decreased 4.5% to $ 4.8 billion in the first quarter of 2022. Excluding the impact of currency, revenue was consistent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period, reflecting lower content revenue, higher advertising revenue, and consistent direct-to-consumer revenue. Content revenue decreased 14.3% to $295 million due to a change in sports programming licensing agreements in Italy and Germany. Advertising revenue increased 7.9% to $596 million, primarily reflecting higher advertising revenue in the U.K. due to an overall market improvement compared to the prior year period, partially offset by lower advertising revenue in Italy due to the negative impact of the reduction in Sky's broadcast rights to Serie A. Direct-to-consumer revenue of $3.9 billion was consistent with the prior year period, primarily reflecting increases in average revenue per customer relationship and customer relationships in the U.K., offset by a decrease in customer relationships and average revenue per relationship in Italy which included the impact of the reduction in Sky's broadcast rights to Serie 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927" w:right="339" w:bottom="1440" w:gutter="0" w:footer="0" w:header="0"/>
        </w:sectPr>
      </w:pPr>
    </w:p>
    <w:bookmarkStart w:id="8" w:name="page9"/>
    <w:bookmarkEnd w:id="8"/>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decreased by 106,000 to 22.9 million in the first quarter of 2022, reflecting a decrease in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in Italy, partially offset by an increase in customer relationships in the U.K. and Germany.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100" w:type="dxa"/>
            <w:vAlign w:val="bottom"/>
            <w:shd w:val="clear" w:color="auto" w:fill="D9D9D6"/>
          </w:tcPr>
          <w:p>
            <w:pPr>
              <w:ind w:left="120"/>
              <w:spacing w:after="0"/>
              <w:rPr>
                <w:sz w:val="20"/>
                <w:szCs w:val="20"/>
                <w:color w:val="auto"/>
              </w:rPr>
            </w:pPr>
            <w:r>
              <w:rPr>
                <w:rFonts w:ascii="Arial" w:cs="Arial" w:eastAsia="Arial" w:hAnsi="Arial"/>
                <w:sz w:val="11"/>
                <w:szCs w:val="11"/>
                <w:i w:val="1"/>
                <w:iCs w:val="1"/>
                <w:color w:val="auto"/>
              </w:rPr>
              <w:t>(in thousands)</w:t>
            </w:r>
          </w:p>
        </w:tc>
        <w:tc>
          <w:tcPr>
            <w:tcW w:w="640" w:type="dxa"/>
            <w:vAlign w:val="bottom"/>
            <w:tcBorders>
              <w:right w:val="single" w:sz="8" w:color="D9D9D6"/>
            </w:tcBorders>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158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44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40" w:type="dxa"/>
            <w:vAlign w:val="bottom"/>
            <w:shd w:val="clear" w:color="auto" w:fill="D9D9D6"/>
          </w:tcPr>
          <w:p>
            <w:pPr>
              <w:spacing w:after="0"/>
              <w:rPr>
                <w:sz w:val="16"/>
                <w:szCs w:val="16"/>
                <w:color w:val="auto"/>
              </w:rPr>
            </w:pPr>
          </w:p>
        </w:tc>
      </w:tr>
      <w:tr>
        <w:trPr>
          <w:trHeight w:val="184"/>
        </w:trPr>
        <w:tc>
          <w:tcPr>
            <w:tcW w:w="6100" w:type="dxa"/>
            <w:vAlign w:val="bottom"/>
            <w:shd w:val="clear" w:color="auto" w:fill="D9D9D6"/>
          </w:tcPr>
          <w:p>
            <w:pPr>
              <w:spacing w:after="0"/>
              <w:rPr>
                <w:sz w:val="16"/>
                <w:szCs w:val="16"/>
                <w:color w:val="auto"/>
              </w:rPr>
            </w:pPr>
          </w:p>
        </w:tc>
        <w:tc>
          <w:tcPr>
            <w:tcW w:w="640" w:type="dxa"/>
            <w:vAlign w:val="bottom"/>
            <w:tcBorders>
              <w:right w:val="single" w:sz="8" w:color="D9D9D6"/>
            </w:tcBorders>
            <w:shd w:val="clear" w:color="auto" w:fill="D9D9D6"/>
          </w:tcPr>
          <w:p>
            <w:pPr>
              <w:spacing w:after="0"/>
              <w:rPr>
                <w:sz w:val="16"/>
                <w:szCs w:val="16"/>
                <w:color w:val="auto"/>
              </w:rPr>
            </w:pPr>
          </w:p>
        </w:tc>
        <w:tc>
          <w:tcPr>
            <w:tcW w:w="680" w:type="dxa"/>
            <w:vAlign w:val="bottom"/>
            <w:gridSpan w:val="2"/>
            <w:shd w:val="clear" w:color="auto" w:fill="D9D9D6"/>
          </w:tcPr>
          <w:p>
            <w:pPr>
              <w:spacing w:after="0"/>
              <w:rPr>
                <w:sz w:val="20"/>
                <w:szCs w:val="20"/>
                <w:color w:val="auto"/>
              </w:rPr>
            </w:pPr>
            <w:r>
              <w:rPr>
                <w:rFonts w:ascii="Arial" w:cs="Arial" w:eastAsia="Arial" w:hAnsi="Arial"/>
                <w:sz w:val="14"/>
                <w:szCs w:val="14"/>
                <w:color w:val="auto"/>
                <w:w w:val="97"/>
              </w:rPr>
              <w:t>Customers</w:t>
            </w:r>
          </w:p>
        </w:tc>
        <w:tc>
          <w:tcPr>
            <w:tcW w:w="28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1580" w:type="dxa"/>
            <w:vAlign w:val="bottom"/>
            <w:shd w:val="clear" w:color="auto" w:fill="D9D9D6"/>
          </w:tcPr>
          <w:p>
            <w:pPr>
              <w:spacing w:after="0"/>
              <w:rPr>
                <w:sz w:val="16"/>
                <w:szCs w:val="16"/>
                <w:color w:val="auto"/>
              </w:rPr>
            </w:pPr>
          </w:p>
        </w:tc>
        <w:tc>
          <w:tcPr>
            <w:tcW w:w="96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Net Additions</w:t>
            </w:r>
          </w:p>
        </w:tc>
        <w:tc>
          <w:tcPr>
            <w:tcW w:w="1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40" w:type="dxa"/>
            <w:vAlign w:val="bottom"/>
            <w:shd w:val="clear" w:color="auto" w:fill="D9D9D6"/>
          </w:tcPr>
          <w:p>
            <w:pPr>
              <w:spacing w:after="0"/>
              <w:rPr>
                <w:sz w:val="16"/>
                <w:szCs w:val="16"/>
                <w:color w:val="auto"/>
              </w:rPr>
            </w:pPr>
          </w:p>
        </w:tc>
      </w:tr>
      <w:tr>
        <w:trPr>
          <w:trHeight w:val="20"/>
        </w:trPr>
        <w:tc>
          <w:tcPr>
            <w:tcW w:w="6100" w:type="dxa"/>
            <w:vAlign w:val="bottom"/>
            <w:shd w:val="clear" w:color="auto" w:fill="D9D9D6"/>
          </w:tcPr>
          <w:p>
            <w:pPr>
              <w:spacing w:after="0" w:line="20" w:lineRule="exact"/>
              <w:rPr>
                <w:sz w:val="1"/>
                <w:szCs w:val="1"/>
                <w:color w:val="auto"/>
              </w:rPr>
            </w:pPr>
          </w:p>
        </w:tc>
        <w:tc>
          <w:tcPr>
            <w:tcW w:w="64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40" w:type="dxa"/>
            <w:vAlign w:val="bottom"/>
            <w:shd w:val="clear" w:color="auto" w:fill="D9D9D6"/>
          </w:tcPr>
          <w:p>
            <w:pPr>
              <w:spacing w:after="0" w:line="20" w:lineRule="exact"/>
              <w:rPr>
                <w:sz w:val="1"/>
                <w:szCs w:val="1"/>
                <w:color w:val="auto"/>
              </w:rPr>
            </w:pPr>
          </w:p>
        </w:tc>
        <w:tc>
          <w:tcPr>
            <w:tcW w:w="1580" w:type="dxa"/>
            <w:vAlign w:val="bottom"/>
            <w:shd w:val="clear" w:color="auto" w:fill="D9D9D6"/>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40" w:type="dxa"/>
            <w:vAlign w:val="bottom"/>
            <w:shd w:val="clear" w:color="auto" w:fill="D9D9D6"/>
          </w:tcPr>
          <w:p>
            <w:pPr>
              <w:spacing w:after="0" w:line="20" w:lineRule="exact"/>
              <w:rPr>
                <w:sz w:val="1"/>
                <w:szCs w:val="1"/>
                <w:color w:val="auto"/>
              </w:rPr>
            </w:pPr>
          </w:p>
        </w:tc>
      </w:tr>
      <w:tr>
        <w:trPr>
          <w:trHeight w:val="169"/>
        </w:trPr>
        <w:tc>
          <w:tcPr>
            <w:tcW w:w="6100" w:type="dxa"/>
            <w:vAlign w:val="bottom"/>
            <w:shd w:val="clear" w:color="auto" w:fill="D9D9D6"/>
          </w:tcPr>
          <w:p>
            <w:pPr>
              <w:spacing w:after="0"/>
              <w:rPr>
                <w:sz w:val="14"/>
                <w:szCs w:val="14"/>
                <w:color w:val="auto"/>
              </w:rPr>
            </w:pPr>
          </w:p>
        </w:tc>
        <w:tc>
          <w:tcPr>
            <w:tcW w:w="1320" w:type="dxa"/>
            <w:vAlign w:val="bottom"/>
            <w:gridSpan w:val="3"/>
            <w:shd w:val="clear" w:color="auto" w:fill="D9D9D6"/>
          </w:tcPr>
          <w:p>
            <w:pPr>
              <w:ind w:left="620"/>
              <w:spacing w:after="0"/>
              <w:rPr>
                <w:sz w:val="20"/>
                <w:szCs w:val="20"/>
                <w:color w:val="auto"/>
              </w:rPr>
            </w:pPr>
            <w:r>
              <w:rPr>
                <w:rFonts w:ascii="Arial" w:cs="Arial" w:eastAsia="Arial" w:hAnsi="Arial"/>
                <w:sz w:val="14"/>
                <w:szCs w:val="14"/>
                <w:color w:val="auto"/>
              </w:rPr>
              <w:t>1Q22</w:t>
            </w:r>
          </w:p>
        </w:tc>
        <w:tc>
          <w:tcPr>
            <w:tcW w:w="280" w:type="dxa"/>
            <w:vAlign w:val="bottom"/>
            <w:shd w:val="clear" w:color="auto" w:fill="D9D9D6"/>
          </w:tcPr>
          <w:p>
            <w:pPr>
              <w:spacing w:after="0"/>
              <w:rPr>
                <w:sz w:val="14"/>
                <w:szCs w:val="14"/>
                <w:color w:val="auto"/>
              </w:rPr>
            </w:pPr>
          </w:p>
        </w:tc>
        <w:tc>
          <w:tcPr>
            <w:tcW w:w="19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1Q21</w:t>
            </w:r>
          </w:p>
        </w:tc>
        <w:tc>
          <w:tcPr>
            <w:tcW w:w="840" w:type="dxa"/>
            <w:vAlign w:val="bottom"/>
            <w:gridSpan w:val="3"/>
            <w:shd w:val="clear" w:color="auto" w:fill="D9D9D6"/>
          </w:tcPr>
          <w:p>
            <w:pPr>
              <w:jc w:val="right"/>
              <w:ind w:right="440"/>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D9D9D6"/>
          </w:tcPr>
          <w:p>
            <w:pPr>
              <w:spacing w:after="0"/>
              <w:rPr>
                <w:sz w:val="14"/>
                <w:szCs w:val="14"/>
                <w:color w:val="auto"/>
              </w:rPr>
            </w:pPr>
          </w:p>
        </w:tc>
        <w:tc>
          <w:tcPr>
            <w:tcW w:w="660" w:type="dxa"/>
            <w:vAlign w:val="bottom"/>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2020</w:t>
            </w:r>
          </w:p>
        </w:tc>
      </w:tr>
      <w:tr>
        <w:trPr>
          <w:trHeight w:val="20"/>
        </w:trPr>
        <w:tc>
          <w:tcPr>
            <w:tcW w:w="6100" w:type="dxa"/>
            <w:vAlign w:val="bottom"/>
            <w:shd w:val="clear" w:color="auto" w:fill="D9D9D6"/>
          </w:tcPr>
          <w:p>
            <w:pPr>
              <w:spacing w:after="0" w:line="20" w:lineRule="exact"/>
              <w:rPr>
                <w:sz w:val="1"/>
                <w:szCs w:val="1"/>
                <w:color w:val="auto"/>
              </w:rPr>
            </w:pPr>
          </w:p>
        </w:tc>
        <w:tc>
          <w:tcPr>
            <w:tcW w:w="640" w:type="dxa"/>
            <w:vAlign w:val="bottom"/>
            <w:tcBorders>
              <w:right w:val="single" w:sz="8" w:color="auto"/>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8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D9D9D6"/>
          </w:tcPr>
          <w:p>
            <w:pPr>
              <w:spacing w:after="0" w:line="20" w:lineRule="exact"/>
              <w:rPr>
                <w:sz w:val="1"/>
                <w:szCs w:val="1"/>
                <w:color w:val="auto"/>
              </w:rPr>
            </w:pPr>
          </w:p>
        </w:tc>
      </w:tr>
      <w:tr>
        <w:trPr>
          <w:trHeight w:val="196"/>
        </w:trPr>
        <w:tc>
          <w:tcPr>
            <w:tcW w:w="6100" w:type="dxa"/>
            <w:vAlign w:val="bottom"/>
            <w:shd w:val="clear" w:color="auto" w:fill="D9D9D6"/>
          </w:tcPr>
          <w:p>
            <w:pPr>
              <w:ind w:left="240"/>
              <w:spacing w:after="0"/>
              <w:rPr>
                <w:sz w:val="20"/>
                <w:szCs w:val="20"/>
                <w:color w:val="auto"/>
              </w:rPr>
            </w:pPr>
            <w:r>
              <w:rPr>
                <w:rFonts w:ascii="Arial" w:cs="Arial" w:eastAsia="Arial" w:hAnsi="Arial"/>
                <w:sz w:val="14"/>
                <w:szCs w:val="14"/>
                <w:b w:val="1"/>
                <w:bCs w:val="1"/>
                <w:color w:val="auto"/>
              </w:rPr>
              <w:t>Total Customer Relationships</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22,921</w:t>
            </w:r>
          </w:p>
        </w:tc>
        <w:tc>
          <w:tcPr>
            <w:tcW w:w="360" w:type="dxa"/>
            <w:vAlign w:val="bottom"/>
            <w:shd w:val="clear" w:color="auto" w:fill="D9D9D6"/>
          </w:tcPr>
          <w:p>
            <w:pPr>
              <w:spacing w:after="0"/>
              <w:rPr>
                <w:sz w:val="17"/>
                <w:szCs w:val="17"/>
                <w:color w:val="auto"/>
              </w:rPr>
            </w:pPr>
          </w:p>
        </w:tc>
        <w:tc>
          <w:tcPr>
            <w:tcW w:w="6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23,446</w:t>
            </w:r>
          </w:p>
        </w:tc>
        <w:tc>
          <w:tcPr>
            <w:tcW w:w="1580" w:type="dxa"/>
            <w:vAlign w:val="bottom"/>
            <w:shd w:val="clear" w:color="auto" w:fill="D9D9D6"/>
          </w:tcPr>
          <w:p>
            <w:pPr>
              <w:spacing w:after="0"/>
              <w:rPr>
                <w:sz w:val="17"/>
                <w:szCs w:val="17"/>
                <w:color w:val="auto"/>
              </w:rPr>
            </w:pPr>
          </w:p>
        </w:tc>
        <w:tc>
          <w:tcPr>
            <w:tcW w:w="4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(106)</w:t>
            </w:r>
          </w:p>
        </w:tc>
        <w:tc>
          <w:tcPr>
            <w:tcW w:w="44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4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221</w:t>
            </w:r>
          </w:p>
        </w:tc>
        <w:tc>
          <w:tcPr>
            <w:tcW w:w="240" w:type="dxa"/>
            <w:vAlign w:val="bottom"/>
            <w:shd w:val="clear" w:color="auto" w:fill="D9D9D6"/>
          </w:tcPr>
          <w:p>
            <w:pPr>
              <w:spacing w:after="0"/>
              <w:rPr>
                <w:sz w:val="17"/>
                <w:szCs w:val="17"/>
                <w:color w:val="auto"/>
              </w:rPr>
            </w:pPr>
          </w:p>
        </w:tc>
      </w:tr>
      <w:tr>
        <w:trPr>
          <w:trHeight w:val="54"/>
        </w:trPr>
        <w:tc>
          <w:tcPr>
            <w:tcW w:w="6100" w:type="dxa"/>
            <w:vAlign w:val="bottom"/>
            <w:shd w:val="clear" w:color="auto" w:fill="D9D9D6"/>
          </w:tcPr>
          <w:p>
            <w:pPr>
              <w:spacing w:after="0"/>
              <w:rPr>
                <w:sz w:val="4"/>
                <w:szCs w:val="4"/>
                <w:color w:val="auto"/>
              </w:rPr>
            </w:pPr>
          </w:p>
        </w:tc>
        <w:tc>
          <w:tcPr>
            <w:tcW w:w="640" w:type="dxa"/>
            <w:vAlign w:val="bottom"/>
            <w:tcBorders>
              <w:right w:val="single" w:sz="8" w:color="D9D9D6"/>
            </w:tcBorders>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28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158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44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40" w:type="dxa"/>
            <w:vAlign w:val="bottom"/>
            <w:shd w:val="clear" w:color="auto" w:fill="D9D9D6"/>
          </w:tcPr>
          <w:p>
            <w:pPr>
              <w:spacing w:after="0"/>
              <w:rPr>
                <w:sz w:val="4"/>
                <w:szCs w:val="4"/>
                <w:color w:val="auto"/>
              </w:rPr>
            </w:pPr>
          </w:p>
        </w:tc>
      </w:tr>
    </w:tbl>
    <w:p>
      <w:pPr>
        <w:spacing w:after="0" w:line="3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Sky increased 71.0% to $622 million in the first quarter of 2022. Excluding the impact of currency, Adjusted EBITDA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71.2% compared to the prior year period, primarily reflecting lower operating expenses. The decrease in operating expenses was due to lower programming and production expenses, primarily reflecting resets in our sports rights in Italy and Germany.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Corporate and Other primarily relates to corporate operations, Comcast Spectacor, and our new smart TV initiatives, Sky Glass and XClass TV. Revenue in the first quarter of 2022 was $238 million compared to $89 million in the prior year period. Corporate and Other Adjusted EBITDA loss was $262 million, including losses from Sky Glass and XClass TV during the period, compared to a loss of $281 million in the prior year period which reflected the impact of COVID-19 on Spectacor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Amounts represent eliminations of transactions between Cable Communications, NBCUniversal, Sky and other businesses. Eliminations of transactions between NBCUniversal segments are presented separately. Revenue eliminations in the first quarter of 2022 were $840 million compared to $710 million in the prior year period, and Adjusted EBITDA eliminations were a loss of $82 million compared to a benefit of $10 million in the prior year period. Current year amounts reflect an increase in eliminations associated with the 2022 Beijing Olympics.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164465</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w:t>
      </w:r>
    </w:p>
    <w:p>
      <w:pPr>
        <w:spacing w:after="0" w:line="369" w:lineRule="exact"/>
        <w:rPr>
          <w:sz w:val="20"/>
          <w:szCs w:val="20"/>
          <w:color w:val="auto"/>
        </w:rPr>
      </w:pPr>
    </w:p>
    <w:p>
      <w:pPr>
        <w:jc w:val="both"/>
        <w:ind w:left="180" w:hanging="161"/>
        <w:spacing w:after="0" w:line="253"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51"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684" w:right="339" w:bottom="1440" w:gutter="0" w:footer="0" w:header="0"/>
        </w:sectPr>
      </w:pPr>
    </w:p>
    <w:bookmarkStart w:id="9" w:name="page10"/>
    <w:bookmarkEnd w:id="9"/>
    <w:p>
      <w:pPr>
        <w:jc w:val="both"/>
        <w:ind w:left="180" w:hanging="161"/>
        <w:spacing w:after="0" w:line="256" w:lineRule="auto"/>
        <w:rPr>
          <w:sz w:val="20"/>
          <w:szCs w:val="20"/>
          <w:color w:val="auto"/>
        </w:rPr>
      </w:pPr>
      <w:r>
        <w:rPr>
          <w:rFonts w:ascii="Arial" w:cs="Arial" w:eastAsia="Arial" w:hAnsi="Arial"/>
          <w:sz w:val="18"/>
          <w:szCs w:val="18"/>
          <w:color w:val="auto"/>
        </w:rPr>
        <w:t>5 From time to time, we may present adjusted information (e.g., Adjusted Revenues) to exclude the impact of certain events, gains, losses or other charges affecting period-to-period comparability of our operating performance. See Table 7 for reconciliations of non-GAAP financial measures.</w:t>
      </w:r>
    </w:p>
    <w:p>
      <w:pPr>
        <w:spacing w:after="0" w:line="148" w:lineRule="exact"/>
        <w:rPr>
          <w:sz w:val="20"/>
          <w:szCs w:val="20"/>
          <w:color w:val="auto"/>
        </w:rPr>
      </w:pPr>
    </w:p>
    <w:p>
      <w:pPr>
        <w:jc w:val="both"/>
        <w:ind w:left="180" w:hanging="161"/>
        <w:spacing w:after="0" w:line="253" w:lineRule="auto"/>
        <w:rPr>
          <w:sz w:val="20"/>
          <w:szCs w:val="20"/>
          <w:color w:val="auto"/>
        </w:rPr>
      </w:pPr>
      <w:r>
        <w:rPr>
          <w:rFonts w:ascii="Arial" w:cs="Arial" w:eastAsia="Arial" w:hAnsi="Arial"/>
          <w:sz w:val="18"/>
          <w:szCs w:val="18"/>
          <w:color w:val="auto"/>
        </w:rPr>
        <w:t>6 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generally presented on a consistent basis with the respective segments and include direct revenue and operating costs and expenses attributed to the component operations.</w:t>
      </w:r>
    </w:p>
    <w:p>
      <w:pPr>
        <w:spacing w:after="0" w:line="151"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7 Sky constant currency growth rates are calculated by comparing the current period results to the comparative period results in the prior year adjusted to reflect the average exchange rates from the current year period rather than the actual exchange rates in effect during the respective prior year periods. See Table 6 for reconciliation of Sky's constant currency growth.</w:t>
      </w:r>
    </w:p>
    <w:p>
      <w:pPr>
        <w:spacing w:after="0" w:line="148" w:lineRule="exact"/>
        <w:rPr>
          <w:sz w:val="20"/>
          <w:szCs w:val="20"/>
          <w:color w:val="auto"/>
        </w:rPr>
      </w:pPr>
    </w:p>
    <w:p>
      <w:pPr>
        <w:ind w:left="180"/>
        <w:spacing w:after="0" w:line="261" w:lineRule="auto"/>
        <w:rPr>
          <w:sz w:val="20"/>
          <w:szCs w:val="20"/>
          <w:color w:val="auto"/>
        </w:rPr>
      </w:pPr>
      <w:r>
        <w:rPr>
          <w:rFonts w:ascii="Arial" w:cs="Arial" w:eastAsia="Arial" w:hAnsi="Arial"/>
          <w:sz w:val="18"/>
          <w:szCs w:val="18"/>
          <w:color w:val="auto"/>
        </w:rPr>
        <w:t>Numerical information is presented on a rounded basis using actual amounts. Minor differences in totals and percentage calculations may exist due to rounding.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April 28, 2022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Those parties interested in participating via telephone should dial (833) 618-9487. A replay of the call will be available starting at 12:00 p.m. ET on Thursday, April 28, 2022 on the Investor Relations website or by telephone. To access the telephone replay, which will be available until Thursday, May 5, 2022 at midnight ET, please dial (855) 859-2056 and enter the conference ID number 5683886.</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9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48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760" w:type="dxa"/>
            <w:vAlign w:val="bottom"/>
          </w:tcPr>
          <w:p>
            <w:pPr>
              <w:spacing w:after="0"/>
              <w:rPr>
                <w:sz w:val="16"/>
                <w:szCs w:val="16"/>
                <w:color w:val="auto"/>
              </w:rPr>
            </w:pPr>
          </w:p>
        </w:tc>
      </w:tr>
      <w:tr>
        <w:trPr>
          <w:trHeight w:val="324"/>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760" w:type="dxa"/>
            <w:vAlign w:val="bottom"/>
          </w:tcPr>
          <w:p>
            <w:pPr>
              <w:spacing w:after="0"/>
              <w:rPr>
                <w:sz w:val="24"/>
                <w:szCs w:val="24"/>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760" w:type="dxa"/>
            <w:vAlign w:val="bottom"/>
          </w:tcPr>
          <w:p>
            <w:pPr>
              <w:jc w:val="right"/>
              <w:spacing w:after="0"/>
              <w:rPr>
                <w:sz w:val="20"/>
                <w:szCs w:val="20"/>
                <w:color w:val="auto"/>
              </w:rPr>
            </w:pPr>
            <w:r>
              <w:rPr>
                <w:rFonts w:ascii="Arial" w:cs="Arial" w:eastAsia="Arial" w:hAnsi="Arial"/>
                <w:sz w:val="16"/>
                <w:szCs w:val="16"/>
                <w:color w:val="auto"/>
              </w:rPr>
              <w:t>(215) 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760" w:type="dxa"/>
            <w:vAlign w:val="bottom"/>
          </w:tcPr>
          <w:p>
            <w:pPr>
              <w:jc w:val="right"/>
              <w:spacing w:after="0"/>
              <w:rPr>
                <w:sz w:val="20"/>
                <w:szCs w:val="20"/>
                <w:color w:val="auto"/>
              </w:rPr>
            </w:pPr>
            <w:r>
              <w:rPr>
                <w:rFonts w:ascii="Arial" w:cs="Arial" w:eastAsia="Arial" w:hAnsi="Arial"/>
                <w:sz w:val="16"/>
                <w:szCs w:val="16"/>
                <w:color w:val="auto"/>
              </w:rPr>
              <w:t>(215) 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8"/>
                <w:szCs w:val="18"/>
                <w:color w:val="auto"/>
              </w:rPr>
            </w:pPr>
          </w:p>
        </w:tc>
        <w:tc>
          <w:tcPr>
            <w:tcW w:w="1760" w:type="dxa"/>
            <w:vAlign w:val="bottom"/>
          </w:tcPr>
          <w:p>
            <w:pPr>
              <w:spacing w:after="0"/>
              <w:rPr>
                <w:sz w:val="18"/>
                <w:szCs w:val="18"/>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press release includes statements that may constitute forward-looking statements.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We undertake no obligation to update or revise publicly any forward-looking statements, whether because of new information, future events or otherwise.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706"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Comcast Corporation (Nasdaq: CMCSA) is a global media and technology company that connects people to moments that matter. We are principally focused on connectivity, aggregation, and streaming with 57 million customer relationships across the United States and Europe. We deliver broadband, wireless, and video through our Xfinity, Comcast Business, and Sky brands; create, distribute, and stream leading entertainment, sports, and news through Universal Filmed Entertainment Group, Universal Studio Group, Sky Studios, the NBC and Telemundo broadcast networks, multiple cable networks, Peacock, NBCUniversal News Group, NBC Sports, Sky News, and Sky Sports; and provide memorable experiences at Universal Parks and Resorts in the United States and Asia.</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Visit </w:t>
      </w:r>
      <w:r>
        <w:rPr>
          <w:rFonts w:ascii="Arial" w:cs="Arial" w:eastAsia="Arial" w:hAnsi="Arial"/>
          <w:sz w:val="16"/>
          <w:szCs w:val="16"/>
          <w:u w:val="single" w:color="auto"/>
          <w:color w:val="0000FF"/>
        </w:rPr>
        <w:t>www.comcastcorporation.com</w:t>
      </w:r>
      <w:r>
        <w:rPr>
          <w:rFonts w:ascii="Arial" w:cs="Arial" w:eastAsia="Arial" w:hAnsi="Arial"/>
          <w:sz w:val="16"/>
          <w:szCs w:val="16"/>
          <w:color w:val="auto"/>
        </w:rPr>
        <w:t xml:space="preserve"> for more information.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328930</wp:posOffset>
            </wp:positionV>
            <wp:extent cx="102870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0" w:type="dxa"/>
            <w:vAlign w:val="bottom"/>
          </w:tcPr>
          <w:p>
            <w:pPr>
              <w:spacing w:after="0"/>
              <w:rPr>
                <w:sz w:val="18"/>
                <w:szCs w:val="18"/>
                <w:color w:val="auto"/>
              </w:rPr>
            </w:pPr>
          </w:p>
        </w:tc>
        <w:tc>
          <w:tcPr>
            <w:tcW w:w="222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900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50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rPr>
              <w:t>March 31,</w:t>
            </w:r>
          </w:p>
        </w:tc>
        <w:tc>
          <w:tcPr>
            <w:tcW w:w="720" w:type="dxa"/>
            <w:vAlign w:val="bottom"/>
          </w:tcPr>
          <w:p>
            <w:pPr>
              <w:spacing w:after="0"/>
              <w:rPr>
                <w:sz w:val="18"/>
                <w:szCs w:val="18"/>
                <w:color w:val="auto"/>
              </w:rPr>
            </w:pPr>
          </w:p>
        </w:tc>
      </w:tr>
      <w:tr>
        <w:trPr>
          <w:trHeight w:val="216"/>
        </w:trPr>
        <w:tc>
          <w:tcPr>
            <w:tcW w:w="900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2021</w:t>
            </w:r>
          </w:p>
        </w:tc>
      </w:tr>
      <w:tr>
        <w:trPr>
          <w:trHeight w:val="214"/>
        </w:trPr>
        <w:tc>
          <w:tcPr>
            <w:tcW w:w="900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$31,010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$27,205</w:t>
            </w:r>
          </w:p>
        </w:tc>
      </w:tr>
      <w:tr>
        <w:trPr>
          <w:trHeight w:val="481"/>
        </w:trPr>
        <w:tc>
          <w:tcPr>
            <w:tcW w:w="900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900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10,570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8,919</w:t>
            </w:r>
          </w:p>
        </w:tc>
      </w:tr>
      <w:tr>
        <w:trPr>
          <w:trHeight w:val="216"/>
        </w:trPr>
        <w:tc>
          <w:tcPr>
            <w:tcW w:w="900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9,260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8,269</w:t>
            </w:r>
          </w:p>
        </w:tc>
      </w:tr>
      <w:tr>
        <w:trPr>
          <w:trHeight w:val="216"/>
        </w:trPr>
        <w:tc>
          <w:tcPr>
            <w:tcW w:w="9000" w:type="dxa"/>
            <w:vAlign w:val="bottom"/>
          </w:tcPr>
          <w:p>
            <w:pPr>
              <w:ind w:left="460"/>
              <w:spacing w:after="0"/>
              <w:rPr>
                <w:sz w:val="20"/>
                <w:szCs w:val="20"/>
                <w:color w:val="auto"/>
              </w:rPr>
            </w:pPr>
            <w:r>
              <w:rPr>
                <w:rFonts w:ascii="Arial" w:cs="Arial" w:eastAsia="Arial" w:hAnsi="Arial"/>
                <w:sz w:val="16"/>
                <w:szCs w:val="16"/>
                <w:color w:val="auto"/>
              </w:rPr>
              <w:t>Advertising, 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2,062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1,616</w:t>
            </w:r>
          </w:p>
        </w:tc>
      </w:tr>
      <w:tr>
        <w:trPr>
          <w:trHeight w:val="216"/>
        </w:trPr>
        <w:tc>
          <w:tcPr>
            <w:tcW w:w="900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2,213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2,117</w:t>
            </w:r>
          </w:p>
        </w:tc>
      </w:tr>
      <w:tr>
        <w:trPr>
          <w:trHeight w:val="219"/>
        </w:trPr>
        <w:tc>
          <w:tcPr>
            <w:tcW w:w="900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1,335</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w:t>
            </w:r>
          </w:p>
        </w:tc>
      </w:tr>
      <w:tr>
        <w:trPr>
          <w:trHeight w:val="212"/>
        </w:trPr>
        <w:tc>
          <w:tcPr>
            <w:tcW w:w="90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25,440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22,166</w:t>
            </w:r>
          </w:p>
        </w:tc>
      </w:tr>
      <w:tr>
        <w:trPr>
          <w:trHeight w:val="407"/>
        </w:trPr>
        <w:tc>
          <w:tcPr>
            <w:tcW w:w="900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5,569</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5,039</w:t>
            </w:r>
          </w:p>
        </w:tc>
      </w:tr>
      <w:tr>
        <w:trPr>
          <w:trHeight w:val="486"/>
        </w:trPr>
        <w:tc>
          <w:tcPr>
            <w:tcW w:w="900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(993)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(1,018)</w:t>
            </w:r>
          </w:p>
        </w:tc>
      </w:tr>
      <w:tr>
        <w:trPr>
          <w:trHeight w:val="486"/>
        </w:trPr>
        <w:tc>
          <w:tcPr>
            <w:tcW w:w="900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900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6"/>
        </w:trPr>
        <w:tc>
          <w:tcPr>
            <w:tcW w:w="900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9"/>
        </w:trPr>
        <w:tc>
          <w:tcPr>
            <w:tcW w:w="900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2"/>
        </w:trPr>
        <w:tc>
          <w:tcPr>
            <w:tcW w:w="90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r>
      <w:tr>
        <w:trPr>
          <w:trHeight w:val="461"/>
        </w:trPr>
        <w:tc>
          <w:tcPr>
            <w:tcW w:w="90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4,764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4,411</w:t>
            </w:r>
          </w:p>
        </w:tc>
      </w:tr>
      <w:tr>
        <w:trPr>
          <w:trHeight w:val="489"/>
        </w:trPr>
        <w:tc>
          <w:tcPr>
            <w:tcW w:w="900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(1,288)</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w:t>
            </w:r>
          </w:p>
        </w:tc>
      </w:tr>
      <w:tr>
        <w:trPr>
          <w:trHeight w:val="463"/>
        </w:trPr>
        <w:tc>
          <w:tcPr>
            <w:tcW w:w="900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3,476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3,292</w:t>
            </w:r>
          </w:p>
        </w:tc>
      </w:tr>
      <w:tr>
        <w:trPr>
          <w:trHeight w:val="486"/>
        </w:trPr>
        <w:tc>
          <w:tcPr>
            <w:tcW w:w="900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76"/>
        </w:trPr>
        <w:tc>
          <w:tcPr>
            <w:tcW w:w="90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10"/>
        </w:trPr>
        <w:tc>
          <w:tcPr>
            <w:tcW w:w="900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$3,549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$3,329</w:t>
            </w:r>
          </w:p>
        </w:tc>
      </w:tr>
      <w:tr>
        <w:trPr>
          <w:trHeight w:val="20"/>
        </w:trPr>
        <w:tc>
          <w:tcPr>
            <w:tcW w:w="9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01"/>
        </w:trPr>
        <w:tc>
          <w:tcPr>
            <w:tcW w:w="9000" w:type="dxa"/>
            <w:vAlign w:val="bottom"/>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 shareholders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$0.78</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r>
      <w:tr>
        <w:trPr>
          <w:trHeight w:val="21"/>
        </w:trPr>
        <w:tc>
          <w:tcPr>
            <w:tcW w:w="9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53"/>
        </w:trPr>
        <w:tc>
          <w:tcPr>
            <w:tcW w:w="900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4,558</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4,665</w:t>
            </w:r>
          </w:p>
        </w:tc>
      </w:tr>
      <w:tr>
        <w:trPr>
          <w:trHeight w:val="20"/>
        </w:trPr>
        <w:tc>
          <w:tcPr>
            <w:tcW w:w="9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20"/>
          </w:cols>
          <w:pgMar w:left="340" w:top="744"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354965</wp:posOffset>
            </wp:positionV>
            <wp:extent cx="102870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232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15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rPr>
              <w:t>March 31,</w:t>
            </w:r>
          </w:p>
        </w:tc>
        <w:tc>
          <w:tcPr>
            <w:tcW w:w="740" w:type="dxa"/>
            <w:vAlign w:val="bottom"/>
          </w:tcPr>
          <w:p>
            <w:pPr>
              <w:spacing w:after="0"/>
              <w:rPr>
                <w:sz w:val="18"/>
                <w:szCs w:val="18"/>
                <w:color w:val="auto"/>
              </w:rPr>
            </w:pPr>
          </w:p>
        </w:tc>
      </w:tr>
      <w:tr>
        <w:trPr>
          <w:trHeight w:val="216"/>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$3,476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$3,292</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3,548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3,362</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376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554</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363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314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19"/>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(379)</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409"/>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7,257</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7,751</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(1,856)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(1,859)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(641)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(612)</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Acquisitions, net of cash acquired</w:t>
            </w:r>
          </w:p>
        </w:tc>
        <w:tc>
          <w:tcPr>
            <w:tcW w:w="158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9"/>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11"/>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(2,597)</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(2,612)</w:t>
            </w:r>
          </w:p>
        </w:tc>
      </w:tr>
      <w:tr>
        <w:trPr>
          <w:trHeight w:val="407"/>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(3,223)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(1,166)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(1,080)</w:t>
            </w:r>
          </w:p>
        </w:tc>
      </w:tr>
      <w:tr>
        <w:trPr>
          <w:trHeight w:val="219"/>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(4,490)</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w:t>
            </w:r>
          </w:p>
        </w:tc>
      </w:tr>
      <w:tr>
        <w:trPr>
          <w:trHeight w:val="409"/>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135</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3,208</w:t>
            </w:r>
          </w:p>
        </w:tc>
      </w:tr>
      <w:tr>
        <w:trPr>
          <w:trHeight w:val="435"/>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8,778</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11,768</w:t>
            </w:r>
          </w:p>
        </w:tc>
      </w:tr>
      <w:tr>
        <w:trPr>
          <w:trHeight w:val="415"/>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$8,914</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$14,976</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40" w:top="784"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328930</wp:posOffset>
            </wp:positionV>
            <wp:extent cx="102870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3</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(in millions)</w:t>
            </w:r>
          </w:p>
        </w:tc>
        <w:tc>
          <w:tcPr>
            <w:tcW w:w="1840" w:type="dxa"/>
            <w:vAlign w:val="bottom"/>
            <w:gridSpan w:val="2"/>
          </w:tcPr>
          <w:p>
            <w:pPr>
              <w:ind w:left="380"/>
              <w:spacing w:after="0"/>
              <w:rPr>
                <w:sz w:val="20"/>
                <w:szCs w:val="20"/>
                <w:color w:val="auto"/>
              </w:rPr>
            </w:pPr>
            <w:r>
              <w:rPr>
                <w:rFonts w:ascii="Arial" w:cs="Arial" w:eastAsia="Arial" w:hAnsi="Arial"/>
                <w:sz w:val="18"/>
                <w:szCs w:val="18"/>
                <w:b w:val="1"/>
                <w:bCs w:val="1"/>
                <w:color w:val="auto"/>
              </w:rPr>
              <w:t>March 31,</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9"/>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$8,880</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$8,711</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12,300</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12,008</w:t>
            </w:r>
          </w:p>
        </w:tc>
        <w:tc>
          <w:tcPr>
            <w:tcW w:w="0" w:type="dxa"/>
            <w:vAlign w:val="bottom"/>
          </w:tcPr>
          <w:p>
            <w:pPr>
              <w:spacing w:after="0"/>
              <w:rPr>
                <w:sz w:val="1"/>
                <w:szCs w:val="1"/>
                <w:color w:val="auto"/>
              </w:rPr>
            </w:pPr>
          </w:p>
        </w:tc>
      </w:tr>
      <w:tr>
        <w:trPr>
          <w:trHeight w:val="239"/>
        </w:trPr>
        <w:tc>
          <w:tcPr>
            <w:tcW w:w="77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4,201</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25,381</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24,807</w:t>
            </w:r>
          </w:p>
        </w:tc>
        <w:tc>
          <w:tcPr>
            <w:tcW w:w="0" w:type="dxa"/>
            <w:vAlign w:val="bottom"/>
          </w:tcPr>
          <w:p>
            <w:pPr>
              <w:spacing w:after="0"/>
              <w:rPr>
                <w:sz w:val="1"/>
                <w:szCs w:val="1"/>
                <w:color w:val="auto"/>
              </w:rPr>
            </w:pPr>
          </w:p>
        </w:tc>
      </w:tr>
      <w:tr>
        <w:trPr>
          <w:trHeight w:val="426"/>
        </w:trPr>
        <w:tc>
          <w:tcPr>
            <w:tcW w:w="77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12,360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12,806</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Investments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8,287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8,082</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Investment securing collateralized obligation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646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53,820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54,047</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69,052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70,189</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Franchise rights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32,468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33,580</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12,694</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$274,074</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$275,905</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$12,707</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Accrued participations and residuals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1,744</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3,018</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10,071</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39"/>
        </w:trPr>
        <w:tc>
          <w:tcPr>
            <w:tcW w:w="77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2,117</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29,657</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29,348</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92,443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92,718</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Collateralized obligation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5,171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29,857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30,041</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20,441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20,620</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513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Equity</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94,693</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40"/>
              <w:spacing w:after="0"/>
              <w:rPr>
                <w:sz w:val="20"/>
                <w:szCs w:val="20"/>
                <w:color w:val="auto"/>
              </w:rPr>
            </w:pPr>
            <w:r>
              <w:rPr>
                <w:rFonts w:ascii="Arial" w:cs="Arial" w:eastAsia="Arial" w:hAnsi="Arial"/>
                <w:sz w:val="18"/>
                <w:szCs w:val="18"/>
                <w:color w:val="auto"/>
              </w:rPr>
              <w:t>Comcast Corporation shareholders' equity</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96,092</w:t>
            </w:r>
          </w:p>
        </w:tc>
        <w:tc>
          <w:tcPr>
            <w:tcW w:w="0" w:type="dxa"/>
            <w:vAlign w:val="bottom"/>
          </w:tcPr>
          <w:p>
            <w:pPr>
              <w:spacing w:after="0"/>
              <w:rPr>
                <w:sz w:val="1"/>
                <w:szCs w:val="1"/>
                <w:color w:val="auto"/>
              </w:rPr>
            </w:pPr>
          </w:p>
        </w:tc>
      </w:tr>
      <w:tr>
        <w:trPr>
          <w:trHeight w:val="239"/>
        </w:trPr>
        <w:tc>
          <w:tcPr>
            <w:tcW w:w="77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equity</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95,992</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97,490</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$274,074</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$275,905</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5520"/>
              <w:spacing w:after="0"/>
              <w:rPr>
                <w:sz w:val="20"/>
                <w:szCs w:val="20"/>
                <w:color w:val="auto"/>
              </w:rPr>
            </w:pPr>
            <w:r>
              <w:rPr>
                <w:rFonts w:ascii="Arial" w:cs="Arial" w:eastAsia="Arial" w:hAnsi="Arial"/>
                <w:sz w:val="14"/>
                <w:szCs w:val="14"/>
                <w:color w:val="auto"/>
              </w:rPr>
              <w:t>11</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8"/>
        </w:trPr>
        <w:tc>
          <w:tcPr>
            <w:tcW w:w="7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44"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-179705</wp:posOffset>
            </wp:positionV>
            <wp:extent cx="1028700" cy="43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0" cy="437515"/>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9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9"/>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83"/>
        </w:trPr>
        <w:tc>
          <w:tcPr>
            <w:tcW w:w="93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$3,549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$3,329</w:t>
            </w:r>
          </w:p>
        </w:tc>
        <w:tc>
          <w:tcPr>
            <w:tcW w:w="0" w:type="dxa"/>
            <w:vAlign w:val="bottom"/>
          </w:tcPr>
          <w:p>
            <w:pPr>
              <w:spacing w:after="0"/>
              <w:rPr>
                <w:sz w:val="1"/>
                <w:szCs w:val="1"/>
                <w:color w:val="auto"/>
              </w:rPr>
            </w:pPr>
          </w:p>
        </w:tc>
      </w:tr>
      <w:tr>
        <w:trPr>
          <w:trHeight w:val="189"/>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Income tax expense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1,288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189"/>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993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89"/>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Investment and other (income) loss, net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89"/>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3,548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3,362</w:t>
            </w:r>
          </w:p>
        </w:tc>
        <w:tc>
          <w:tcPr>
            <w:tcW w:w="0" w:type="dxa"/>
            <w:vAlign w:val="bottom"/>
          </w:tcPr>
          <w:p>
            <w:pPr>
              <w:spacing w:after="0"/>
              <w:rPr>
                <w:sz w:val="1"/>
                <w:szCs w:val="1"/>
                <w:color w:val="auto"/>
              </w:rPr>
            </w:pPr>
          </w:p>
        </w:tc>
      </w:tr>
      <w:tr>
        <w:trPr>
          <w:trHeight w:val="189"/>
        </w:trPr>
        <w:tc>
          <w:tcPr>
            <w:tcW w:w="934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w:t>
            </w: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93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$9,150</w:t>
            </w: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$8,413</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9340" w:type="dxa"/>
            <w:vAlign w:val="bottom"/>
            <w:tcBorders>
              <w:bottom w:val="single" w:sz="8" w:color="004EA8"/>
            </w:tcBorders>
            <w:gridSpan w:val="2"/>
            <w:vMerge w:val="continue"/>
          </w:tcPr>
          <w:p>
            <w:pPr>
              <w:spacing w:after="0"/>
              <w:rPr>
                <w:sz w:val="24"/>
                <w:szCs w:val="24"/>
                <w:color w:val="auto"/>
              </w:rPr>
            </w:pPr>
          </w:p>
        </w:tc>
        <w:tc>
          <w:tcPr>
            <w:tcW w:w="880" w:type="dxa"/>
            <w:vAlign w:val="bottom"/>
            <w:tcBorders>
              <w:bottom w:val="single" w:sz="8" w:color="004EA8"/>
            </w:tcBorders>
          </w:tcPr>
          <w:p>
            <w:pPr>
              <w:spacing w:after="0"/>
              <w:rPr>
                <w:sz w:val="24"/>
                <w:szCs w:val="24"/>
                <w:color w:val="auto"/>
              </w:rPr>
            </w:pPr>
          </w:p>
        </w:tc>
        <w:tc>
          <w:tcPr>
            <w:tcW w:w="80" w:type="dxa"/>
            <w:vAlign w:val="bottom"/>
            <w:tcBorders>
              <w:bottom w:val="single" w:sz="8" w:color="004EA8"/>
            </w:tcBorders>
          </w:tcPr>
          <w:p>
            <w:pPr>
              <w:spacing w:after="0"/>
              <w:rPr>
                <w:sz w:val="24"/>
                <w:szCs w:val="24"/>
                <w:color w:val="auto"/>
              </w:rPr>
            </w:pPr>
          </w:p>
        </w:tc>
        <w:tc>
          <w:tcPr>
            <w:tcW w:w="40" w:type="dxa"/>
            <w:vAlign w:val="bottom"/>
            <w:tcBorders>
              <w:bottom w:val="single" w:sz="8" w:color="004EA8"/>
            </w:tcBorders>
          </w:tcPr>
          <w:p>
            <w:pPr>
              <w:spacing w:after="0"/>
              <w:rPr>
                <w:sz w:val="24"/>
                <w:szCs w:val="24"/>
                <w:color w:val="auto"/>
              </w:rPr>
            </w:pPr>
          </w:p>
        </w:tc>
        <w:tc>
          <w:tcPr>
            <w:tcW w:w="280" w:type="dxa"/>
            <w:vAlign w:val="bottom"/>
            <w:tcBorders>
              <w:bottom w:val="single" w:sz="8" w:color="004EA8"/>
            </w:tcBorders>
          </w:tcPr>
          <w:p>
            <w:pPr>
              <w:spacing w:after="0"/>
              <w:rPr>
                <w:sz w:val="24"/>
                <w:szCs w:val="24"/>
                <w:color w:val="auto"/>
              </w:rPr>
            </w:pPr>
          </w:p>
        </w:tc>
        <w:tc>
          <w:tcPr>
            <w:tcW w:w="620" w:type="dxa"/>
            <w:vAlign w:val="bottom"/>
            <w:tcBorders>
              <w:bottom w:val="single" w:sz="8" w:color="004EA8"/>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9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tcPr>
          <w:p>
            <w:pPr>
              <w:jc w:val="center"/>
              <w:ind w:left="528"/>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3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83"/>
        </w:trPr>
        <w:tc>
          <w:tcPr>
            <w:tcW w:w="93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$7,257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$7,751</w:t>
            </w:r>
          </w:p>
        </w:tc>
        <w:tc>
          <w:tcPr>
            <w:tcW w:w="0" w:type="dxa"/>
            <w:vAlign w:val="bottom"/>
          </w:tcPr>
          <w:p>
            <w:pPr>
              <w:spacing w:after="0"/>
              <w:rPr>
                <w:sz w:val="1"/>
                <w:szCs w:val="1"/>
                <w:color w:val="auto"/>
              </w:rPr>
            </w:pPr>
          </w:p>
        </w:tc>
      </w:tr>
      <w:tr>
        <w:trPr>
          <w:trHeight w:val="189"/>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Capital expenditures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(1,856)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(1,859)</w:t>
            </w:r>
          </w:p>
        </w:tc>
        <w:tc>
          <w:tcPr>
            <w:tcW w:w="0" w:type="dxa"/>
            <w:vAlign w:val="bottom"/>
          </w:tcPr>
          <w:p>
            <w:pPr>
              <w:spacing w:after="0"/>
              <w:rPr>
                <w:sz w:val="1"/>
                <w:szCs w:val="1"/>
                <w:color w:val="auto"/>
              </w:rPr>
            </w:pPr>
          </w:p>
        </w:tc>
      </w:tr>
      <w:tr>
        <w:trPr>
          <w:trHeight w:val="189"/>
        </w:trPr>
        <w:tc>
          <w:tcPr>
            <w:tcW w:w="9320" w:type="dxa"/>
            <w:vAlign w:val="bottom"/>
          </w:tcPr>
          <w:p>
            <w:pPr>
              <w:ind w:left="20"/>
              <w:spacing w:after="0"/>
              <w:rPr>
                <w:sz w:val="20"/>
                <w:szCs w:val="20"/>
                <w:color w:val="auto"/>
              </w:rPr>
            </w:pPr>
            <w:r>
              <w:rPr>
                <w:rFonts w:ascii="Arial" w:cs="Arial" w:eastAsia="Arial" w:hAnsi="Arial"/>
                <w:sz w:val="14"/>
                <w:szCs w:val="14"/>
                <w:color w:val="auto"/>
              </w:rPr>
              <w:t>Cash paid for capitalized software and other intangible assets</w:t>
            </w: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83"/>
        </w:trPr>
        <w:tc>
          <w:tcPr>
            <w:tcW w:w="9320" w:type="dxa"/>
            <w:vAlign w:val="bottom"/>
          </w:tcPr>
          <w:p>
            <w:pPr>
              <w:ind w:left="20"/>
              <w:spacing w:after="0"/>
              <w:rPr>
                <w:sz w:val="20"/>
                <w:szCs w:val="20"/>
                <w:color w:val="auto"/>
              </w:rPr>
            </w:pPr>
            <w:r>
              <w:rPr>
                <w:rFonts w:ascii="Arial" w:cs="Arial" w:eastAsia="Arial" w:hAnsi="Arial"/>
                <w:sz w:val="14"/>
                <w:szCs w:val="14"/>
                <w:b w:val="1"/>
                <w:bCs w:val="1"/>
                <w:color w:val="auto"/>
              </w:rPr>
              <w:t>Free Cash Flow</w:t>
            </w: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$4,760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$5,280</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9340" w:type="dxa"/>
            <w:vAlign w:val="bottom"/>
            <w:tcBorders>
              <w:bottom w:val="single" w:sz="8" w:color="004EA8"/>
            </w:tcBorders>
            <w:gridSpan w:val="2"/>
          </w:tcPr>
          <w:p>
            <w:pPr>
              <w:ind w:left="20"/>
              <w:spacing w:after="0"/>
              <w:rPr>
                <w:sz w:val="20"/>
                <w:szCs w:val="20"/>
                <w:color w:val="auto"/>
              </w:rPr>
            </w:pPr>
            <w:r>
              <w:rPr>
                <w:rFonts w:ascii="Arial" w:cs="Arial" w:eastAsia="Arial" w:hAnsi="Arial"/>
                <w:sz w:val="18"/>
                <w:szCs w:val="18"/>
                <w:b w:val="1"/>
                <w:bCs w:val="1"/>
                <w:color w:val="828282"/>
              </w:rPr>
              <w:t>Alternate Presentation of Free Cash Flow (Unaudited)</w:t>
            </w:r>
          </w:p>
        </w:tc>
        <w:tc>
          <w:tcPr>
            <w:tcW w:w="880" w:type="dxa"/>
            <w:vAlign w:val="bottom"/>
            <w:tcBorders>
              <w:bottom w:val="single" w:sz="8" w:color="004EA8"/>
            </w:tcBorders>
          </w:tcPr>
          <w:p>
            <w:pPr>
              <w:spacing w:after="0"/>
              <w:rPr>
                <w:sz w:val="24"/>
                <w:szCs w:val="24"/>
                <w:color w:val="auto"/>
              </w:rPr>
            </w:pPr>
          </w:p>
        </w:tc>
        <w:tc>
          <w:tcPr>
            <w:tcW w:w="80" w:type="dxa"/>
            <w:vAlign w:val="bottom"/>
            <w:tcBorders>
              <w:bottom w:val="single" w:sz="8" w:color="004EA8"/>
            </w:tcBorders>
          </w:tcPr>
          <w:p>
            <w:pPr>
              <w:spacing w:after="0"/>
              <w:rPr>
                <w:sz w:val="24"/>
                <w:szCs w:val="24"/>
                <w:color w:val="auto"/>
              </w:rPr>
            </w:pPr>
          </w:p>
        </w:tc>
        <w:tc>
          <w:tcPr>
            <w:tcW w:w="40" w:type="dxa"/>
            <w:vAlign w:val="bottom"/>
            <w:tcBorders>
              <w:bottom w:val="single" w:sz="8" w:color="004EA8"/>
            </w:tcBorders>
          </w:tcPr>
          <w:p>
            <w:pPr>
              <w:spacing w:after="0"/>
              <w:rPr>
                <w:sz w:val="24"/>
                <w:szCs w:val="24"/>
                <w:color w:val="auto"/>
              </w:rPr>
            </w:pPr>
          </w:p>
        </w:tc>
        <w:tc>
          <w:tcPr>
            <w:tcW w:w="280" w:type="dxa"/>
            <w:vAlign w:val="bottom"/>
            <w:tcBorders>
              <w:bottom w:val="single" w:sz="8" w:color="004EA8"/>
            </w:tcBorders>
          </w:tcPr>
          <w:p>
            <w:pPr>
              <w:spacing w:after="0"/>
              <w:rPr>
                <w:sz w:val="24"/>
                <w:szCs w:val="24"/>
                <w:color w:val="auto"/>
              </w:rPr>
            </w:pPr>
          </w:p>
        </w:tc>
        <w:tc>
          <w:tcPr>
            <w:tcW w:w="620" w:type="dxa"/>
            <w:vAlign w:val="bottom"/>
            <w:tcBorders>
              <w:bottom w:val="single" w:sz="8" w:color="004EA8"/>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9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tcPr>
          <w:p>
            <w:pPr>
              <w:jc w:val="center"/>
              <w:ind w:left="528"/>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3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83"/>
        </w:trPr>
        <w:tc>
          <w:tcPr>
            <w:tcW w:w="93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$9,150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$8,413</w:t>
            </w:r>
          </w:p>
        </w:tc>
        <w:tc>
          <w:tcPr>
            <w:tcW w:w="0" w:type="dxa"/>
            <w:vAlign w:val="bottom"/>
          </w:tcPr>
          <w:p>
            <w:pPr>
              <w:spacing w:after="0"/>
              <w:rPr>
                <w:sz w:val="1"/>
                <w:szCs w:val="1"/>
                <w:color w:val="auto"/>
              </w:rPr>
            </w:pPr>
          </w:p>
        </w:tc>
      </w:tr>
      <w:tr>
        <w:trPr>
          <w:trHeight w:val="189"/>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Capital expenditures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(1,856)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(1,859)</w:t>
            </w:r>
          </w:p>
        </w:tc>
        <w:tc>
          <w:tcPr>
            <w:tcW w:w="0" w:type="dxa"/>
            <w:vAlign w:val="bottom"/>
          </w:tcPr>
          <w:p>
            <w:pPr>
              <w:spacing w:after="0"/>
              <w:rPr>
                <w:sz w:val="1"/>
                <w:szCs w:val="1"/>
                <w:color w:val="auto"/>
              </w:rPr>
            </w:pPr>
          </w:p>
        </w:tc>
      </w:tr>
      <w:tr>
        <w:trPr>
          <w:trHeight w:val="189"/>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Cash paid for capitalized software and other intangible assets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(641)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89"/>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Cash interest expense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(747)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89"/>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Cash taxes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9"/>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(1,475)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89"/>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Noncash share-based compensation</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376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89"/>
        </w:trPr>
        <w:tc>
          <w:tcPr>
            <w:tcW w:w="93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3"/>
        </w:trPr>
        <w:tc>
          <w:tcPr>
            <w:tcW w:w="9340" w:type="dxa"/>
            <w:vAlign w:val="bottom"/>
            <w:gridSpan w:val="2"/>
          </w:tcPr>
          <w:p>
            <w:pPr>
              <w:ind w:left="20"/>
              <w:spacing w:after="0"/>
              <w:rPr>
                <w:sz w:val="20"/>
                <w:szCs w:val="20"/>
                <w:color w:val="auto"/>
              </w:rPr>
            </w:pPr>
            <w:r>
              <w:rPr>
                <w:rFonts w:ascii="Arial" w:cs="Arial" w:eastAsia="Arial" w:hAnsi="Arial"/>
                <w:sz w:val="14"/>
                <w:szCs w:val="14"/>
                <w:b w:val="1"/>
                <w:bCs w:val="1"/>
                <w:color w:val="auto"/>
              </w:rPr>
              <w:t>Free Cash Flow</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$4,760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$5,280</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60" w:right="20" w:hanging="334"/>
        <w:spacing w:after="0" w:line="188" w:lineRule="auto"/>
        <w:tabs>
          <w:tab w:leader="none" w:pos="36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1st quarter 2022 and 2021 Adjusted EBITDA exclude $33 million and $12 million of other operating and administrative expense, respectively, related to our investment portfolio, and Sky transaction-related costs in 2021.</w:t>
      </w:r>
    </w:p>
    <w:p>
      <w:pPr>
        <w:spacing w:after="0" w:line="71" w:lineRule="exact"/>
        <w:rPr>
          <w:rFonts w:ascii="Arial" w:cs="Arial" w:eastAsia="Arial" w:hAnsi="Arial"/>
          <w:sz w:val="20"/>
          <w:szCs w:val="20"/>
          <w:color w:val="auto"/>
          <w:vertAlign w:val="superscript"/>
        </w:rPr>
      </w:pPr>
    </w:p>
    <w:p>
      <w:pPr>
        <w:ind w:left="360" w:right="160" w:hanging="334"/>
        <w:spacing w:after="0" w:line="188" w:lineRule="auto"/>
        <w:tabs>
          <w:tab w:leader="none" w:pos="36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1st quarter 2022 and 2021 include decreases of $33 million and $12 million, respectively, of costs related to our investment portfolio, and Sky transaction-related costs in 2021, as these amounts are excluded from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892" w:right="339" w:bottom="1440" w:gutter="0" w:footer="0" w:header="0"/>
        </w:sectPr>
      </w:pPr>
    </w:p>
    <w:bookmarkStart w:id="15" w:name="page16"/>
    <w:bookmarkEnd w:id="15"/>
    <w:p>
      <w:pPr>
        <w:ind w:left="12"/>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5986145</wp:posOffset>
            </wp:positionH>
            <wp:positionV relativeFrom="page">
              <wp:posOffset>526415</wp:posOffset>
            </wp:positionV>
            <wp:extent cx="1080135" cy="462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80135" cy="462915"/>
                    </a:xfrm>
                    <a:prstGeom prst="rect">
                      <a:avLst/>
                    </a:prstGeom>
                    <a:noFill/>
                  </pic:spPr>
                </pic:pic>
              </a:graphicData>
            </a:graphic>
          </wp:anchor>
        </w:drawing>
        <w:t>TABLE 5</w:t>
      </w:r>
    </w:p>
    <w:p>
      <w:pPr>
        <w:spacing w:after="0" w:line="287"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12"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940" w:type="dxa"/>
            <w:vAlign w:val="bottom"/>
            <w:gridSpan w:val="5"/>
          </w:tcPr>
          <w:p>
            <w:pPr>
              <w:jc w:val="center"/>
              <w:ind w:left="488"/>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100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70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0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16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EPS</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7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7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4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183"/>
        </w:trPr>
        <w:tc>
          <w:tcPr>
            <w:tcW w:w="77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 diluted earnings per share attributable to Comcast</w:t>
            </w:r>
          </w:p>
        </w:tc>
        <w:tc>
          <w:tcPr>
            <w:tcW w:w="116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rPr>
              <w:t>$3,549</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$0.78</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ind w:right="208"/>
              <w:spacing w:after="0"/>
              <w:rPr>
                <w:sz w:val="20"/>
                <w:szCs w:val="20"/>
                <w:color w:val="auto"/>
              </w:rPr>
            </w:pPr>
            <w:r>
              <w:rPr>
                <w:rFonts w:ascii="Arial" w:cs="Arial" w:eastAsia="Arial" w:hAnsi="Arial"/>
                <w:sz w:val="14"/>
                <w:szCs w:val="14"/>
                <w:color w:val="auto"/>
              </w:rPr>
              <w:t>$3,329</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80"/>
        </w:trPr>
        <w:tc>
          <w:tcPr>
            <w:tcW w:w="7700" w:type="dxa"/>
            <w:vAlign w:val="bottom"/>
          </w:tcPr>
          <w:p>
            <w:pPr>
              <w:spacing w:after="0"/>
              <w:rPr>
                <w:sz w:val="20"/>
                <w:szCs w:val="20"/>
                <w:color w:val="auto"/>
              </w:rPr>
            </w:pPr>
            <w:r>
              <w:rPr>
                <w:rFonts w:ascii="Arial" w:cs="Arial" w:eastAsia="Arial" w:hAnsi="Arial"/>
                <w:sz w:val="14"/>
                <w:szCs w:val="14"/>
                <w:b w:val="1"/>
                <w:bCs w:val="1"/>
                <w:color w:val="auto"/>
              </w:rPr>
              <w:t>Corporation shareholders</w:t>
            </w:r>
          </w:p>
        </w:tc>
        <w:tc>
          <w:tcPr>
            <w:tcW w:w="11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70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60" w:type="dxa"/>
            <w:vAlign w:val="bottom"/>
          </w:tcPr>
          <w:p>
            <w:pPr>
              <w:jc w:val="right"/>
              <w:ind w:right="268"/>
              <w:spacing w:after="0"/>
              <w:rPr>
                <w:sz w:val="20"/>
                <w:szCs w:val="20"/>
                <w:color w:val="auto"/>
              </w:rPr>
            </w:pPr>
            <w:r>
              <w:rPr>
                <w:rFonts w:ascii="Arial" w:cs="Arial" w:eastAsia="Arial" w:hAnsi="Arial"/>
                <w:sz w:val="14"/>
                <w:szCs w:val="14"/>
                <w:i w:val="1"/>
                <w:iCs w:val="1"/>
                <w:color w:val="auto"/>
              </w:rPr>
              <w:t>6.6 %</w:t>
            </w: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9.9 %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70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1160" w:type="dxa"/>
            <w:vAlign w:val="bottom"/>
          </w:tcPr>
          <w:p>
            <w:pPr>
              <w:jc w:val="right"/>
              <w:ind w:right="268"/>
              <w:spacing w:after="0"/>
              <w:rPr>
                <w:sz w:val="20"/>
                <w:szCs w:val="20"/>
                <w:color w:val="auto"/>
              </w:rPr>
            </w:pPr>
            <w:r>
              <w:rPr>
                <w:rFonts w:ascii="Arial" w:cs="Arial" w:eastAsia="Arial" w:hAnsi="Arial"/>
                <w:sz w:val="14"/>
                <w:szCs w:val="14"/>
                <w:b w:val="1"/>
                <w:bCs w:val="1"/>
                <w:color w:val="auto"/>
              </w:rPr>
              <w:t>481</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477</w:t>
            </w:r>
          </w:p>
        </w:tc>
        <w:tc>
          <w:tcPr>
            <w:tcW w:w="580" w:type="dxa"/>
            <w:vAlign w:val="bottom"/>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07"/>
        </w:trPr>
        <w:tc>
          <w:tcPr>
            <w:tcW w:w="7700" w:type="dxa"/>
            <w:vAlign w:val="bottom"/>
          </w:tcPr>
          <w:p>
            <w:pPr>
              <w:spacing w:after="0"/>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1160" w:type="dxa"/>
            <w:vAlign w:val="bottom"/>
          </w:tcPr>
          <w:p>
            <w:pPr>
              <w:jc w:val="right"/>
              <w:ind w:right="268"/>
              <w:spacing w:after="0"/>
              <w:rPr>
                <w:sz w:val="20"/>
                <w:szCs w:val="20"/>
                <w:color w:val="auto"/>
              </w:rPr>
            </w:pPr>
            <w:r>
              <w:rPr>
                <w:rFonts w:ascii="Arial" w:cs="Arial" w:eastAsia="Arial" w:hAnsi="Arial"/>
                <w:sz w:val="14"/>
                <w:szCs w:val="14"/>
                <w:b w:val="1"/>
                <w:bCs w:val="1"/>
                <w:color w:val="auto"/>
              </w:rPr>
              <w:t>(130)</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(287)</w:t>
            </w:r>
          </w:p>
        </w:tc>
        <w:tc>
          <w:tcPr>
            <w:tcW w:w="580" w:type="dxa"/>
            <w:vAlign w:val="bottom"/>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72"/>
        </w:trPr>
        <w:tc>
          <w:tcPr>
            <w:tcW w:w="770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116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700" w:type="dxa"/>
            <w:vAlign w:val="bottom"/>
          </w:tcPr>
          <w:p>
            <w:pPr>
              <w:ind w:left="120"/>
              <w:spacing w:after="0" w:line="188" w:lineRule="exact"/>
              <w:rPr>
                <w:sz w:val="20"/>
                <w:szCs w:val="20"/>
                <w:color w:val="auto"/>
              </w:rPr>
            </w:pPr>
            <w:r>
              <w:rPr>
                <w:rFonts w:ascii="Arial" w:cs="Arial" w:eastAsia="Arial" w:hAnsi="Arial"/>
                <w:sz w:val="14"/>
                <w:szCs w:val="14"/>
                <w:color w:val="auto"/>
              </w:rPr>
              <w:t xml:space="preserve">Costs related to Sky transaction </w:t>
            </w:r>
            <w:r>
              <w:rPr>
                <w:rFonts w:ascii="Arial" w:cs="Arial" w:eastAsia="Arial" w:hAnsi="Arial"/>
                <w:sz w:val="18"/>
                <w:szCs w:val="18"/>
                <w:color w:val="auto"/>
                <w:vertAlign w:val="superscript"/>
              </w:rPr>
              <w:t>(3)</w:t>
            </w:r>
          </w:p>
        </w:tc>
        <w:tc>
          <w:tcPr>
            <w:tcW w:w="1160" w:type="dxa"/>
            <w:vAlign w:val="bottom"/>
            <w:vMerge w:val="continue"/>
          </w:tcPr>
          <w:p>
            <w:pPr>
              <w:spacing w:after="0"/>
              <w:rPr>
                <w:sz w:val="16"/>
                <w:szCs w:val="16"/>
                <w:color w:val="auto"/>
              </w:rPr>
            </w:pPr>
          </w:p>
        </w:tc>
        <w:tc>
          <w:tcPr>
            <w:tcW w:w="1000" w:type="dxa"/>
            <w:vAlign w:val="bottom"/>
            <w:gridSpan w:val="3"/>
          </w:tcPr>
          <w:p>
            <w:pPr>
              <w:jc w:val="right"/>
              <w:ind w:right="5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10</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11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$3,900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$0.86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$3,529</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i w:val="1"/>
                <w:iCs w:val="1"/>
                <w:color w:val="auto"/>
              </w:rPr>
              <w:t>Change</w:t>
            </w: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700" w:type="dxa"/>
            <w:vAlign w:val="bottom"/>
            <w:vMerge w:val="continue"/>
          </w:tcPr>
          <w:p>
            <w:pPr>
              <w:spacing w:after="0"/>
              <w:rPr>
                <w:sz w:val="16"/>
                <w:szCs w:val="16"/>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i w:val="1"/>
                <w:iCs w:val="1"/>
                <w:color w:val="auto"/>
              </w:rPr>
              <w:t>10.5 %</w:t>
            </w: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13.2 %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left="252" w:right="40" w:hanging="252"/>
        <w:spacing w:after="0" w:line="250" w:lineRule="auto"/>
        <w:tabs>
          <w:tab w:leader="none" w:pos="244"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38" w:lineRule="exact"/>
        <w:rPr>
          <w:sz w:val="20"/>
          <w:szCs w:val="20"/>
          <w:color w:val="auto"/>
        </w:rPr>
      </w:pPr>
    </w:p>
    <w:p>
      <w:pPr>
        <w:jc w:val="center"/>
        <w:ind w:left="8800"/>
        <w:spacing w:after="0"/>
        <w:rPr>
          <w:sz w:val="20"/>
          <w:szCs w:val="20"/>
          <w:color w:val="auto"/>
        </w:rPr>
      </w:pPr>
      <w:r>
        <w:rPr>
          <w:rFonts w:ascii="Arial" w:cs="Arial" w:eastAsia="Arial" w:hAnsi="Arial"/>
          <w:sz w:val="13"/>
          <w:szCs w:val="13"/>
          <w:color w:val="auto"/>
        </w:rPr>
        <w:t>Three Months Ended</w:t>
      </w:r>
    </w:p>
    <w:p>
      <w:pPr>
        <w:jc w:val="center"/>
        <w:ind w:left="8800"/>
        <w:spacing w:after="0"/>
        <w:rPr>
          <w:sz w:val="20"/>
          <w:szCs w:val="20"/>
          <w:color w:val="auto"/>
        </w:rPr>
      </w:pPr>
      <w:r>
        <w:rPr>
          <w:rFonts w:ascii="Arial" w:cs="Arial" w:eastAsia="Arial" w:hAnsi="Arial"/>
          <w:sz w:val="13"/>
          <w:szCs w:val="13"/>
          <w:color w:val="auto"/>
        </w:rPr>
        <w:t>March 31,</w:t>
      </w:r>
    </w:p>
    <w:p>
      <w:pPr>
        <w:spacing w:after="0" w:line="26" w:lineRule="exact"/>
        <w:rPr>
          <w:sz w:val="20"/>
          <w:szCs w:val="20"/>
          <w:color w:val="auto"/>
        </w:rPr>
      </w:pPr>
    </w:p>
    <w:tbl>
      <w:tblPr>
        <w:tblLayout w:type="fixed"/>
        <w:tblInd w:w="392"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r>
      <w:tr>
        <w:trPr>
          <w:trHeight w:val="169"/>
        </w:trPr>
        <w:tc>
          <w:tcPr>
            <w:tcW w:w="872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$592</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$592</w:t>
            </w:r>
          </w:p>
        </w:tc>
      </w:tr>
      <w:tr>
        <w:trPr>
          <w:trHeight w:val="176"/>
        </w:trPr>
        <w:tc>
          <w:tcPr>
            <w:tcW w:w="872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$477</w:t>
            </w:r>
          </w:p>
        </w:tc>
      </w:tr>
      <w:tr>
        <w:trPr>
          <w:trHeight w:val="21"/>
        </w:trPr>
        <w:tc>
          <w:tcPr>
            <w:tcW w:w="8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52" w:right="220" w:hanging="252"/>
        <w:spacing w:after="0" w:line="242" w:lineRule="auto"/>
        <w:tabs>
          <w:tab w:leader="none" w:pos="244"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8" w:lineRule="exact"/>
        <w:rPr>
          <w:sz w:val="20"/>
          <w:szCs w:val="20"/>
          <w:color w:val="auto"/>
        </w:rPr>
      </w:pPr>
    </w:p>
    <w:p>
      <w:pPr>
        <w:jc w:val="center"/>
        <w:ind w:left="8800"/>
        <w:spacing w:after="0"/>
        <w:rPr>
          <w:sz w:val="20"/>
          <w:szCs w:val="20"/>
          <w:color w:val="auto"/>
        </w:rPr>
      </w:pPr>
      <w:r>
        <w:rPr>
          <w:rFonts w:ascii="Arial" w:cs="Arial" w:eastAsia="Arial" w:hAnsi="Arial"/>
          <w:sz w:val="13"/>
          <w:szCs w:val="13"/>
          <w:color w:val="auto"/>
        </w:rPr>
        <w:t>Three Months Ended</w:t>
      </w:r>
    </w:p>
    <w:p>
      <w:pPr>
        <w:jc w:val="center"/>
        <w:ind w:left="8800"/>
        <w:spacing w:after="0"/>
        <w:rPr>
          <w:sz w:val="20"/>
          <w:szCs w:val="20"/>
          <w:color w:val="auto"/>
        </w:rPr>
      </w:pPr>
      <w:r>
        <w:rPr>
          <w:rFonts w:ascii="Arial" w:cs="Arial" w:eastAsia="Arial" w:hAnsi="Arial"/>
          <w:sz w:val="13"/>
          <w:szCs w:val="13"/>
          <w:color w:val="auto"/>
        </w:rPr>
        <w:t>March 31,</w:t>
      </w:r>
    </w:p>
    <w:p>
      <w:pPr>
        <w:spacing w:after="0" w:line="26" w:lineRule="exact"/>
        <w:rPr>
          <w:sz w:val="20"/>
          <w:szCs w:val="20"/>
          <w:color w:val="auto"/>
        </w:rPr>
      </w:pPr>
    </w:p>
    <w:tbl>
      <w:tblPr>
        <w:tblLayout w:type="fixed"/>
        <w:tblInd w:w="392"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r>
      <w:tr>
        <w:trPr>
          <w:trHeight w:val="160"/>
        </w:trPr>
        <w:tc>
          <w:tcPr>
            <w:tcW w:w="872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($117)</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($237)</w:t>
            </w:r>
          </w:p>
        </w:tc>
      </w:tr>
      <w:tr>
        <w:trPr>
          <w:trHeight w:val="185"/>
        </w:trPr>
        <w:tc>
          <w:tcPr>
            <w:tcW w:w="872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r>
      <w:tr>
        <w:trPr>
          <w:trHeight w:val="160"/>
        </w:trPr>
        <w:tc>
          <w:tcPr>
            <w:tcW w:w="872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(172)</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(370)</w:t>
            </w:r>
          </w:p>
        </w:tc>
      </w:tr>
      <w:tr>
        <w:trPr>
          <w:trHeight w:val="191"/>
        </w:trPr>
        <w:tc>
          <w:tcPr>
            <w:tcW w:w="872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w:t>
            </w:r>
          </w:p>
        </w:tc>
      </w:tr>
      <w:tr>
        <w:trPr>
          <w:trHeight w:val="21"/>
        </w:trPr>
        <w:tc>
          <w:tcPr>
            <w:tcW w:w="8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232" w:hanging="232"/>
        <w:spacing w:after="0"/>
        <w:tabs>
          <w:tab w:leader="none" w:pos="232" w:val="left"/>
        </w:tabs>
        <w:numPr>
          <w:ilvl w:val="0"/>
          <w:numId w:val="6"/>
        </w:numPr>
        <w:rPr>
          <w:rFonts w:ascii="Arial" w:cs="Arial" w:eastAsia="Arial" w:hAnsi="Arial"/>
          <w:sz w:val="13"/>
          <w:szCs w:val="13"/>
          <w:color w:val="auto"/>
        </w:rPr>
      </w:pPr>
      <w:r>
        <w:rPr>
          <w:rFonts w:ascii="Arial" w:cs="Arial" w:eastAsia="Arial" w:hAnsi="Arial"/>
          <w:sz w:val="13"/>
          <w:szCs w:val="13"/>
          <w:color w:val="auto"/>
        </w:rPr>
        <w:t>1st quarter 2021 net income attributable to Comcast Corporation includes $12 million of operating costs and expenses, $10 million net of tax, related to the Sky transaction.</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16" w:lineRule="exact"/>
        <w:rPr>
          <w:rFonts w:ascii="Arial" w:cs="Arial" w:eastAsia="Arial" w:hAnsi="Arial"/>
          <w:sz w:val="13"/>
          <w:szCs w:val="13"/>
          <w:color w:val="auto"/>
        </w:rPr>
      </w:pPr>
    </w:p>
    <w:p>
      <w:pPr>
        <w:ind w:left="5532"/>
        <w:spacing w:after="0"/>
        <w:rPr>
          <w:rFonts w:ascii="Arial" w:cs="Arial" w:eastAsia="Arial" w:hAnsi="Arial"/>
          <w:sz w:val="13"/>
          <w:szCs w:val="13"/>
          <w:color w:val="auto"/>
        </w:rPr>
      </w:pPr>
      <w:r>
        <w:rPr>
          <w:rFonts w:ascii="Arial" w:cs="Arial" w:eastAsia="Arial" w:hAnsi="Arial"/>
          <w:sz w:val="14"/>
          <w:szCs w:val="14"/>
          <w:color w:val="auto"/>
        </w:rPr>
        <w:t>13</w:t>
      </w:r>
    </w:p>
    <w:p>
      <w:pPr>
        <w:sectPr>
          <w:pgSz w:w="11900" w:h="16838" w:orient="portrait"/>
          <w:cols w:equalWidth="0" w:num="1">
            <w:col w:w="11232"/>
          </w:cols>
          <w:pgMar w:left="328" w:top="852" w:right="339" w:bottom="1440" w:gutter="0" w:footer="0" w:header="0"/>
        </w:sectPr>
      </w:pPr>
    </w:p>
    <w:bookmarkStart w:id="16" w:name="page17"/>
    <w:bookmarkEnd w:id="16"/>
    <w:p>
      <w:pPr>
        <w:ind w:left="6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6097270</wp:posOffset>
            </wp:positionH>
            <wp:positionV relativeFrom="page">
              <wp:posOffset>543560</wp:posOffset>
            </wp:positionV>
            <wp:extent cx="1209040" cy="52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2605"/>
                    </a:xfrm>
                    <a:prstGeom prst="rect">
                      <a:avLst/>
                    </a:prstGeom>
                    <a:noFill/>
                  </pic:spPr>
                </pic:pic>
              </a:graphicData>
            </a:graphic>
          </wp:anchor>
        </w:drawing>
        <w:t>TABLE 6</w:t>
      </w:r>
    </w:p>
    <w:p>
      <w:pPr>
        <w:spacing w:after="0" w:line="25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828282"/>
        </w:rPr>
        <w:t>Reconciliation of Sky Constant Currency Growth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70891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3200" w:type="dxa"/>
            <w:vAlign w:val="bottom"/>
            <w:gridSpan w:val="7"/>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3"/>
        </w:trPr>
        <w:tc>
          <w:tcPr>
            <w:tcW w:w="8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March 31,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Arial" w:cs="Arial" w:eastAsia="Arial" w:hAnsi="Arial"/>
                <w:sz w:val="16"/>
                <w:szCs w:val="16"/>
                <w:color w:val="auto"/>
              </w:rPr>
              <w:t>(in millions)</w:t>
            </w:r>
          </w:p>
        </w:tc>
        <w:tc>
          <w:tcPr>
            <w:tcW w:w="88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6"/>
              <w:spacing w:after="0" w:line="229" w:lineRule="exact"/>
              <w:rPr>
                <w:sz w:val="20"/>
                <w:szCs w:val="20"/>
                <w:color w:val="auto"/>
              </w:rPr>
            </w:pPr>
            <w:r>
              <w:rPr>
                <w:rFonts w:ascii="Arial" w:cs="Arial" w:eastAsia="Arial" w:hAnsi="Arial"/>
                <w:sz w:val="16"/>
                <w:szCs w:val="16"/>
                <w:color w:val="auto"/>
              </w:rPr>
              <w:t>2021</w:t>
            </w:r>
            <w:r>
              <w:rPr>
                <w:rFonts w:ascii="Arial" w:cs="Arial" w:eastAsia="Arial" w:hAnsi="Arial"/>
                <w:sz w:val="21"/>
                <w:szCs w:val="21"/>
                <w:b w:val="1"/>
                <w:bCs w:val="1"/>
                <w:color w:val="auto"/>
                <w:vertAlign w:val="superscript"/>
              </w:rPr>
              <w:t>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47"/>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05"/>
        </w:trPr>
        <w:tc>
          <w:tcPr>
            <w:tcW w:w="8020" w:type="dxa"/>
            <w:vAlign w:val="bottom"/>
          </w:tcPr>
          <w:p>
            <w:pPr>
              <w:spacing w:after="0"/>
              <w:rPr>
                <w:sz w:val="20"/>
                <w:szCs w:val="20"/>
                <w:color w:val="auto"/>
              </w:rPr>
            </w:pPr>
            <w:r>
              <w:rPr>
                <w:rFonts w:ascii="Arial" w:cs="Arial" w:eastAsia="Arial" w:hAnsi="Arial"/>
                <w:sz w:val="16"/>
                <w:szCs w:val="16"/>
                <w:color w:val="auto"/>
              </w:rPr>
              <w:t>Direct-to-Consumer</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$3,884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3,901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(0.4 %)</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6"/>
                <w:szCs w:val="16"/>
                <w:color w:val="auto"/>
              </w:rPr>
              <w:t>Content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(14.3 %)</w:t>
            </w:r>
          </w:p>
        </w:tc>
        <w:tc>
          <w:tcPr>
            <w:tcW w:w="0" w:type="dxa"/>
            <w:vAlign w:val="bottom"/>
          </w:tcPr>
          <w:p>
            <w:pPr>
              <w:spacing w:after="0"/>
              <w:rPr>
                <w:sz w:val="1"/>
                <w:szCs w:val="1"/>
                <w:color w:val="auto"/>
              </w:rPr>
            </w:pPr>
          </w:p>
        </w:tc>
      </w:tr>
      <w:tr>
        <w:trPr>
          <w:trHeight w:val="215"/>
        </w:trPr>
        <w:tc>
          <w:tcPr>
            <w:tcW w:w="8020" w:type="dxa"/>
            <w:vAlign w:val="bottom"/>
          </w:tcPr>
          <w:p>
            <w:pPr>
              <w:spacing w:after="0"/>
              <w:rPr>
                <w:sz w:val="20"/>
                <w:szCs w:val="20"/>
                <w:color w:val="auto"/>
              </w:rPr>
            </w:pPr>
            <w:r>
              <w:rPr>
                <w:rFonts w:ascii="Arial" w:cs="Arial" w:eastAsia="Arial" w:hAnsi="Arial"/>
                <w:sz w:val="16"/>
                <w:szCs w:val="16"/>
                <w:color w:val="auto"/>
              </w:rPr>
              <w:t>Advertising</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7"/>
              <w:spacing w:after="0"/>
              <w:rPr>
                <w:sz w:val="20"/>
                <w:szCs w:val="20"/>
                <w:color w:val="auto"/>
              </w:rPr>
            </w:pPr>
            <w:r>
              <w:rPr>
                <w:rFonts w:ascii="Arial" w:cs="Arial" w:eastAsia="Arial" w:hAnsi="Arial"/>
                <w:sz w:val="14"/>
                <w:szCs w:val="14"/>
                <w:color w:val="auto"/>
              </w:rPr>
              <w:t>7.9 %</w:t>
            </w:r>
          </w:p>
        </w:tc>
        <w:tc>
          <w:tcPr>
            <w:tcW w:w="0" w:type="dxa"/>
            <w:vAlign w:val="bottom"/>
          </w:tcPr>
          <w:p>
            <w:pPr>
              <w:spacing w:after="0"/>
              <w:rPr>
                <w:sz w:val="1"/>
                <w:szCs w:val="1"/>
                <w:color w:val="auto"/>
              </w:rPr>
            </w:pPr>
          </w:p>
        </w:tc>
      </w:tr>
      <w:tr>
        <w:trPr>
          <w:trHeight w:val="183"/>
        </w:trPr>
        <w:tc>
          <w:tcPr>
            <w:tcW w:w="8020" w:type="dxa"/>
            <w:vAlign w:val="bottom"/>
          </w:tcPr>
          <w:p>
            <w:pPr>
              <w:spacing w:after="0" w:line="183" w:lineRule="exact"/>
              <w:rPr>
                <w:sz w:val="20"/>
                <w:szCs w:val="20"/>
                <w:color w:val="auto"/>
              </w:rPr>
            </w:pPr>
            <w:r>
              <w:rPr>
                <w:rFonts w:ascii="Arial" w:cs="Arial" w:eastAsia="Arial" w:hAnsi="Arial"/>
                <w:sz w:val="16"/>
                <w:szCs w:val="16"/>
                <w:b w:val="1"/>
                <w:bCs w:val="1"/>
                <w:color w:val="auto"/>
              </w:rPr>
              <w:t>Revenue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$4,775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(0.5 %)</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6"/>
                <w:szCs w:val="16"/>
                <w:b w:val="1"/>
                <w:bCs w:val="1"/>
                <w:color w:val="auto"/>
              </w:rPr>
              <w:t>Operating costs and expenses</w:t>
            </w: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8020" w:type="dxa"/>
            <w:vAlign w:val="bottom"/>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$4,153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(6.3 %)</w:t>
            </w:r>
          </w:p>
        </w:tc>
        <w:tc>
          <w:tcPr>
            <w:tcW w:w="0" w:type="dxa"/>
            <w:vAlign w:val="bottom"/>
          </w:tcPr>
          <w:p>
            <w:pPr>
              <w:spacing w:after="0"/>
              <w:rPr>
                <w:sz w:val="1"/>
                <w:szCs w:val="1"/>
                <w:color w:val="auto"/>
              </w:rPr>
            </w:pPr>
          </w:p>
        </w:tc>
      </w:tr>
      <w:tr>
        <w:trPr>
          <w:trHeight w:val="222"/>
        </w:trPr>
        <w:tc>
          <w:tcPr>
            <w:tcW w:w="802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7"/>
              <w:spacing w:after="0"/>
              <w:rPr>
                <w:sz w:val="20"/>
                <w:szCs w:val="20"/>
                <w:color w:val="auto"/>
              </w:rPr>
            </w:pPr>
            <w:r>
              <w:rPr>
                <w:rFonts w:ascii="Arial" w:cs="Arial" w:eastAsia="Arial" w:hAnsi="Arial"/>
                <w:sz w:val="14"/>
                <w:szCs w:val="14"/>
                <w:color w:val="auto"/>
              </w:rPr>
              <w:t>71.2 %</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60" w:right="20" w:hanging="252"/>
        <w:spacing w:after="0" w:line="242" w:lineRule="auto"/>
        <w:tabs>
          <w:tab w:leader="none" w:pos="252" w:val="left"/>
        </w:tabs>
        <w:numPr>
          <w:ilvl w:val="0"/>
          <w:numId w:val="7"/>
        </w:numPr>
        <w:rPr>
          <w:rFonts w:ascii="Arial" w:cs="Arial" w:eastAsia="Arial" w:hAnsi="Arial"/>
          <w:sz w:val="13"/>
          <w:szCs w:val="13"/>
          <w:color w:val="auto"/>
        </w:rPr>
      </w:pPr>
      <w:r>
        <w:rPr>
          <w:rFonts w:ascii="Arial" w:cs="Arial" w:eastAsia="Arial" w:hAnsi="Arial"/>
          <w:sz w:val="13"/>
          <w:szCs w:val="13"/>
          <w:color w:val="auto"/>
        </w:rPr>
        <w:t>2021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014" w:right="33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color w:val="828282"/>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5838825</wp:posOffset>
            </wp:positionH>
            <wp:positionV relativeFrom="paragraph">
              <wp:posOffset>-102235</wp:posOffset>
            </wp:positionV>
            <wp:extent cx="1054100" cy="454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54100" cy="45402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9"/>
          <w:szCs w:val="19"/>
          <w:b w:val="1"/>
          <w:bCs w:val="1"/>
          <w:color w:val="828282"/>
        </w:rPr>
        <w:t>Reconciliation of Media Revenue Excluding Olympics and 2022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062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80" w:type="dxa"/>
            <w:vAlign w:val="bottom"/>
          </w:tcPr>
          <w:p>
            <w:pPr>
              <w:spacing w:after="0"/>
              <w:rPr>
                <w:sz w:val="16"/>
                <w:szCs w:val="16"/>
                <w:color w:val="auto"/>
              </w:rPr>
            </w:pPr>
          </w:p>
        </w:tc>
        <w:tc>
          <w:tcPr>
            <w:tcW w:w="3280" w:type="dxa"/>
            <w:vAlign w:val="bottom"/>
            <w:gridSpan w:val="5"/>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r>
      <w:tr>
        <w:trPr>
          <w:trHeight w:val="211"/>
        </w:trPr>
        <w:tc>
          <w:tcPr>
            <w:tcW w:w="7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7880" w:type="dxa"/>
            <w:vAlign w:val="bottom"/>
          </w:tcPr>
          <w:p>
            <w:pPr>
              <w:spacing w:after="0"/>
              <w:rPr>
                <w:sz w:val="20"/>
                <w:szCs w:val="20"/>
                <w:color w:val="auto"/>
              </w:rPr>
            </w:pPr>
            <w:r>
              <w:rPr>
                <w:rFonts w:ascii="Arial" w:cs="Arial" w:eastAsia="Arial" w:hAnsi="Arial"/>
                <w:sz w:val="16"/>
                <w:szCs w:val="16"/>
                <w:color w:val="auto"/>
              </w:rPr>
              <w:t>(in millions)</w:t>
            </w: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Growth %</w:t>
            </w:r>
          </w:p>
        </w:tc>
      </w:tr>
      <w:tr>
        <w:trPr>
          <w:trHeight w:val="301"/>
        </w:trPr>
        <w:tc>
          <w:tcPr>
            <w:tcW w:w="7880" w:type="dxa"/>
            <w:vAlign w:val="bottom"/>
          </w:tcPr>
          <w:p>
            <w:pPr>
              <w:spacing w:after="0"/>
              <w:rPr>
                <w:sz w:val="20"/>
                <w:szCs w:val="20"/>
                <w:color w:val="auto"/>
              </w:rPr>
            </w:pPr>
            <w:r>
              <w:rPr>
                <w:rFonts w:ascii="Arial" w:cs="Arial" w:eastAsia="Arial" w:hAnsi="Arial"/>
                <w:sz w:val="16"/>
                <w:szCs w:val="16"/>
                <w:color w:val="auto"/>
              </w:rPr>
              <w:t>Revenue</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$6,865</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$5,036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36.3 %</w:t>
            </w:r>
          </w:p>
        </w:tc>
      </w:tr>
      <w:tr>
        <w:trPr>
          <w:trHeight w:val="270"/>
        </w:trPr>
        <w:tc>
          <w:tcPr>
            <w:tcW w:w="7880" w:type="dxa"/>
            <w:vAlign w:val="bottom"/>
          </w:tcPr>
          <w:p>
            <w:pPr>
              <w:spacing w:after="0"/>
              <w:rPr>
                <w:sz w:val="20"/>
                <w:szCs w:val="20"/>
                <w:color w:val="auto"/>
              </w:rPr>
            </w:pPr>
            <w:r>
              <w:rPr>
                <w:rFonts w:ascii="Arial" w:cs="Arial" w:eastAsia="Arial" w:hAnsi="Arial"/>
                <w:sz w:val="16"/>
                <w:szCs w:val="16"/>
                <w:color w:val="auto"/>
              </w:rPr>
              <w:t>Beijing Olympics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963</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9"/>
        </w:trPr>
        <w:tc>
          <w:tcPr>
            <w:tcW w:w="7880" w:type="dxa"/>
            <w:vAlign w:val="bottom"/>
          </w:tcPr>
          <w:p>
            <w:pPr>
              <w:spacing w:after="0"/>
              <w:rPr>
                <w:sz w:val="20"/>
                <w:szCs w:val="20"/>
                <w:color w:val="auto"/>
              </w:rPr>
            </w:pPr>
            <w:r>
              <w:rPr>
                <w:rFonts w:ascii="Arial" w:cs="Arial" w:eastAsia="Arial" w:hAnsi="Arial"/>
                <w:sz w:val="16"/>
                <w:szCs w:val="16"/>
                <w:color w:val="auto"/>
              </w:rPr>
              <w:t>2022 Super Bowl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3"/>
        </w:trPr>
        <w:tc>
          <w:tcPr>
            <w:tcW w:w="7880" w:type="dxa"/>
            <w:vAlign w:val="bottom"/>
          </w:tcPr>
          <w:p>
            <w:pPr>
              <w:spacing w:after="0"/>
              <w:rPr>
                <w:sz w:val="20"/>
                <w:szCs w:val="20"/>
                <w:color w:val="auto"/>
              </w:rPr>
            </w:pPr>
            <w:r>
              <w:rPr>
                <w:rFonts w:ascii="Arial" w:cs="Arial" w:eastAsia="Arial" w:hAnsi="Arial"/>
                <w:sz w:val="16"/>
                <w:szCs w:val="16"/>
                <w:color w:val="auto"/>
              </w:rPr>
              <w:t>Revenue excluding Olympics and 2022 Super Bowl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$5,383</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6.9 %</w:t>
            </w:r>
          </w:p>
        </w:tc>
      </w:tr>
      <w:tr>
        <w:trPr>
          <w:trHeight w:val="21"/>
        </w:trPr>
        <w:tc>
          <w:tcPr>
            <w:tcW w:w="7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160"/>
          </w:cols>
          <w:pgMar w:left="340" w:top="987" w:right="39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color w:val="auto"/>
        </w:rPr>
        <w:t>Exhibit 99.2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8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33"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230"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289"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8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1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Statement of Cash Flows and are therefore excluded from capital expenditures and cash paid for intangible assets for Free Cash Flow.</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230"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48"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8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2022-04-28T06:15:34Z</dcterms:created>
  <dcterms:modified xsi:type="dcterms:W3CDTF">2022-04-28T06:15:34Z</dcterms:modified>
</cp:coreProperties>
</file>