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460" w:type="dxa"/>
            <w:vAlign w:val="bottom"/>
          </w:tcPr>
          <w:p>
            <w:pPr>
              <w:spacing w:after="0"/>
              <w:rPr>
                <w:sz w:val="20"/>
                <w:szCs w:val="20"/>
                <w:color w:val="auto"/>
              </w:rPr>
            </w:pPr>
          </w:p>
        </w:tc>
        <w:tc>
          <w:tcPr>
            <w:tcW w:w="7200" w:type="dxa"/>
            <w:vAlign w:val="bottom"/>
          </w:tcPr>
          <w:p>
            <w:pPr>
              <w:jc w:val="center"/>
              <w:ind w:right="216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October 31, 2024</w:t>
            </w:r>
          </w:p>
        </w:tc>
      </w:tr>
      <w:tr>
        <w:trPr>
          <w:trHeight w:val="450"/>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460" w:type="dxa"/>
            <w:vAlign w:val="bottom"/>
          </w:tcPr>
          <w:p>
            <w:pPr>
              <w:spacing w:after="0"/>
              <w:rPr>
                <w:sz w:val="12"/>
                <w:szCs w:val="12"/>
                <w:color w:val="auto"/>
              </w:rPr>
            </w:pPr>
          </w:p>
        </w:tc>
        <w:tc>
          <w:tcPr>
            <w:tcW w:w="7200" w:type="dxa"/>
            <w:vAlign w:val="bottom"/>
          </w:tcPr>
          <w:p>
            <w:pPr>
              <w:jc w:val="center"/>
              <w:ind w:right="220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289"/>
        </w:trPr>
        <w:tc>
          <w:tcPr>
            <w:tcW w:w="2460" w:type="dxa"/>
            <w:vAlign w:val="bottom"/>
          </w:tcPr>
          <w:p>
            <w:pPr>
              <w:spacing w:after="0"/>
              <w:rPr>
                <w:sz w:val="24"/>
                <w:szCs w:val="24"/>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29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 File Number)</w:t>
            </w:r>
          </w:p>
        </w:tc>
        <w:tc>
          <w:tcPr>
            <w:tcW w:w="7200" w:type="dxa"/>
            <w:vAlign w:val="bottom"/>
          </w:tcPr>
          <w:p>
            <w:pPr>
              <w:jc w:val="center"/>
              <w:ind w:left="512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200" w:type="dxa"/>
            <w:vAlign w:val="bottom"/>
          </w:tcPr>
          <w:p>
            <w:pPr>
              <w:spacing w:after="0"/>
              <w:rPr>
                <w:sz w:val="24"/>
                <w:szCs w:val="24"/>
                <w:color w:val="auto"/>
              </w:rPr>
            </w:pPr>
          </w:p>
        </w:tc>
      </w:tr>
      <w:tr>
        <w:trPr>
          <w:trHeight w:val="229"/>
        </w:trPr>
        <w:tc>
          <w:tcPr>
            <w:tcW w:w="2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3.250% Notes due 2032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CMCS32A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3.550% Notes due 2036</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CMCS36A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5.250% Notes due 2040</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CMCS40A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31, 2024, Comcast Corporation (“Comcast”) issued a press release reporting the results of its operations for the three and nine months ended September 30, 2024.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Comcast Corporation press release dated October 31, 2024.</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October 31, 2024</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6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6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525145</wp:posOffset>
            </wp:positionH>
            <wp:positionV relativeFrom="page">
              <wp:posOffset>260350</wp:posOffset>
            </wp:positionV>
            <wp:extent cx="1371600"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4038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263525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3rd QUARTER 2024 RESULTS</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PHILADELPHIA - October 31, 2024… Comcast Corporation (NASDAQ: CMCSA) today reported results for the quarter ended September 30, 2024.</w:t>
      </w:r>
    </w:p>
    <w:p>
      <w:pPr>
        <w:spacing w:after="0" w:line="3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“Our convergence strategy continues to deliver a best-in-class connectivity experience across our expanding network of 63 million homes and businesses, which far exceeds the combined fiber footprint of our three largest competitors," </w:t>
      </w:r>
      <w:r>
        <w:rPr>
          <w:rFonts w:ascii="Arial" w:cs="Arial" w:eastAsia="Arial" w:hAnsi="Arial"/>
          <w:sz w:val="18"/>
          <w:szCs w:val="18"/>
          <w:color w:val="auto"/>
        </w:rPr>
        <w:t>said Brian L. Roberts, Chairman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Comcast Corporation. "</w:t>
      </w:r>
      <w:r>
        <w:rPr>
          <w:rFonts w:ascii="Arial" w:cs="Arial" w:eastAsia="Arial" w:hAnsi="Arial"/>
          <w:sz w:val="18"/>
          <w:szCs w:val="18"/>
          <w:i w:val="1"/>
          <w:iCs w:val="1"/>
          <w:color w:val="auto"/>
        </w:rPr>
        <w:t>Third quarter results demonstrate the strength of this platform - broadband ARPU increased</w:t>
      </w:r>
      <w:r>
        <w:rPr>
          <w:rFonts w:ascii="Arial" w:cs="Arial" w:eastAsia="Arial" w:hAnsi="Arial"/>
          <w:sz w:val="18"/>
          <w:szCs w:val="18"/>
          <w:color w:val="auto"/>
        </w:rPr>
        <w:t xml:space="preserve"> </w:t>
      </w:r>
      <w:r>
        <w:rPr>
          <w:rFonts w:ascii="Arial" w:cs="Arial" w:eastAsia="Arial" w:hAnsi="Arial"/>
          <w:sz w:val="18"/>
          <w:szCs w:val="18"/>
          <w:i w:val="1"/>
          <w:iCs w:val="1"/>
          <w:color w:val="auto"/>
        </w:rPr>
        <w:t>3.6%; revenue in our connectivity businesses grew 5%; and Adjusted EBITDA margins across Connectivity &amp; Platforms grew to 40.9%. At the same time, we delivered an incredibly successful Paris Summer Olympics that helped fuel double-digit percentage growth in Peacock revenue and paid subscribers and contributed to NBC's #1 ranking for the 2023-2024 season. We also released the universally acclaimed Despicable Me 4, which grossed nearly $1.0 billion in worldwide box office, and announced the grand opening of Universal Epic Universe in May 2025, which will be the most ambitious and technologically sophisticated theme park ever created. Overall, it was a very active and successful quarter, and I couldn't be more pleased with how our team is executing and positioning our company for long-term growth."</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0" w:type="dxa"/>
            <w:vAlign w:val="bottom"/>
            <w:shd w:val="clear" w:color="auto" w:fill="D9D9D6"/>
          </w:tcPr>
          <w:p>
            <w:pPr>
              <w:spacing w:after="0"/>
              <w:rPr>
                <w:sz w:val="16"/>
                <w:szCs w:val="16"/>
                <w:color w:val="auto"/>
              </w:rPr>
            </w:pPr>
          </w:p>
        </w:tc>
        <w:tc>
          <w:tcPr>
            <w:tcW w:w="7980" w:type="dxa"/>
            <w:vAlign w:val="bottom"/>
            <w:tcBorders>
              <w:right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0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42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6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0" w:type="dxa"/>
            <w:vAlign w:val="bottom"/>
            <w:shd w:val="clear" w:color="auto" w:fill="D9D9D6"/>
          </w:tcPr>
          <w:p>
            <w:pPr>
              <w:spacing w:after="0"/>
              <w:rPr>
                <w:sz w:val="15"/>
                <w:szCs w:val="15"/>
                <w:color w:val="auto"/>
              </w:rPr>
            </w:pPr>
          </w:p>
        </w:tc>
        <w:tc>
          <w:tcPr>
            <w:tcW w:w="7980" w:type="dxa"/>
            <w:vAlign w:val="bottom"/>
            <w:tcBorders>
              <w:right w:val="single" w:sz="8" w:color="D9D9D6"/>
            </w:tcBorders>
            <w:shd w:val="clear" w:color="auto" w:fill="D9D9D6"/>
          </w:tcPr>
          <w:p>
            <w:pPr>
              <w:spacing w:after="0"/>
              <w:rPr>
                <w:sz w:val="15"/>
                <w:szCs w:val="15"/>
                <w:color w:val="auto"/>
              </w:rPr>
            </w:pPr>
          </w:p>
        </w:tc>
        <w:tc>
          <w:tcPr>
            <w:tcW w:w="60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spacing w:after="0"/>
              <w:rPr>
                <w:sz w:val="15"/>
                <w:szCs w:val="15"/>
                <w:color w:val="auto"/>
              </w:rPr>
            </w:pPr>
          </w:p>
        </w:tc>
        <w:tc>
          <w:tcPr>
            <w:tcW w:w="96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3rd Quarter</w:t>
            </w:r>
          </w:p>
        </w:tc>
        <w:tc>
          <w:tcPr>
            <w:tcW w:w="60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7980" w:type="dxa"/>
            <w:vAlign w:val="bottom"/>
            <w:tcBorders>
              <w:right w:val="single" w:sz="8" w:color="D9D9D6"/>
            </w:tcBorders>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7980" w:type="dxa"/>
            <w:vAlign w:val="bottom"/>
            <w:tcBorders>
              <w:right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0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2024</w:t>
            </w:r>
          </w:p>
        </w:tc>
        <w:tc>
          <w:tcPr>
            <w:tcW w:w="20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240" w:type="dxa"/>
            <w:vAlign w:val="bottom"/>
            <w:gridSpan w:val="4"/>
            <w:shd w:val="clear" w:color="auto" w:fill="D9D9D6"/>
          </w:tcPr>
          <w:p>
            <w:pPr>
              <w:ind w:left="6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7980" w:type="dxa"/>
            <w:vAlign w:val="bottom"/>
            <w:tcBorders>
              <w:right w:val="single" w:sz="8" w:color="D9D9D6"/>
            </w:tcBorders>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0" w:type="dxa"/>
            <w:vAlign w:val="bottom"/>
            <w:tcBorders>
              <w:bottom w:val="single" w:sz="8" w:color="D9D9D6"/>
            </w:tcBorders>
            <w:shd w:val="clear" w:color="auto" w:fill="D9D9D6"/>
          </w:tcPr>
          <w:p>
            <w:pPr>
              <w:spacing w:after="0"/>
              <w:rPr>
                <w:sz w:val="24"/>
                <w:szCs w:val="24"/>
                <w:color w:val="auto"/>
              </w:rPr>
            </w:pPr>
          </w:p>
        </w:tc>
        <w:tc>
          <w:tcPr>
            <w:tcW w:w="7980" w:type="dxa"/>
            <w:vAlign w:val="bottom"/>
            <w:tcBorders>
              <w:bottom w:val="single" w:sz="8" w:color="D9D9D6"/>
              <w:right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$32,070</w:t>
            </w:r>
          </w:p>
        </w:tc>
        <w:tc>
          <w:tcPr>
            <w:tcW w:w="96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$30,115</w:t>
            </w:r>
          </w:p>
        </w:tc>
        <w:tc>
          <w:tcPr>
            <w:tcW w:w="1100" w:type="dxa"/>
            <w:vAlign w:val="bottom"/>
            <w:tcBorders>
              <w:bottom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6.5 %</w:t>
            </w:r>
          </w:p>
        </w:tc>
        <w:tc>
          <w:tcPr>
            <w:tcW w:w="140" w:type="dxa"/>
            <w:vAlign w:val="bottom"/>
            <w:tcBorders>
              <w:bottom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7980" w:type="dxa"/>
            <w:vAlign w:val="bottom"/>
            <w:tcBorders>
              <w:right w:val="single" w:sz="8" w:color="DBDBDB"/>
            </w:tcBorders>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$3,629</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$4,046</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(10.3 %)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20" w:type="dxa"/>
            <w:vAlign w:val="bottom"/>
            <w:shd w:val="clear" w:color="auto" w:fill="D9D9D6"/>
          </w:tcPr>
          <w:p>
            <w:pPr>
              <w:spacing w:after="0" w:line="20" w:lineRule="exact"/>
              <w:rPr>
                <w:sz w:val="1"/>
                <w:szCs w:val="1"/>
                <w:color w:val="auto"/>
              </w:rPr>
            </w:pPr>
          </w:p>
        </w:tc>
        <w:tc>
          <w:tcPr>
            <w:tcW w:w="7980" w:type="dxa"/>
            <w:vAlign w:val="bottom"/>
            <w:tcBorders>
              <w:right w:val="single" w:sz="8" w:color="DBDBDB"/>
            </w:tcBorders>
            <w:shd w:val="clear" w:color="auto" w:fill="D9D9D6"/>
          </w:tcPr>
          <w:p>
            <w:pPr>
              <w:spacing w:after="0" w:line="20" w:lineRule="exact"/>
              <w:rPr>
                <w:sz w:val="1"/>
                <w:szCs w:val="1"/>
                <w:color w:val="auto"/>
              </w:rPr>
            </w:pPr>
          </w:p>
        </w:tc>
        <w:tc>
          <w:tcPr>
            <w:tcW w:w="94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$4,337</w:t>
            </w:r>
          </w:p>
        </w:tc>
        <w:tc>
          <w:tcPr>
            <w:tcW w:w="960" w:type="dxa"/>
            <w:vAlign w:val="bottom"/>
            <w:tcBorders>
              <w:right w:val="single" w:sz="8" w:color="D9D9D6"/>
            </w:tcBorders>
            <w:gridSpan w:val="3"/>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$4,483</w:t>
            </w:r>
          </w:p>
        </w:tc>
        <w:tc>
          <w:tcPr>
            <w:tcW w:w="1100" w:type="dxa"/>
            <w:vAlign w:val="bottom"/>
            <w:gridSpan w:val="3"/>
            <w:vMerge w:val="restart"/>
            <w:shd w:val="clear" w:color="auto" w:fill="D9D9D6"/>
          </w:tcPr>
          <w:p>
            <w:pPr>
              <w:jc w:val="right"/>
              <w:spacing w:after="0"/>
              <w:rPr>
                <w:sz w:val="20"/>
                <w:szCs w:val="20"/>
                <w:color w:val="auto"/>
              </w:rPr>
            </w:pPr>
            <w:r>
              <w:rPr>
                <w:rFonts w:ascii="Arial" w:cs="Arial" w:eastAsia="Arial" w:hAnsi="Arial"/>
                <w:sz w:val="14"/>
                <w:szCs w:val="14"/>
                <w:color w:val="auto"/>
              </w:rPr>
              <w:t>(3.3 %)</w:t>
            </w: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7980" w:type="dxa"/>
            <w:vAlign w:val="bottom"/>
            <w:tcBorders>
              <w:right w:val="single" w:sz="8" w:color="DBDBDB"/>
            </w:tcBorders>
            <w:shd w:val="clear" w:color="auto" w:fill="D9D9D6"/>
          </w:tcPr>
          <w:p>
            <w:pPr>
              <w:ind w:left="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9"/>
                <w:szCs w:val="9"/>
                <w:color w:val="auto"/>
              </w:rPr>
              <w:t>1</w:t>
            </w:r>
          </w:p>
        </w:tc>
        <w:tc>
          <w:tcPr>
            <w:tcW w:w="940" w:type="dxa"/>
            <w:vAlign w:val="bottom"/>
            <w:tcBorders>
              <w:right w:val="single" w:sz="8" w:color="D9D9D6"/>
            </w:tcBorders>
            <w:gridSpan w:val="2"/>
            <w:vMerge w:val="continue"/>
            <w:shd w:val="clear" w:color="auto" w:fill="D9D9D6"/>
          </w:tcPr>
          <w:p>
            <w:pPr>
              <w:spacing w:after="0"/>
              <w:rPr>
                <w:sz w:val="16"/>
                <w:szCs w:val="16"/>
                <w:color w:val="auto"/>
              </w:rPr>
            </w:pPr>
          </w:p>
        </w:tc>
        <w:tc>
          <w:tcPr>
            <w:tcW w:w="960" w:type="dxa"/>
            <w:vAlign w:val="bottom"/>
            <w:tcBorders>
              <w:right w:val="single" w:sz="8" w:color="D9D9D6"/>
            </w:tcBorders>
            <w:gridSpan w:val="3"/>
            <w:vMerge w:val="continue"/>
            <w:shd w:val="clear" w:color="auto" w:fill="D9D9D6"/>
          </w:tcPr>
          <w:p>
            <w:pPr>
              <w:spacing w:after="0"/>
              <w:rPr>
                <w:sz w:val="16"/>
                <w:szCs w:val="16"/>
                <w:color w:val="auto"/>
              </w:rPr>
            </w:pPr>
          </w:p>
        </w:tc>
        <w:tc>
          <w:tcPr>
            <w:tcW w:w="1100" w:type="dxa"/>
            <w:vAlign w:val="bottom"/>
            <w:gridSpan w:val="3"/>
            <w:vMerge w:val="continue"/>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7980" w:type="dxa"/>
            <w:vAlign w:val="bottom"/>
            <w:tcBorders>
              <w:right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Adjusted EBITDA</w:t>
            </w:r>
            <w:r>
              <w:rPr>
                <w:rFonts w:ascii="Arial" w:cs="Arial" w:eastAsia="Arial" w:hAnsi="Arial"/>
                <w:sz w:val="9"/>
                <w:szCs w:val="9"/>
                <w:color w:val="auto"/>
              </w:rPr>
              <w:t>2</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$9,735</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$9,962</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(2.3 %)</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7980" w:type="dxa"/>
            <w:vAlign w:val="bottom"/>
            <w:tcBorders>
              <w:right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9"/>
                <w:szCs w:val="9"/>
                <w:color w:val="auto"/>
              </w:rPr>
              <w:t>3</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$0.94</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$0.98</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0" w:type="dxa"/>
            <w:vAlign w:val="bottom"/>
            <w:shd w:val="clear" w:color="auto" w:fill="D9D9D6"/>
          </w:tcPr>
          <w:p>
            <w:pPr>
              <w:spacing w:after="0"/>
              <w:rPr>
                <w:sz w:val="18"/>
                <w:szCs w:val="18"/>
                <w:color w:val="auto"/>
              </w:rPr>
            </w:pPr>
          </w:p>
        </w:tc>
        <w:tc>
          <w:tcPr>
            <w:tcW w:w="7980" w:type="dxa"/>
            <w:vAlign w:val="bottom"/>
            <w:tcBorders>
              <w:right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Adjusted Earnings per Share</w:t>
            </w:r>
            <w:r>
              <w:rPr>
                <w:rFonts w:ascii="Arial" w:cs="Arial" w:eastAsia="Arial" w:hAnsi="Arial"/>
                <w:sz w:val="9"/>
                <w:szCs w:val="9"/>
                <w:color w:val="auto"/>
              </w:rPr>
              <w:t>1</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$1.12</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$1.08</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3.3</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7980" w:type="dxa"/>
            <w:vAlign w:val="bottom"/>
            <w:tcBorders>
              <w:right w:val="single" w:sz="8" w:color="DBDBDB"/>
            </w:tcBorders>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$7,021</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$8,154</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0" w:type="dxa"/>
            <w:vAlign w:val="bottom"/>
            <w:tcBorders>
              <w:bottom w:val="single" w:sz="8" w:color="D9D9D6"/>
            </w:tcBorders>
            <w:shd w:val="clear" w:color="auto" w:fill="D9D9D6"/>
          </w:tcPr>
          <w:p>
            <w:pPr>
              <w:spacing w:after="0"/>
              <w:rPr>
                <w:sz w:val="21"/>
                <w:szCs w:val="21"/>
                <w:color w:val="auto"/>
              </w:rPr>
            </w:pPr>
          </w:p>
        </w:tc>
        <w:tc>
          <w:tcPr>
            <w:tcW w:w="7980" w:type="dxa"/>
            <w:vAlign w:val="bottom"/>
            <w:tcBorders>
              <w:bottom w:val="single" w:sz="8" w:color="D9D9D6"/>
              <w:right w:val="single" w:sz="8" w:color="DBDBDB"/>
            </w:tcBorders>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9"/>
                <w:szCs w:val="9"/>
                <w:color w:val="auto"/>
              </w:rPr>
              <w:t>4</w:t>
            </w:r>
          </w:p>
        </w:tc>
        <w:tc>
          <w:tcPr>
            <w:tcW w:w="94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$3,406</w:t>
            </w:r>
          </w:p>
        </w:tc>
        <w:tc>
          <w:tcPr>
            <w:tcW w:w="96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$4,032</w:t>
            </w:r>
          </w:p>
        </w:tc>
        <w:tc>
          <w:tcPr>
            <w:tcW w:w="92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(15.5</w:t>
            </w:r>
          </w:p>
        </w:tc>
        <w:tc>
          <w:tcPr>
            <w:tcW w:w="1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140" w:type="dxa"/>
            <w:vAlign w:val="bottom"/>
            <w:tcBorders>
              <w:bottom w:val="single" w:sz="8" w:color="D9D9D6"/>
            </w:tcBorders>
            <w:shd w:val="clear" w:color="auto" w:fill="D9D9D6"/>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 on Comcast’s Investor Relations website at www.cmcsa.com.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3rd Quarter 2024 Highlights:</w:t>
      </w:r>
    </w:p>
    <w:p>
      <w:pPr>
        <w:spacing w:after="0" w:line="40"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EPS Increased 3.3% to $1.12; Generated Free Cash Flow of $3.4 Billion</w:t>
      </w:r>
    </w:p>
    <w:p>
      <w:pPr>
        <w:spacing w:after="0" w:line="9" w:lineRule="exact"/>
        <w:rPr>
          <w:rFonts w:ascii="Arial" w:cs="Arial" w:eastAsia="Arial" w:hAnsi="Arial"/>
          <w:sz w:val="18"/>
          <w:szCs w:val="18"/>
          <w:color w:val="auto"/>
        </w:rPr>
      </w:pPr>
    </w:p>
    <w:p>
      <w:pPr>
        <w:ind w:left="340" w:hanging="332"/>
        <w:spacing w:after="0" w:line="25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 of Capital to Shareholders Totaled $3.2 Billion Through a Combination of $1.2 Billion in Dividend Payments and $2.0 Billion in Share Repurchases. Repurchased $10.1 Billion of Shares Over the Trailing Twelve Months, Reducing Shares Outstanding by 6%</w:t>
      </w:r>
    </w:p>
    <w:p>
      <w:pPr>
        <w:jc w:val="both"/>
        <w:ind w:left="340" w:hanging="332"/>
        <w:spacing w:after="0" w:line="257"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Connectivity &amp; Platforms Adjusted EBITDA of $8.3 Billion Was Consistent With the Prior Year Period and Adjusted EBITDA Margin Increased 30 Basis Points to 40.9%. Excluding the Impact of Foreign Currency, Connectivity &amp; Platforms Adjusted EBITDA Margin Increased 50 Basis Points</w:t>
      </w:r>
    </w:p>
    <w:p>
      <w:pPr>
        <w:jc w:val="both"/>
        <w:ind w:left="340" w:hanging="332"/>
        <w:spacing w:after="0" w:line="259"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Connectivity &amp; Platforms Customer Relationships Decreased by 29,000 to 51.7 Million and Domestic Broadband Customers Decreased by 87,000 to 32.0 Million, Including the Impact From the End of ACP. Excluding the Negative Impact From ACP, Estimated Total Customer Relationship Net Additions Were 67,000 and Total Domestic Broadband Net Additions Were 9,000</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Domestic Broadband Average Rate Per Customer Increased 3.6%, Driving Domestic Broadband Revenue Growth of 2.7% to $6.5 Billion</w:t>
      </w:r>
    </w:p>
    <w:p>
      <w:pPr>
        <w:spacing w:after="0" w:line="22" w:lineRule="exact"/>
        <w:rPr>
          <w:rFonts w:ascii="Arial" w:cs="Arial" w:eastAsia="Arial" w:hAnsi="Arial"/>
          <w:sz w:val="18"/>
          <w:szCs w:val="18"/>
          <w:color w:val="auto"/>
        </w:rPr>
      </w:pPr>
    </w:p>
    <w:p>
      <w:pPr>
        <w:ind w:left="340" w:hanging="332"/>
        <w:spacing w:after="0" w:line="26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Domestic Wireless Customer Lines Increased 20% Compared to the Prior Year Period to 7.5 Million, Including Net Additions of 319,000 in the Third Quarter</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Services Connectivity Adjusted EBITDA Increased 4.2% to $1.4 Billion and Adjusted EBITDA Margin Was 57.4%</w:t>
      </w:r>
    </w:p>
    <w:p>
      <w:pPr>
        <w:spacing w:after="0" w:line="31"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Studios Adjusted EBITDA Increased 9.0% to $468 Million, Driven by the Successful Theatrical Performance of </w:t>
      </w:r>
      <w:r>
        <w:rPr>
          <w:rFonts w:ascii="Arial" w:cs="Arial" w:eastAsia="Arial" w:hAnsi="Arial"/>
          <w:sz w:val="18"/>
          <w:szCs w:val="18"/>
          <w:i w:val="1"/>
          <w:iCs w:val="1"/>
          <w:color w:val="auto"/>
        </w:rPr>
        <w:t>Despicable Me 4</w:t>
      </w:r>
      <w:r>
        <w:rPr>
          <w:rFonts w:ascii="Arial" w:cs="Arial" w:eastAsia="Arial" w:hAnsi="Arial"/>
          <w:sz w:val="18"/>
          <w:szCs w:val="18"/>
          <w:color w:val="auto"/>
        </w:rPr>
        <w:t xml:space="preserve"> and </w:t>
      </w:r>
      <w:r>
        <w:rPr>
          <w:rFonts w:ascii="Arial" w:cs="Arial" w:eastAsia="Arial" w:hAnsi="Arial"/>
          <w:sz w:val="18"/>
          <w:szCs w:val="18"/>
          <w:i w:val="1"/>
          <w:iCs w:val="1"/>
          <w:color w:val="auto"/>
        </w:rPr>
        <w:t>Twisters</w:t>
      </w:r>
      <w:r>
        <w:rPr>
          <w:rFonts w:ascii="Arial" w:cs="Arial" w:eastAsia="Arial" w:hAnsi="Arial"/>
          <w:sz w:val="18"/>
          <w:szCs w:val="18"/>
          <w:color w:val="auto"/>
        </w:rPr>
        <w:t>;</w:t>
      </w:r>
      <w:r>
        <w:rPr>
          <w:rFonts w:ascii="Arial" w:cs="Arial" w:eastAsia="Arial" w:hAnsi="Arial"/>
          <w:sz w:val="18"/>
          <w:szCs w:val="18"/>
          <w:i w:val="1"/>
          <w:iCs w:val="1"/>
          <w:color w:val="auto"/>
        </w:rPr>
        <w:t xml:space="preserve"> DM4 </w:t>
      </w:r>
      <w:r>
        <w:rPr>
          <w:rFonts w:ascii="Arial" w:cs="Arial" w:eastAsia="Arial" w:hAnsi="Arial"/>
          <w:sz w:val="18"/>
          <w:szCs w:val="18"/>
          <w:color w:val="auto"/>
        </w:rPr>
        <w:t>Debuted in July and Grossed Nearly $1.0 Billion in Worldwide Box Office Year-to-Date, Pushing the Minions Franchise's</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Total Past $5 Billion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37" w:right="339" w:bottom="1440" w:gutter="0" w:footer="0" w:header="0"/>
        </w:sectPr>
      </w:pPr>
    </w:p>
    <w:bookmarkStart w:id="4" w:name="page5"/>
    <w:bookmarkEnd w:id="4"/>
    <w:p>
      <w:pPr>
        <w:ind w:left="340" w:hanging="332"/>
        <w:spacing w:after="0" w:line="2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Peacock Paid Subscribers Increased 29% Compared to the Prior Year Period to 36 Million, Including Net Additions of 3 Million in the Third Quarter. Peacock Revenue Increased 82% to $1.5 Billion; Adjusted EBITDA Improved Compared to the Prior Year Period</w:t>
      </w:r>
    </w:p>
    <w:p>
      <w:pPr>
        <w:spacing w:after="0" w:line="1"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Comcast's Exclusive Broadcast of the Paris Olympics in the U.S. Showcased the Combined Capabilities Across Our Company and Captivated the Nation's Attention for 17 Days. Average Daily Viewers of the Games Across Our Linear Networks and Peacock of 31 Million Increased 82% Compared to the Prior Summer Olympics in 2021. Incremental Olympics Revenue in Media Was a Record High $1.9 Billion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3rd Quarter Consolidated Financial Results</w:t>
      </w:r>
    </w:p>
    <w:p>
      <w:pPr>
        <w:spacing w:after="0" w:line="4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6.5% compared to the prior year period.</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decreased 10.3%.</w:t>
      </w:r>
      <w:r>
        <w:rPr>
          <w:rFonts w:ascii="Arial" w:cs="Arial" w:eastAsia="Arial" w:hAnsi="Arial"/>
          <w:sz w:val="18"/>
          <w:szCs w:val="18"/>
          <w:b w:val="1"/>
          <w:bCs w:val="1"/>
          <w:i w:val="1"/>
          <w:iCs w:val="1"/>
          <w:color w:val="auto"/>
        </w:rPr>
        <w:t xml:space="preserve"> Adjusted Net Income </w:t>
      </w:r>
      <w:r>
        <w:rPr>
          <w:rFonts w:ascii="Arial" w:cs="Arial" w:eastAsia="Arial" w:hAnsi="Arial"/>
          <w:sz w:val="18"/>
          <w:szCs w:val="18"/>
          <w:color w:val="auto"/>
        </w:rPr>
        <w:t>decreased 3.3%.</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decreased 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decreased 4.2% to $0.94.</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3.3% to $1.12.</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11.6% to $2.9 billion. Connectivity &amp; Platforms’ capital expenditures decreased 6.5% to $1.9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lower spending on scalable infrastructure and customer premise equipment, partially offset by higher investment in line extensions and support capital. Content &amp; Experiences' capital expenditures were consistent and continue to reflect significant spending due to the construction of Epic Universe theme park in Orlando, which is scheduled to open on May 22,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$7.0 billion.</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$3.4 billion.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paid dividends totaling $1.2 billion and repurchased 49.9 million of its shares for $2.0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in a total return of capital to shareholders of $3.2 billion.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2391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39141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Arial" w:cs="Arial" w:eastAsia="Arial" w:hAnsi="Arial"/>
          <w:sz w:val="11"/>
          <w:szCs w:val="11"/>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Revenue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Revenue</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Adjusted EBITDA</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right="2280" w:hanging="12"/>
        <w:spacing w:after="0" w:line="462" w:lineRule="auto"/>
        <w:rPr>
          <w:sz w:val="20"/>
          <w:szCs w:val="20"/>
          <w:color w:val="auto"/>
        </w:rPr>
      </w:pPr>
      <w:r>
        <w:rPr>
          <w:rFonts w:ascii="Arial" w:cs="Arial" w:eastAsia="Arial" w:hAnsi="Arial"/>
          <w:sz w:val="14"/>
          <w:szCs w:val="14"/>
          <w:b w:val="1"/>
          <w:bCs w:val="1"/>
          <w:color w:val="auto"/>
        </w:rPr>
        <w:t>Total Connectivity &amp; Platforms Adjusted EBITDA Connectivity &amp; Platforms Adjusted EBITDA Margin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Adjusted EBITDA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Constant</w:t>
            </w:r>
          </w:p>
        </w:tc>
        <w:tc>
          <w:tcPr>
            <w:tcW w:w="3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8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74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3rd Quarter</w:t>
            </w:r>
          </w:p>
        </w:tc>
        <w:tc>
          <w:tcPr>
            <w:tcW w:w="140" w:type="dxa"/>
            <w:vAlign w:val="bottom"/>
            <w:gridSpan w:val="2"/>
            <w:vMerge w:val="restart"/>
            <w:shd w:val="clear" w:color="auto" w:fill="D9D9D6"/>
          </w:tcPr>
          <w:p>
            <w:pPr>
              <w:spacing w:after="0"/>
              <w:rPr>
                <w:sz w:val="8"/>
                <w:szCs w:val="8"/>
                <w:color w:val="auto"/>
              </w:rPr>
            </w:pPr>
          </w:p>
        </w:tc>
        <w:tc>
          <w:tcPr>
            <w:tcW w:w="56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1120" w:type="dxa"/>
            <w:vAlign w:val="bottom"/>
            <w:tcBorders>
              <w:right w:val="single" w:sz="8" w:color="D9D9D6"/>
            </w:tcBorders>
            <w:gridSpan w:val="2"/>
            <w:vMerge w:val="continue"/>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780" w:type="dxa"/>
            <w:vAlign w:val="bottom"/>
            <w:tcBorders>
              <w:bottom w:val="single" w:sz="8" w:color="D9D9D6"/>
            </w:tcBorders>
            <w:shd w:val="clear" w:color="auto" w:fill="D9D9D6"/>
          </w:tcPr>
          <w:p>
            <w:pPr>
              <w:spacing w:after="0"/>
              <w:rPr>
                <w:sz w:val="6"/>
                <w:szCs w:val="6"/>
                <w:color w:val="auto"/>
              </w:rPr>
            </w:pPr>
          </w:p>
        </w:tc>
        <w:tc>
          <w:tcPr>
            <w:tcW w:w="180" w:type="dxa"/>
            <w:vAlign w:val="bottom"/>
            <w:tcBorders>
              <w:bottom w:val="single" w:sz="8" w:color="D9D9D6"/>
            </w:tcBorders>
            <w:shd w:val="clear" w:color="auto" w:fill="D9D9D6"/>
          </w:tcPr>
          <w:p>
            <w:pPr>
              <w:spacing w:after="0"/>
              <w:rPr>
                <w:sz w:val="6"/>
                <w:szCs w:val="6"/>
                <w:color w:val="auto"/>
              </w:rPr>
            </w:pPr>
          </w:p>
        </w:tc>
        <w:tc>
          <w:tcPr>
            <w:tcW w:w="140" w:type="dxa"/>
            <w:vAlign w:val="bottom"/>
            <w:tcBorders>
              <w:bottom w:val="single" w:sz="8" w:color="D9D9D6"/>
            </w:tcBorders>
            <w:shd w:val="clear" w:color="auto" w:fill="D9D9D6"/>
          </w:tcPr>
          <w:p>
            <w:pPr>
              <w:spacing w:after="0"/>
              <w:rPr>
                <w:sz w:val="6"/>
                <w:szCs w:val="6"/>
                <w:color w:val="auto"/>
              </w:rPr>
            </w:pPr>
          </w:p>
        </w:tc>
        <w:tc>
          <w:tcPr>
            <w:tcW w:w="20" w:type="dxa"/>
            <w:vAlign w:val="bottom"/>
            <w:tcBorders>
              <w:bottom w:val="single" w:sz="8" w:color="D9D9D6"/>
            </w:tcBorders>
            <w:shd w:val="clear" w:color="auto" w:fill="D9D9D6"/>
          </w:tcPr>
          <w:p>
            <w:pPr>
              <w:spacing w:after="0"/>
              <w:rPr>
                <w:sz w:val="6"/>
                <w:szCs w:val="6"/>
                <w:color w:val="auto"/>
              </w:rPr>
            </w:pPr>
          </w:p>
        </w:tc>
        <w:tc>
          <w:tcPr>
            <w:tcW w:w="120" w:type="dxa"/>
            <w:vAlign w:val="bottom"/>
            <w:tcBorders>
              <w:bottom w:val="single" w:sz="8" w:color="D9D9D6"/>
            </w:tcBorders>
            <w:shd w:val="clear" w:color="auto" w:fill="D9D9D6"/>
          </w:tcPr>
          <w:p>
            <w:pPr>
              <w:spacing w:after="0"/>
              <w:rPr>
                <w:sz w:val="6"/>
                <w:szCs w:val="6"/>
                <w:color w:val="auto"/>
              </w:rPr>
            </w:pPr>
          </w:p>
        </w:tc>
        <w:tc>
          <w:tcPr>
            <w:tcW w:w="740" w:type="dxa"/>
            <w:vAlign w:val="bottom"/>
            <w:tcBorders>
              <w:bottom w:val="single" w:sz="8" w:color="auto"/>
            </w:tcBorders>
            <w:gridSpan w:val="2"/>
            <w:vMerge w:val="continue"/>
            <w:shd w:val="clear" w:color="auto" w:fill="D9D9D6"/>
          </w:tcPr>
          <w:p>
            <w:pPr>
              <w:spacing w:after="0"/>
              <w:rPr>
                <w:sz w:val="6"/>
                <w:szCs w:val="6"/>
                <w:color w:val="auto"/>
              </w:rPr>
            </w:pPr>
          </w:p>
        </w:tc>
        <w:tc>
          <w:tcPr>
            <w:tcW w:w="140" w:type="dxa"/>
            <w:vAlign w:val="bottom"/>
            <w:tcBorders>
              <w:bottom w:val="single" w:sz="8" w:color="D9D9D6"/>
            </w:tcBorders>
            <w:gridSpan w:val="2"/>
            <w:vMerge w:val="continue"/>
            <w:shd w:val="clear" w:color="auto" w:fill="D9D9D6"/>
          </w:tcPr>
          <w:p>
            <w:pPr>
              <w:spacing w:after="0"/>
              <w:rPr>
                <w:sz w:val="6"/>
                <w:szCs w:val="6"/>
                <w:color w:val="auto"/>
              </w:rPr>
            </w:pPr>
          </w:p>
        </w:tc>
        <w:tc>
          <w:tcPr>
            <w:tcW w:w="560" w:type="dxa"/>
            <w:vAlign w:val="bottom"/>
            <w:tcBorders>
              <w:bottom w:val="single" w:sz="8" w:color="D9D9D6"/>
            </w:tcBorders>
            <w:shd w:val="clear" w:color="auto" w:fill="D9D9D6"/>
          </w:tcPr>
          <w:p>
            <w:pPr>
              <w:spacing w:after="0"/>
              <w:rPr>
                <w:sz w:val="6"/>
                <w:szCs w:val="6"/>
                <w:color w:val="auto"/>
              </w:rPr>
            </w:pPr>
          </w:p>
        </w:tc>
        <w:tc>
          <w:tcPr>
            <w:tcW w:w="320" w:type="dxa"/>
            <w:vAlign w:val="bottom"/>
            <w:tcBorders>
              <w:bottom w:val="single" w:sz="8" w:color="D9D9D6"/>
            </w:tcBorders>
            <w:shd w:val="clear" w:color="auto" w:fill="D9D9D6"/>
          </w:tcPr>
          <w:p>
            <w:pPr>
              <w:spacing w:after="0"/>
              <w:rPr>
                <w:sz w:val="6"/>
                <w:szCs w:val="6"/>
                <w:color w:val="auto"/>
              </w:rPr>
            </w:pPr>
          </w:p>
        </w:tc>
        <w:tc>
          <w:tcPr>
            <w:tcW w:w="200" w:type="dxa"/>
            <w:vAlign w:val="bottom"/>
            <w:tcBorders>
              <w:bottom w:val="single" w:sz="8" w:color="D9D9D6"/>
            </w:tcBorders>
            <w:shd w:val="clear" w:color="auto" w:fill="D9D9D6"/>
          </w:tcPr>
          <w:p>
            <w:pPr>
              <w:spacing w:after="0"/>
              <w:rPr>
                <w:sz w:val="6"/>
                <w:szCs w:val="6"/>
                <w:color w:val="auto"/>
              </w:rPr>
            </w:pPr>
          </w:p>
        </w:tc>
        <w:tc>
          <w:tcPr>
            <w:tcW w:w="1120" w:type="dxa"/>
            <w:vAlign w:val="bottom"/>
            <w:tcBorders>
              <w:bottom w:val="single" w:sz="8" w:color="D9D9D6"/>
              <w:right w:val="single" w:sz="8" w:color="D9D9D6"/>
            </w:tcBorders>
            <w:gridSpan w:val="2"/>
            <w:vMerge w:val="restart"/>
            <w:shd w:val="clear" w:color="auto" w:fill="D9D9D6"/>
          </w:tcPr>
          <w:p>
            <w:pPr>
              <w:jc w:val="right"/>
              <w:spacing w:after="0" w:line="146" w:lineRule="exact"/>
              <w:rPr>
                <w:sz w:val="20"/>
                <w:szCs w:val="20"/>
                <w:color w:val="auto"/>
              </w:rPr>
            </w:pPr>
            <w:r>
              <w:rPr>
                <w:rFonts w:ascii="Arial" w:cs="Arial" w:eastAsia="Arial" w:hAnsi="Arial"/>
                <w:sz w:val="14"/>
                <w:szCs w:val="14"/>
                <w:color w:val="auto"/>
              </w:rPr>
              <w:t>Currency</w:t>
            </w:r>
          </w:p>
        </w:tc>
        <w:tc>
          <w:tcPr>
            <w:tcW w:w="320" w:type="dxa"/>
            <w:vAlign w:val="bottom"/>
            <w:tcBorders>
              <w:bottom w:val="single" w:sz="8" w:color="D9D9D6"/>
            </w:tcBorders>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780" w:type="dxa"/>
            <w:vAlign w:val="bottom"/>
            <w:shd w:val="clear" w:color="auto" w:fill="D9D9D6"/>
          </w:tcPr>
          <w:p>
            <w:pPr>
              <w:spacing w:after="0"/>
              <w:rPr>
                <w:sz w:val="4"/>
                <w:szCs w:val="4"/>
                <w:color w:val="auto"/>
              </w:rPr>
            </w:pPr>
          </w:p>
        </w:tc>
        <w:tc>
          <w:tcPr>
            <w:tcW w:w="3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2024</w:t>
            </w: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2023</w:t>
            </w:r>
          </w:p>
        </w:tc>
        <w:tc>
          <w:tcPr>
            <w:tcW w:w="2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5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Change</w:t>
            </w:r>
          </w:p>
        </w:tc>
        <w:tc>
          <w:tcPr>
            <w:tcW w:w="1120" w:type="dxa"/>
            <w:vAlign w:val="bottom"/>
            <w:tcBorders>
              <w:right w:val="single" w:sz="8" w:color="D9D9D6"/>
            </w:tcBorders>
            <w:gridSpan w:val="2"/>
            <w:vMerge w:val="continue"/>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780" w:type="dxa"/>
            <w:vAlign w:val="bottom"/>
            <w:tcBorders>
              <w:bottom w:val="single" w:sz="8" w:color="D9D9D6"/>
            </w:tcBorders>
            <w:shd w:val="clear" w:color="auto" w:fill="D9D9D6"/>
          </w:tcPr>
          <w:p>
            <w:pPr>
              <w:spacing w:after="0"/>
              <w:rPr>
                <w:sz w:val="13"/>
                <w:szCs w:val="13"/>
                <w:color w:val="auto"/>
              </w:rPr>
            </w:pPr>
          </w:p>
        </w:tc>
        <w:tc>
          <w:tcPr>
            <w:tcW w:w="320" w:type="dxa"/>
            <w:vAlign w:val="bottom"/>
            <w:tcBorders>
              <w:bottom w:val="single" w:sz="8" w:color="auto"/>
            </w:tcBorders>
            <w:gridSpan w:val="2"/>
            <w:vMerge w:val="continue"/>
            <w:shd w:val="clear" w:color="auto" w:fill="D9D9D6"/>
          </w:tcPr>
          <w:p>
            <w:pPr>
              <w:spacing w:after="0"/>
              <w:rPr>
                <w:sz w:val="13"/>
                <w:szCs w:val="13"/>
                <w:color w:val="auto"/>
              </w:rPr>
            </w:pPr>
          </w:p>
        </w:tc>
        <w:tc>
          <w:tcPr>
            <w:tcW w:w="20" w:type="dxa"/>
            <w:vAlign w:val="bottom"/>
            <w:tcBorders>
              <w:bottom w:val="single" w:sz="8" w:color="D9D9D6"/>
            </w:tcBorders>
            <w:shd w:val="clear" w:color="auto" w:fill="D9D9D6"/>
          </w:tcPr>
          <w:p>
            <w:pPr>
              <w:spacing w:after="0"/>
              <w:rPr>
                <w:sz w:val="13"/>
                <w:szCs w:val="13"/>
                <w:color w:val="auto"/>
              </w:rPr>
            </w:pPr>
          </w:p>
        </w:tc>
        <w:tc>
          <w:tcPr>
            <w:tcW w:w="660" w:type="dxa"/>
            <w:vAlign w:val="bottom"/>
            <w:tcBorders>
              <w:bottom w:val="single" w:sz="8" w:color="D9D9D6"/>
            </w:tcBorders>
            <w:gridSpan w:val="2"/>
            <w:shd w:val="clear" w:color="auto" w:fill="D9D9D6"/>
          </w:tcPr>
          <w:p>
            <w:pPr>
              <w:spacing w:after="0"/>
              <w:rPr>
                <w:sz w:val="13"/>
                <w:szCs w:val="13"/>
                <w:color w:val="auto"/>
              </w:rPr>
            </w:pPr>
          </w:p>
        </w:tc>
        <w:tc>
          <w:tcPr>
            <w:tcW w:w="320" w:type="dxa"/>
            <w:vAlign w:val="bottom"/>
            <w:tcBorders>
              <w:bottom w:val="single" w:sz="8" w:color="auto"/>
            </w:tcBorders>
            <w:gridSpan w:val="2"/>
            <w:vMerge w:val="continue"/>
            <w:shd w:val="clear" w:color="auto" w:fill="D9D9D6"/>
          </w:tcPr>
          <w:p>
            <w:pPr>
              <w:spacing w:after="0"/>
              <w:rPr>
                <w:sz w:val="13"/>
                <w:szCs w:val="13"/>
                <w:color w:val="auto"/>
              </w:rPr>
            </w:pPr>
          </w:p>
        </w:tc>
        <w:tc>
          <w:tcPr>
            <w:tcW w:w="20" w:type="dxa"/>
            <w:vAlign w:val="bottom"/>
            <w:tcBorders>
              <w:bottom w:val="single" w:sz="8" w:color="D9D9D6"/>
            </w:tcBorders>
            <w:shd w:val="clear" w:color="auto" w:fill="D9D9D6"/>
          </w:tcPr>
          <w:p>
            <w:pPr>
              <w:spacing w:after="0"/>
              <w:rPr>
                <w:sz w:val="13"/>
                <w:szCs w:val="13"/>
                <w:color w:val="auto"/>
              </w:rPr>
            </w:pPr>
          </w:p>
        </w:tc>
        <w:tc>
          <w:tcPr>
            <w:tcW w:w="560" w:type="dxa"/>
            <w:vAlign w:val="bottom"/>
            <w:tcBorders>
              <w:bottom w:val="single" w:sz="8" w:color="D9D9D6"/>
            </w:tcBorders>
            <w:shd w:val="clear" w:color="auto" w:fill="D9D9D6"/>
          </w:tcPr>
          <w:p>
            <w:pPr>
              <w:spacing w:after="0"/>
              <w:rPr>
                <w:sz w:val="13"/>
                <w:szCs w:val="13"/>
                <w:color w:val="auto"/>
              </w:rPr>
            </w:pPr>
          </w:p>
        </w:tc>
        <w:tc>
          <w:tcPr>
            <w:tcW w:w="520" w:type="dxa"/>
            <w:vAlign w:val="bottom"/>
            <w:tcBorders>
              <w:bottom w:val="single" w:sz="8" w:color="auto"/>
            </w:tcBorders>
            <w:gridSpan w:val="2"/>
            <w:vMerge w:val="continue"/>
            <w:shd w:val="clear" w:color="auto" w:fill="D9D9D6"/>
          </w:tcPr>
          <w:p>
            <w:pPr>
              <w:spacing w:after="0"/>
              <w:rPr>
                <w:sz w:val="13"/>
                <w:szCs w:val="13"/>
                <w:color w:val="auto"/>
              </w:rPr>
            </w:pPr>
          </w:p>
        </w:tc>
        <w:tc>
          <w:tcPr>
            <w:tcW w:w="560" w:type="dxa"/>
            <w:vAlign w:val="bottom"/>
            <w:tcBorders>
              <w:bottom w:val="single" w:sz="8" w:color="D9D9D6"/>
            </w:tcBorders>
            <w:shd w:val="clear" w:color="auto" w:fill="D9D9D6"/>
          </w:tcPr>
          <w:p>
            <w:pPr>
              <w:spacing w:after="0"/>
              <w:rPr>
                <w:sz w:val="13"/>
                <w:szCs w:val="13"/>
                <w:color w:val="auto"/>
              </w:rPr>
            </w:pPr>
          </w:p>
        </w:tc>
        <w:tc>
          <w:tcPr>
            <w:tcW w:w="560" w:type="dxa"/>
            <w:vAlign w:val="bottom"/>
            <w:tcBorders>
              <w:bottom w:val="single" w:sz="8" w:color="D9D9D6"/>
              <w:right w:val="single" w:sz="8" w:color="D9D9D6"/>
            </w:tcBorders>
            <w:shd w:val="clear" w:color="auto" w:fill="D9D9D6"/>
          </w:tcPr>
          <w:p>
            <w:pPr>
              <w:jc w:val="right"/>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320" w:type="dxa"/>
            <w:vAlign w:val="bottom"/>
            <w:tcBorders>
              <w:bottom w:val="single" w:sz="8" w:color="D9D9D6"/>
            </w:tcBorders>
            <w:shd w:val="clear" w:color="auto" w:fill="D9D9D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14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2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12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$17,866</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$17,951</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(0.5</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(1.0 %)</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2,425</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2,320</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4.5</w:t>
            </w:r>
          </w:p>
        </w:tc>
        <w:tc>
          <w:tcPr>
            <w:tcW w:w="20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4.5 %</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$20,291</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$20,271</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0.1</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(0.4 %)</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$6,904</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$6,886</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0.3</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1,391</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1,335</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4.2</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4.3 %</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$8,295</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$8,221</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0.9</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0.7 %</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38.6</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38.4 %</w:t>
            </w:r>
          </w:p>
        </w:tc>
        <w:tc>
          <w:tcPr>
            <w:tcW w:w="2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 bps</w:t>
            </w:r>
          </w:p>
        </w:tc>
        <w:tc>
          <w:tcPr>
            <w:tcW w:w="56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40 bps</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57.4</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98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57.5 %</w:t>
            </w:r>
          </w:p>
        </w:tc>
        <w:tc>
          <w:tcPr>
            <w:tcW w:w="20" w:type="dxa"/>
            <w:vAlign w:val="bottom"/>
            <w:tcBorders>
              <w:bottom w:val="single" w:sz="8" w:color="auto"/>
            </w:tcBorders>
            <w:shd w:val="clear" w:color="auto" w:fill="D9D9D6"/>
          </w:tcPr>
          <w:p>
            <w:pPr>
              <w:spacing w:after="0"/>
              <w:rPr>
                <w:sz w:val="17"/>
                <w:szCs w:val="17"/>
                <w:color w:val="auto"/>
              </w:rPr>
            </w:pPr>
          </w:p>
        </w:tc>
        <w:tc>
          <w:tcPr>
            <w:tcW w:w="10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(10) bps</w:t>
            </w:r>
          </w:p>
        </w:tc>
        <w:tc>
          <w:tcPr>
            <w:tcW w:w="560" w:type="dxa"/>
            <w:vAlign w:val="bottom"/>
            <w:tcBorders>
              <w:bottom w:val="single" w:sz="8" w:color="auto"/>
            </w:tcBorders>
            <w:shd w:val="clear" w:color="auto" w:fill="D9D9D6"/>
          </w:tcPr>
          <w:p>
            <w:pPr>
              <w:spacing w:after="0"/>
              <w:rPr>
                <w:sz w:val="17"/>
                <w:szCs w:val="17"/>
                <w:color w:val="auto"/>
              </w:rPr>
            </w:pPr>
          </w:p>
        </w:tc>
        <w:tc>
          <w:tcPr>
            <w:tcW w:w="560" w:type="dxa"/>
            <w:vAlign w:val="bottom"/>
            <w:tcBorders>
              <w:bottom w:val="single" w:sz="8" w:color="auto"/>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(10) bps</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40.9</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40.6 %</w:t>
            </w:r>
          </w:p>
        </w:tc>
        <w:tc>
          <w:tcPr>
            <w:tcW w:w="20" w:type="dxa"/>
            <w:vAlign w:val="bottom"/>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30 bps</w:t>
            </w:r>
          </w:p>
        </w:tc>
        <w:tc>
          <w:tcPr>
            <w:tcW w:w="560" w:type="dxa"/>
            <w:vAlign w:val="bottom"/>
            <w:shd w:val="clear" w:color="auto" w:fill="D9D9D6"/>
          </w:tcPr>
          <w:p>
            <w:pPr>
              <w:spacing w:after="0"/>
              <w:rPr>
                <w:sz w:val="17"/>
                <w:szCs w:val="17"/>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50 bps</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78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560" w:type="dxa"/>
            <w:vAlign w:val="bottom"/>
            <w:tcBorders>
              <w:right w:val="single" w:sz="8" w:color="D9D9D6"/>
            </w:tcBorders>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2">
            <w:col w:w="5880" w:space="720"/>
            <w:col w:w="4640"/>
          </w:cols>
          <w:pgMar w:left="320" w:top="580" w:right="339" w:bottom="1440" w:gutter="0" w:footer="0" w:header="0"/>
          <w:type w:val="continuous"/>
        </w:sectPr>
      </w:pPr>
    </w:p>
    <w:p>
      <w:pPr>
        <w:spacing w:after="0" w:line="264"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for Connectivity &amp; Platforms were consistent with the prior year period.</w:t>
      </w:r>
      <w:r>
        <w:rPr>
          <w:rFonts w:ascii="Arial" w:cs="Arial" w:eastAsia="Arial" w:hAnsi="Arial"/>
          <w:sz w:val="18"/>
          <w:szCs w:val="18"/>
          <w:b w:val="1"/>
          <w:bCs w:val="1"/>
          <w:i w:val="1"/>
          <w:iCs w:val="1"/>
          <w:color w:val="auto"/>
        </w:rPr>
        <w:t xml:space="preserve"> Adjusted EBITDA margin </w:t>
      </w:r>
      <w:r>
        <w:rPr>
          <w:rFonts w:ascii="Arial" w:cs="Arial" w:eastAsia="Arial" w:hAnsi="Arial"/>
          <w:sz w:val="18"/>
          <w:szCs w:val="18"/>
          <w:color w:val="auto"/>
        </w:rPr>
        <w:t>increased to 40.9%.</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580"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2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1780" w:type="dxa"/>
            <w:vAlign w:val="bottom"/>
            <w:gridSpan w:val="9"/>
            <w:shd w:val="clear" w:color="auto" w:fill="D9D9D6"/>
          </w:tcPr>
          <w:p>
            <w:pPr>
              <w:jc w:val="center"/>
              <w:ind w:right="240"/>
              <w:spacing w:after="0"/>
              <w:rPr>
                <w:sz w:val="20"/>
                <w:szCs w:val="20"/>
                <w:color w:val="auto"/>
              </w:rPr>
            </w:pPr>
            <w:r>
              <w:rPr>
                <w:rFonts w:ascii="Arial" w:cs="Arial" w:eastAsia="Arial" w:hAnsi="Arial"/>
                <w:sz w:val="14"/>
                <w:szCs w:val="14"/>
                <w:color w:val="auto"/>
              </w:rPr>
              <w:t>Net Additions / (Losses)</w:t>
            </w: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744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40" w:type="dxa"/>
            <w:vAlign w:val="bottom"/>
            <w:tcBorders>
              <w:top w:val="single" w:sz="8" w:color="D9D9D6"/>
            </w:tcBorders>
            <w:shd w:val="clear" w:color="auto" w:fill="D9D9D6"/>
          </w:tcPr>
          <w:p>
            <w:pPr>
              <w:spacing w:after="0"/>
              <w:rPr>
                <w:sz w:val="15"/>
                <w:szCs w:val="15"/>
                <w:color w:val="auto"/>
              </w:rPr>
            </w:pPr>
          </w:p>
        </w:tc>
        <w:tc>
          <w:tcPr>
            <w:tcW w:w="2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60" w:type="dxa"/>
            <w:vAlign w:val="bottom"/>
            <w:tcBorders>
              <w:top w:val="single" w:sz="8" w:color="D9D9D6"/>
            </w:tcBorders>
            <w:shd w:val="clear" w:color="auto" w:fill="D9D9D6"/>
          </w:tcPr>
          <w:p>
            <w:pPr>
              <w:spacing w:after="0"/>
              <w:rPr>
                <w:sz w:val="15"/>
                <w:szCs w:val="15"/>
                <w:color w:val="auto"/>
              </w:rPr>
            </w:pPr>
          </w:p>
        </w:tc>
        <w:tc>
          <w:tcPr>
            <w:tcW w:w="20" w:type="dxa"/>
            <w:vAlign w:val="bottom"/>
            <w:tcBorders>
              <w:top w:val="single" w:sz="8" w:color="D9D9D6"/>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c>
          <w:tcPr>
            <w:tcW w:w="1220" w:type="dxa"/>
            <w:vAlign w:val="bottom"/>
            <w:tcBorders>
              <w:top w:val="single" w:sz="8" w:color="auto"/>
            </w:tcBorders>
            <w:gridSpan w:val="5"/>
            <w:shd w:val="clear" w:color="auto" w:fill="D9D9D6"/>
          </w:tcPr>
          <w:p>
            <w:pPr>
              <w:jc w:val="center"/>
              <w:ind w:left="248"/>
              <w:spacing w:after="0"/>
              <w:rPr>
                <w:sz w:val="20"/>
                <w:szCs w:val="20"/>
                <w:color w:val="auto"/>
              </w:rPr>
            </w:pPr>
            <w:r>
              <w:rPr>
                <w:rFonts w:ascii="Arial" w:cs="Arial" w:eastAsia="Arial" w:hAnsi="Arial"/>
                <w:sz w:val="14"/>
                <w:szCs w:val="14"/>
                <w:color w:val="auto"/>
              </w:rPr>
              <w:t>3rd Quarter</w:t>
            </w:r>
          </w:p>
        </w:tc>
        <w:tc>
          <w:tcPr>
            <w:tcW w:w="100" w:type="dxa"/>
            <w:vAlign w:val="bottom"/>
            <w:tcBorders>
              <w:top w:val="single" w:sz="8" w:color="auto"/>
            </w:tcBorders>
            <w:shd w:val="clear" w:color="auto" w:fill="D9D9D6"/>
          </w:tcPr>
          <w:p>
            <w:pPr>
              <w:spacing w:after="0"/>
              <w:rPr>
                <w:sz w:val="15"/>
                <w:szCs w:val="15"/>
                <w:color w:val="auto"/>
              </w:rPr>
            </w:pPr>
          </w:p>
        </w:tc>
        <w:tc>
          <w:tcPr>
            <w:tcW w:w="220" w:type="dxa"/>
            <w:vAlign w:val="bottom"/>
            <w:tcBorders>
              <w:top w:val="single" w:sz="8" w:color="auto"/>
            </w:tcBorders>
            <w:shd w:val="clear" w:color="auto" w:fill="D9D9D6"/>
          </w:tcPr>
          <w:p>
            <w:pPr>
              <w:spacing w:after="0"/>
              <w:rPr>
                <w:sz w:val="15"/>
                <w:szCs w:val="15"/>
                <w:color w:val="auto"/>
              </w:rPr>
            </w:pPr>
          </w:p>
        </w:tc>
        <w:tc>
          <w:tcPr>
            <w:tcW w:w="120" w:type="dxa"/>
            <w:vAlign w:val="bottom"/>
            <w:tcBorders>
              <w:top w:val="single" w:sz="8" w:color="D9D9D6"/>
              <w:right w:val="single" w:sz="8" w:color="D9D9D6"/>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744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60" w:type="dxa"/>
            <w:vAlign w:val="bottom"/>
            <w:tcBorders>
              <w:top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3"/>
              </w:rPr>
              <w:t>3Q24</w:t>
            </w:r>
          </w:p>
        </w:tc>
        <w:tc>
          <w:tcPr>
            <w:tcW w:w="520" w:type="dxa"/>
            <w:vAlign w:val="bottom"/>
            <w:tcBorders>
              <w:top w:val="single" w:sz="8" w:color="D9D9D6"/>
            </w:tcBorders>
            <w:shd w:val="clear" w:color="auto" w:fill="D9D9D6"/>
          </w:tcPr>
          <w:p>
            <w:pPr>
              <w:spacing w:after="0"/>
              <w:rPr>
                <w:sz w:val="15"/>
                <w:szCs w:val="15"/>
                <w:color w:val="auto"/>
              </w:rPr>
            </w:pPr>
          </w:p>
        </w:tc>
        <w:tc>
          <w:tcPr>
            <w:tcW w:w="380" w:type="dxa"/>
            <w:vAlign w:val="bottom"/>
            <w:tcBorders>
              <w:top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9"/>
              </w:rPr>
              <w:t>3Q23</w:t>
            </w:r>
          </w:p>
        </w:tc>
        <w:tc>
          <w:tcPr>
            <w:tcW w:w="520" w:type="dxa"/>
            <w:vAlign w:val="bottom"/>
            <w:tcBorders>
              <w:top w:val="single" w:sz="8" w:color="D9D9D6"/>
            </w:tcBorders>
            <w:gridSpan w:val="2"/>
            <w:shd w:val="clear" w:color="auto" w:fill="D9D9D6"/>
          </w:tcPr>
          <w:p>
            <w:pPr>
              <w:spacing w:after="0"/>
              <w:rPr>
                <w:sz w:val="15"/>
                <w:szCs w:val="15"/>
                <w:color w:val="auto"/>
              </w:rPr>
            </w:pPr>
          </w:p>
        </w:tc>
        <w:tc>
          <w:tcPr>
            <w:tcW w:w="360" w:type="dxa"/>
            <w:vAlign w:val="bottom"/>
            <w:tcBorders>
              <w:top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380" w:type="dxa"/>
            <w:vAlign w:val="bottom"/>
            <w:tcBorders>
              <w:top w:val="single" w:sz="8" w:color="auto"/>
            </w:tcBorders>
            <w:shd w:val="clear" w:color="auto" w:fill="D9D9D6"/>
          </w:tcPr>
          <w:p>
            <w:pPr>
              <w:spacing w:after="0"/>
              <w:rPr>
                <w:sz w:val="15"/>
                <w:szCs w:val="15"/>
                <w:color w:val="auto"/>
              </w:rPr>
            </w:pPr>
          </w:p>
        </w:tc>
        <w:tc>
          <w:tcPr>
            <w:tcW w:w="80" w:type="dxa"/>
            <w:vAlign w:val="bottom"/>
            <w:tcBorders>
              <w:top w:val="single" w:sz="8" w:color="D9D9D6"/>
            </w:tcBorders>
            <w:shd w:val="clear" w:color="auto" w:fill="D9D9D6"/>
          </w:tcPr>
          <w:p>
            <w:pPr>
              <w:spacing w:after="0"/>
              <w:rPr>
                <w:sz w:val="15"/>
                <w:szCs w:val="15"/>
                <w:color w:val="auto"/>
              </w:rPr>
            </w:pPr>
          </w:p>
        </w:tc>
        <w:tc>
          <w:tcPr>
            <w:tcW w:w="440" w:type="dxa"/>
            <w:vAlign w:val="bottom"/>
            <w:tcBorders>
              <w:top w:val="single" w:sz="8" w:color="D9D9D6"/>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20" w:type="dxa"/>
            <w:vAlign w:val="bottom"/>
            <w:tcBorders>
              <w:top w:val="single" w:sz="8" w:color="D9D9D6"/>
            </w:tcBorders>
            <w:shd w:val="clear" w:color="auto" w:fill="D9D9D6"/>
          </w:tcPr>
          <w:p>
            <w:pPr>
              <w:spacing w:after="0"/>
              <w:rPr>
                <w:sz w:val="15"/>
                <w:szCs w:val="15"/>
                <w:color w:val="auto"/>
              </w:rPr>
            </w:pP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74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Residential Connectivity &amp; Platforms Customer Relationships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31,324</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31,722</w:t>
            </w:r>
          </w:p>
        </w:tc>
        <w:tc>
          <w:tcPr>
            <w:tcW w:w="20" w:type="dxa"/>
            <w:vAlign w:val="bottom"/>
            <w:shd w:val="clear" w:color="auto" w:fill="D9D9D6"/>
          </w:tcPr>
          <w:p>
            <w:pPr>
              <w:spacing w:after="0"/>
              <w:rPr>
                <w:sz w:val="17"/>
                <w:szCs w:val="17"/>
                <w:color w:val="auto"/>
              </w:rPr>
            </w:pP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(103)</w:t>
            </w:r>
          </w:p>
        </w:tc>
        <w:tc>
          <w:tcPr>
            <w:tcW w:w="38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(39)</w:t>
            </w:r>
          </w:p>
        </w:tc>
        <w:tc>
          <w:tcPr>
            <w:tcW w:w="120" w:type="dxa"/>
            <w:vAlign w:val="bottom"/>
            <w:shd w:val="clear" w:color="auto" w:fill="D9D9D6"/>
          </w:tcPr>
          <w:p>
            <w:pPr>
              <w:spacing w:after="0"/>
              <w:rPr>
                <w:sz w:val="17"/>
                <w:szCs w:val="17"/>
                <w:color w:val="auto"/>
              </w:rPr>
            </w:pPr>
          </w:p>
        </w:tc>
      </w:tr>
      <w:tr>
        <w:trPr>
          <w:trHeight w:val="211"/>
        </w:trPr>
        <w:tc>
          <w:tcPr>
            <w:tcW w:w="120" w:type="dxa"/>
            <w:vAlign w:val="bottom"/>
            <w:shd w:val="clear" w:color="auto" w:fill="D9D9D6"/>
          </w:tcPr>
          <w:p>
            <w:pPr>
              <w:spacing w:after="0"/>
              <w:rPr>
                <w:sz w:val="18"/>
                <w:szCs w:val="18"/>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Residential Connectivity &amp; Platforms Customer Relationships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17,716</w:t>
            </w:r>
          </w:p>
        </w:tc>
        <w:tc>
          <w:tcPr>
            <w:tcW w:w="20" w:type="dxa"/>
            <w:vAlign w:val="bottom"/>
            <w:shd w:val="clear" w:color="auto" w:fill="D9D9D6"/>
          </w:tcPr>
          <w:p>
            <w:pPr>
              <w:spacing w:after="0"/>
              <w:rPr>
                <w:sz w:val="18"/>
                <w:szCs w:val="18"/>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17,958</w:t>
            </w:r>
          </w:p>
        </w:tc>
        <w:tc>
          <w:tcPr>
            <w:tcW w:w="20" w:type="dxa"/>
            <w:vAlign w:val="bottom"/>
            <w:shd w:val="clear" w:color="auto" w:fill="D9D9D6"/>
          </w:tcPr>
          <w:p>
            <w:pPr>
              <w:spacing w:after="0"/>
              <w:rPr>
                <w:sz w:val="18"/>
                <w:szCs w:val="18"/>
                <w:color w:val="auto"/>
              </w:rPr>
            </w:pPr>
          </w:p>
        </w:tc>
        <w:tc>
          <w:tcPr>
            <w:tcW w:w="88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78</w:t>
            </w:r>
          </w:p>
        </w:tc>
        <w:tc>
          <w:tcPr>
            <w:tcW w:w="380" w:type="dxa"/>
            <w:vAlign w:val="bottom"/>
            <w:shd w:val="clear" w:color="auto" w:fill="D9D9D6"/>
          </w:tcPr>
          <w:p>
            <w:pPr>
              <w:spacing w:after="0"/>
              <w:rPr>
                <w:sz w:val="18"/>
                <w:szCs w:val="18"/>
                <w:color w:val="auto"/>
              </w:rPr>
            </w:pPr>
          </w:p>
        </w:tc>
        <w:tc>
          <w:tcPr>
            <w:tcW w:w="80" w:type="dxa"/>
            <w:vAlign w:val="bottom"/>
            <w:shd w:val="clear" w:color="auto" w:fill="D9D9D6"/>
          </w:tcPr>
          <w:p>
            <w:pPr>
              <w:spacing w:after="0"/>
              <w:rPr>
                <w:sz w:val="18"/>
                <w:szCs w:val="18"/>
                <w:color w:val="auto"/>
              </w:rPr>
            </w:pPr>
          </w:p>
        </w:tc>
        <w:tc>
          <w:tcPr>
            <w:tcW w:w="4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74</w:t>
            </w:r>
          </w:p>
        </w:tc>
        <w:tc>
          <w:tcPr>
            <w:tcW w:w="120" w:type="dxa"/>
            <w:vAlign w:val="bottom"/>
            <w:shd w:val="clear" w:color="auto" w:fill="D9D9D6"/>
          </w:tcPr>
          <w:p>
            <w:pPr>
              <w:spacing w:after="0"/>
              <w:rPr>
                <w:sz w:val="18"/>
                <w:szCs w:val="18"/>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Connectivity Customer Relationships</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2,627</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2,640</w:t>
            </w:r>
          </w:p>
        </w:tc>
        <w:tc>
          <w:tcPr>
            <w:tcW w:w="880" w:type="dxa"/>
            <w:vAlign w:val="bottom"/>
            <w:tcBorders>
              <w:bottom w:val="single" w:sz="8" w:color="auto"/>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w:t>
            </w:r>
          </w:p>
        </w:tc>
        <w:tc>
          <w:tcPr>
            <w:tcW w:w="38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51,667</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52,320</w:t>
            </w: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(29)</w:t>
            </w: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40</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Domestic Broadband</w:t>
            </w:r>
          </w:p>
        </w:tc>
        <w:tc>
          <w:tcPr>
            <w:tcW w:w="52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40" w:type="dxa"/>
            <w:vAlign w:val="bottom"/>
            <w:tcBorders>
              <w:right w:val="single" w:sz="8" w:color="D9D9D6"/>
            </w:tcBorders>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tcBorders>
              <w:right w:val="single" w:sz="8" w:color="D9D9D6"/>
            </w:tcBorders>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5"/>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29,504</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29,779</w:t>
            </w:r>
          </w:p>
        </w:tc>
        <w:tc>
          <w:tcPr>
            <w:tcW w:w="20" w:type="dxa"/>
            <w:vAlign w:val="bottom"/>
            <w:shd w:val="clear" w:color="auto" w:fill="D9D9D6"/>
          </w:tcPr>
          <w:p>
            <w:pPr>
              <w:spacing w:after="0"/>
              <w:rPr>
                <w:sz w:val="17"/>
                <w:szCs w:val="17"/>
                <w:color w:val="auto"/>
              </w:rPr>
            </w:pP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(79)</w:t>
            </w:r>
          </w:p>
        </w:tc>
        <w:tc>
          <w:tcPr>
            <w:tcW w:w="38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D9D9D6"/>
          </w:tcPr>
          <w:p>
            <w:pPr>
              <w:spacing w:after="0"/>
              <w:rPr>
                <w:sz w:val="17"/>
                <w:szCs w:val="17"/>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Customers</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2,477</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2,508</w:t>
            </w:r>
          </w:p>
        </w:tc>
        <w:tc>
          <w:tcPr>
            <w:tcW w:w="880" w:type="dxa"/>
            <w:vAlign w:val="bottom"/>
            <w:tcBorders>
              <w:bottom w:val="single" w:sz="8" w:color="auto"/>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w:t>
            </w:r>
          </w:p>
        </w:tc>
        <w:tc>
          <w:tcPr>
            <w:tcW w:w="38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2"/>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Broadband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31,981</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32,287</w:t>
            </w: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(87)</w:t>
            </w: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(18)</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Wireless Lines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7,519</w:t>
            </w:r>
          </w:p>
        </w:tc>
        <w:tc>
          <w:tcPr>
            <w:tcW w:w="2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6,278</w:t>
            </w:r>
          </w:p>
        </w:tc>
        <w:tc>
          <w:tcPr>
            <w:tcW w:w="20" w:type="dxa"/>
            <w:vAlign w:val="bottom"/>
            <w:shd w:val="clear" w:color="auto" w:fill="D9D9D6"/>
          </w:tcPr>
          <w:p>
            <w:pPr>
              <w:spacing w:after="0"/>
              <w:rPr>
                <w:sz w:val="24"/>
                <w:szCs w:val="24"/>
                <w:color w:val="auto"/>
              </w:rPr>
            </w:pPr>
          </w:p>
        </w:tc>
        <w:tc>
          <w:tcPr>
            <w:tcW w:w="88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319</w:t>
            </w:r>
          </w:p>
        </w:tc>
        <w:tc>
          <w:tcPr>
            <w:tcW w:w="38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294</w:t>
            </w:r>
          </w:p>
        </w:tc>
        <w:tc>
          <w:tcPr>
            <w:tcW w:w="120" w:type="dxa"/>
            <w:vAlign w:val="bottom"/>
            <w:shd w:val="clear" w:color="auto" w:fill="D9D9D6"/>
          </w:tcPr>
          <w:p>
            <w:pPr>
              <w:spacing w:after="0"/>
              <w:rPr>
                <w:sz w:val="24"/>
                <w:szCs w:val="24"/>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Video Customers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12,834</w:t>
            </w:r>
          </w:p>
        </w:tc>
        <w:tc>
          <w:tcPr>
            <w:tcW w:w="2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14,495</w:t>
            </w:r>
          </w:p>
        </w:tc>
        <w:tc>
          <w:tcPr>
            <w:tcW w:w="20" w:type="dxa"/>
            <w:vAlign w:val="bottom"/>
            <w:shd w:val="clear" w:color="auto" w:fill="D9D9D6"/>
          </w:tcPr>
          <w:p>
            <w:pPr>
              <w:spacing w:after="0"/>
              <w:rPr>
                <w:sz w:val="24"/>
                <w:szCs w:val="24"/>
                <w:color w:val="auto"/>
              </w:rPr>
            </w:pP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(365)</w:t>
            </w:r>
          </w:p>
        </w:tc>
        <w:tc>
          <w:tcPr>
            <w:tcW w:w="38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(490)</w:t>
            </w:r>
          </w:p>
        </w:tc>
        <w:tc>
          <w:tcPr>
            <w:tcW w:w="120" w:type="dxa"/>
            <w:vAlign w:val="bottom"/>
            <w:shd w:val="clear" w:color="auto" w:fill="D9D9D6"/>
          </w:tcPr>
          <w:p>
            <w:pPr>
              <w:spacing w:after="0"/>
              <w:rPr>
                <w:sz w:val="24"/>
                <w:szCs w:val="24"/>
                <w:color w:val="auto"/>
              </w:rPr>
            </w:pPr>
          </w:p>
        </w:tc>
      </w:tr>
      <w:tr>
        <w:trPr>
          <w:trHeight w:val="56"/>
        </w:trPr>
        <w:tc>
          <w:tcPr>
            <w:tcW w:w="120" w:type="dxa"/>
            <w:vAlign w:val="bottom"/>
            <w:shd w:val="clear" w:color="auto" w:fill="D9D9D6"/>
          </w:tcPr>
          <w:p>
            <w:pPr>
              <w:spacing w:after="0"/>
              <w:rPr>
                <w:sz w:val="4"/>
                <w:szCs w:val="4"/>
                <w:color w:val="auto"/>
              </w:rPr>
            </w:pPr>
          </w:p>
        </w:tc>
        <w:tc>
          <w:tcPr>
            <w:tcW w:w="744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120" w:type="dxa"/>
            <w:vAlign w:val="bottom"/>
            <w:tcBorders>
              <w:right w:val="single" w:sz="8" w:color="D9D9D6"/>
            </w:tcBorders>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for Connectivity &amp; Platforms decreased by 29,000 to 51.7 million, primarily reflecting a decrease in domestic</w:t>
      </w:r>
    </w:p>
    <w:p>
      <w:pPr>
        <w:spacing w:after="0" w:line="1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customer relationships, partially offset by an increase in international customer relationships. Domestic Residential Connectivity &amp; Platforms relationships include a negative impact in the quarter from the end of the FCC's Affordable Connectivity Program ("ACP") in the second quarter of 2024. Excluding the negative impact from ACP, we estimate that total customer relationships increased by 67,000. Total domestic broadband customer net losses were 87,000. Excluding the negative impact from ACP, we estimate that total broadband net additions were</w:t>
      </w:r>
    </w:p>
    <w:p>
      <w:pPr>
        <w:spacing w:after="0"/>
        <w:rPr>
          <w:sz w:val="20"/>
          <w:szCs w:val="20"/>
          <w:color w:val="auto"/>
        </w:rPr>
      </w:pPr>
      <w:r>
        <w:rPr>
          <w:rFonts w:ascii="Arial" w:cs="Arial" w:eastAsia="Arial" w:hAnsi="Arial"/>
          <w:sz w:val="18"/>
          <w:szCs w:val="18"/>
          <w:color w:val="auto"/>
        </w:rPr>
        <w:t>9,000. Total domestic wireless line net additions were 319,000 and total domestic video customer net losses were 365,000.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56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080" w:type="dxa"/>
            <w:vAlign w:val="bottom"/>
            <w:gridSpan w:val="4"/>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8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00" w:type="dxa"/>
            <w:vAlign w:val="bottom"/>
            <w:shd w:val="clear" w:color="auto" w:fill="D9D9D6"/>
          </w:tcPr>
          <w:p>
            <w:pPr>
              <w:spacing w:after="0"/>
              <w:rPr>
                <w:sz w:val="12"/>
                <w:szCs w:val="12"/>
                <w:color w:val="auto"/>
              </w:rPr>
            </w:pPr>
          </w:p>
        </w:tc>
        <w:tc>
          <w:tcPr>
            <w:tcW w:w="6780" w:type="dxa"/>
            <w:vAlign w:val="bottom"/>
            <w:shd w:val="clear" w:color="auto" w:fill="D9D9D6"/>
          </w:tcPr>
          <w:p>
            <w:pPr>
              <w:spacing w:after="0"/>
              <w:rPr>
                <w:sz w:val="12"/>
                <w:szCs w:val="12"/>
                <w:color w:val="auto"/>
              </w:rPr>
            </w:pPr>
          </w:p>
        </w:tc>
        <w:tc>
          <w:tcPr>
            <w:tcW w:w="76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80" w:type="dxa"/>
            <w:vAlign w:val="bottom"/>
            <w:shd w:val="clear" w:color="auto" w:fill="D9D9D6"/>
          </w:tcPr>
          <w:p>
            <w:pPr>
              <w:spacing w:after="0"/>
              <w:rPr>
                <w:sz w:val="12"/>
                <w:szCs w:val="12"/>
                <w:color w:val="auto"/>
              </w:rPr>
            </w:pPr>
          </w:p>
        </w:tc>
        <w:tc>
          <w:tcPr>
            <w:tcW w:w="74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3rd Quarter</w:t>
            </w:r>
          </w:p>
        </w:tc>
        <w:tc>
          <w:tcPr>
            <w:tcW w:w="160" w:type="dxa"/>
            <w:vAlign w:val="bottom"/>
            <w:gridSpan w:val="2"/>
            <w:vMerge w:val="restart"/>
            <w:shd w:val="clear" w:color="auto" w:fill="D9D9D6"/>
          </w:tcPr>
          <w:p>
            <w:pPr>
              <w:spacing w:after="0"/>
              <w:rPr>
                <w:sz w:val="12"/>
                <w:szCs w:val="12"/>
                <w:color w:val="auto"/>
              </w:rPr>
            </w:pPr>
          </w:p>
        </w:tc>
        <w:tc>
          <w:tcPr>
            <w:tcW w:w="48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80" w:type="dxa"/>
            <w:vAlign w:val="bottom"/>
            <w:gridSpan w:val="4"/>
            <w:vMerge w:val="continue"/>
            <w:shd w:val="clear" w:color="auto" w:fill="D9D9D6"/>
          </w:tcPr>
          <w:p>
            <w:pPr>
              <w:spacing w:after="0"/>
              <w:rPr>
                <w:sz w:val="12"/>
                <w:szCs w:val="12"/>
                <w:color w:val="auto"/>
              </w:rPr>
            </w:pPr>
          </w:p>
        </w:tc>
        <w:tc>
          <w:tcPr>
            <w:tcW w:w="18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0" w:type="dxa"/>
            <w:vAlign w:val="bottom"/>
            <w:tcBorders>
              <w:bottom w:val="single" w:sz="8" w:color="D9D9D6"/>
            </w:tcBorders>
            <w:shd w:val="clear" w:color="auto" w:fill="D9D9D6"/>
          </w:tcPr>
          <w:p>
            <w:pPr>
              <w:spacing w:after="0"/>
              <w:rPr>
                <w:sz w:val="6"/>
                <w:szCs w:val="6"/>
                <w:color w:val="auto"/>
              </w:rPr>
            </w:pPr>
          </w:p>
        </w:tc>
        <w:tc>
          <w:tcPr>
            <w:tcW w:w="6780" w:type="dxa"/>
            <w:vAlign w:val="bottom"/>
            <w:tcBorders>
              <w:bottom w:val="single" w:sz="8" w:color="D9D9D6"/>
            </w:tcBorders>
            <w:shd w:val="clear" w:color="auto" w:fill="D9D9D6"/>
          </w:tcPr>
          <w:p>
            <w:pPr>
              <w:spacing w:after="0"/>
              <w:rPr>
                <w:sz w:val="6"/>
                <w:szCs w:val="6"/>
                <w:color w:val="auto"/>
              </w:rPr>
            </w:pPr>
          </w:p>
        </w:tc>
        <w:tc>
          <w:tcPr>
            <w:tcW w:w="760" w:type="dxa"/>
            <w:vAlign w:val="bottom"/>
            <w:tcBorders>
              <w:bottom w:val="single" w:sz="8" w:color="D9D9D6"/>
            </w:tcBorders>
            <w:shd w:val="clear" w:color="auto" w:fill="D9D9D6"/>
          </w:tcPr>
          <w:p>
            <w:pPr>
              <w:spacing w:after="0"/>
              <w:rPr>
                <w:sz w:val="6"/>
                <w:szCs w:val="6"/>
                <w:color w:val="auto"/>
              </w:rPr>
            </w:pPr>
          </w:p>
        </w:tc>
        <w:tc>
          <w:tcPr>
            <w:tcW w:w="320" w:type="dxa"/>
            <w:vAlign w:val="bottom"/>
            <w:tcBorders>
              <w:bottom w:val="single" w:sz="8" w:color="D9D9D6"/>
            </w:tcBorders>
            <w:shd w:val="clear" w:color="auto" w:fill="D9D9D6"/>
          </w:tcPr>
          <w:p>
            <w:pPr>
              <w:spacing w:after="0"/>
              <w:rPr>
                <w:sz w:val="6"/>
                <w:szCs w:val="6"/>
                <w:color w:val="auto"/>
              </w:rPr>
            </w:pPr>
          </w:p>
        </w:tc>
        <w:tc>
          <w:tcPr>
            <w:tcW w:w="20" w:type="dxa"/>
            <w:vAlign w:val="bottom"/>
            <w:tcBorders>
              <w:bottom w:val="single" w:sz="8" w:color="D9D9D6"/>
            </w:tcBorders>
            <w:shd w:val="clear" w:color="auto" w:fill="D9D9D6"/>
          </w:tcPr>
          <w:p>
            <w:pPr>
              <w:spacing w:after="0"/>
              <w:rPr>
                <w:sz w:val="6"/>
                <w:szCs w:val="6"/>
                <w:color w:val="auto"/>
              </w:rPr>
            </w:pPr>
          </w:p>
        </w:tc>
        <w:tc>
          <w:tcPr>
            <w:tcW w:w="80" w:type="dxa"/>
            <w:vAlign w:val="bottom"/>
            <w:tcBorders>
              <w:bottom w:val="single" w:sz="8" w:color="D9D9D6"/>
            </w:tcBorders>
            <w:shd w:val="clear" w:color="auto" w:fill="D9D9D6"/>
          </w:tcPr>
          <w:p>
            <w:pPr>
              <w:spacing w:after="0"/>
              <w:rPr>
                <w:sz w:val="6"/>
                <w:szCs w:val="6"/>
                <w:color w:val="auto"/>
              </w:rPr>
            </w:pPr>
          </w:p>
        </w:tc>
        <w:tc>
          <w:tcPr>
            <w:tcW w:w="740" w:type="dxa"/>
            <w:vAlign w:val="bottom"/>
            <w:tcBorders>
              <w:bottom w:val="single" w:sz="8" w:color="auto"/>
            </w:tcBorders>
            <w:gridSpan w:val="2"/>
            <w:vMerge w:val="continue"/>
            <w:shd w:val="clear" w:color="auto" w:fill="D9D9D6"/>
          </w:tcPr>
          <w:p>
            <w:pPr>
              <w:spacing w:after="0"/>
              <w:rPr>
                <w:sz w:val="6"/>
                <w:szCs w:val="6"/>
                <w:color w:val="auto"/>
              </w:rPr>
            </w:pPr>
          </w:p>
        </w:tc>
        <w:tc>
          <w:tcPr>
            <w:tcW w:w="160" w:type="dxa"/>
            <w:vAlign w:val="bottom"/>
            <w:tcBorders>
              <w:bottom w:val="single" w:sz="8" w:color="D9D9D6"/>
            </w:tcBorders>
            <w:gridSpan w:val="2"/>
            <w:vMerge w:val="continue"/>
            <w:shd w:val="clear" w:color="auto" w:fill="D9D9D6"/>
          </w:tcPr>
          <w:p>
            <w:pPr>
              <w:spacing w:after="0"/>
              <w:rPr>
                <w:sz w:val="6"/>
                <w:szCs w:val="6"/>
                <w:color w:val="auto"/>
              </w:rPr>
            </w:pPr>
          </w:p>
        </w:tc>
        <w:tc>
          <w:tcPr>
            <w:tcW w:w="480" w:type="dxa"/>
            <w:vAlign w:val="bottom"/>
            <w:tcBorders>
              <w:bottom w:val="single" w:sz="8" w:color="D9D9D6"/>
            </w:tcBorders>
            <w:shd w:val="clear" w:color="auto" w:fill="D9D9D6"/>
          </w:tcPr>
          <w:p>
            <w:pPr>
              <w:spacing w:after="0"/>
              <w:rPr>
                <w:sz w:val="6"/>
                <w:szCs w:val="6"/>
                <w:color w:val="auto"/>
              </w:rPr>
            </w:pPr>
          </w:p>
        </w:tc>
        <w:tc>
          <w:tcPr>
            <w:tcW w:w="320" w:type="dxa"/>
            <w:vAlign w:val="bottom"/>
            <w:tcBorders>
              <w:bottom w:val="single" w:sz="8" w:color="D9D9D6"/>
            </w:tcBorders>
            <w:shd w:val="clear" w:color="auto" w:fill="D9D9D6"/>
          </w:tcPr>
          <w:p>
            <w:pPr>
              <w:spacing w:after="0"/>
              <w:rPr>
                <w:sz w:val="6"/>
                <w:szCs w:val="6"/>
                <w:color w:val="auto"/>
              </w:rPr>
            </w:pPr>
          </w:p>
        </w:tc>
        <w:tc>
          <w:tcPr>
            <w:tcW w:w="200" w:type="dxa"/>
            <w:vAlign w:val="bottom"/>
            <w:tcBorders>
              <w:bottom w:val="single" w:sz="8" w:color="D9D9D6"/>
            </w:tcBorders>
            <w:shd w:val="clear" w:color="auto" w:fill="D9D9D6"/>
          </w:tcPr>
          <w:p>
            <w:pPr>
              <w:spacing w:after="0"/>
              <w:rPr>
                <w:sz w:val="6"/>
                <w:szCs w:val="6"/>
                <w:color w:val="auto"/>
              </w:rPr>
            </w:pPr>
          </w:p>
        </w:tc>
        <w:tc>
          <w:tcPr>
            <w:tcW w:w="20" w:type="dxa"/>
            <w:vAlign w:val="bottom"/>
            <w:tcBorders>
              <w:bottom w:val="single" w:sz="8" w:color="D9D9D6"/>
            </w:tcBorders>
            <w:shd w:val="clear" w:color="auto" w:fill="D9D9D6"/>
          </w:tcPr>
          <w:p>
            <w:pPr>
              <w:spacing w:after="0"/>
              <w:rPr>
                <w:sz w:val="6"/>
                <w:szCs w:val="6"/>
                <w:color w:val="auto"/>
              </w:rPr>
            </w:pPr>
          </w:p>
        </w:tc>
        <w:tc>
          <w:tcPr>
            <w:tcW w:w="1080" w:type="dxa"/>
            <w:vAlign w:val="bottom"/>
            <w:tcBorders>
              <w:bottom w:val="single" w:sz="8" w:color="D9D9D6"/>
            </w:tcBorders>
            <w:gridSpan w:val="4"/>
            <w:vMerge w:val="restart"/>
            <w:shd w:val="clear" w:color="auto" w:fill="D9D9D6"/>
          </w:tcPr>
          <w:p>
            <w:pPr>
              <w:jc w:val="right"/>
              <w:ind w:right="60"/>
              <w:spacing w:after="0" w:line="145" w:lineRule="exact"/>
              <w:rPr>
                <w:sz w:val="20"/>
                <w:szCs w:val="20"/>
                <w:color w:val="auto"/>
              </w:rPr>
            </w:pPr>
            <w:r>
              <w:rPr>
                <w:rFonts w:ascii="Arial" w:cs="Arial" w:eastAsia="Arial" w:hAnsi="Arial"/>
                <w:sz w:val="14"/>
                <w:szCs w:val="14"/>
                <w:color w:val="auto"/>
              </w:rPr>
              <w:t>Currency</w:t>
            </w:r>
          </w:p>
        </w:tc>
        <w:tc>
          <w:tcPr>
            <w:tcW w:w="180" w:type="dxa"/>
            <w:vAlign w:val="bottom"/>
            <w:tcBorders>
              <w:bottom w:val="single" w:sz="8" w:color="D9D9D6"/>
            </w:tcBorders>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shd w:val="clear" w:color="auto" w:fill="D9D9D6"/>
          </w:tcPr>
          <w:p>
            <w:pPr>
              <w:spacing w:after="0"/>
              <w:rPr>
                <w:sz w:val="4"/>
                <w:szCs w:val="4"/>
                <w:color w:val="auto"/>
              </w:rPr>
            </w:pPr>
          </w:p>
        </w:tc>
        <w:tc>
          <w:tcPr>
            <w:tcW w:w="6780" w:type="dxa"/>
            <w:vAlign w:val="bottom"/>
            <w:shd w:val="clear" w:color="auto" w:fill="D9D9D6"/>
          </w:tcPr>
          <w:p>
            <w:pPr>
              <w:spacing w:after="0"/>
              <w:rPr>
                <w:sz w:val="4"/>
                <w:szCs w:val="4"/>
                <w:color w:val="auto"/>
              </w:rPr>
            </w:pPr>
          </w:p>
        </w:tc>
        <w:tc>
          <w:tcPr>
            <w:tcW w:w="110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980" w:type="dxa"/>
            <w:vAlign w:val="bottom"/>
            <w:gridSpan w:val="5"/>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480" w:type="dxa"/>
            <w:vAlign w:val="bottom"/>
            <w:shd w:val="clear" w:color="auto" w:fill="D9D9D6"/>
          </w:tcPr>
          <w:p>
            <w:pPr>
              <w:spacing w:after="0"/>
              <w:rPr>
                <w:sz w:val="4"/>
                <w:szCs w:val="4"/>
                <w:color w:val="auto"/>
              </w:rPr>
            </w:pPr>
          </w:p>
        </w:tc>
        <w:tc>
          <w:tcPr>
            <w:tcW w:w="54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1080" w:type="dxa"/>
            <w:vAlign w:val="bottom"/>
            <w:gridSpan w:val="4"/>
            <w:vMerge w:val="continue"/>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00" w:type="dxa"/>
            <w:vAlign w:val="bottom"/>
            <w:shd w:val="clear" w:color="auto" w:fill="D9D9D6"/>
          </w:tcPr>
          <w:p>
            <w:pPr>
              <w:spacing w:after="0"/>
              <w:rPr>
                <w:sz w:val="13"/>
                <w:szCs w:val="13"/>
                <w:color w:val="auto"/>
              </w:rPr>
            </w:pPr>
          </w:p>
        </w:tc>
        <w:tc>
          <w:tcPr>
            <w:tcW w:w="6780" w:type="dxa"/>
            <w:vAlign w:val="bottom"/>
            <w:shd w:val="clear" w:color="auto" w:fill="D9D9D6"/>
          </w:tcPr>
          <w:p>
            <w:pPr>
              <w:spacing w:after="0"/>
              <w:rPr>
                <w:sz w:val="13"/>
                <w:szCs w:val="13"/>
                <w:color w:val="auto"/>
              </w:rPr>
            </w:pPr>
          </w:p>
        </w:tc>
        <w:tc>
          <w:tcPr>
            <w:tcW w:w="1100" w:type="dxa"/>
            <w:vAlign w:val="bottom"/>
            <w:gridSpan w:val="3"/>
            <w:vMerge w:val="continue"/>
            <w:shd w:val="clear" w:color="auto" w:fill="D9D9D6"/>
          </w:tcPr>
          <w:p>
            <w:pPr>
              <w:spacing w:after="0"/>
              <w:rPr>
                <w:sz w:val="13"/>
                <w:szCs w:val="13"/>
                <w:color w:val="auto"/>
              </w:rPr>
            </w:pPr>
          </w:p>
        </w:tc>
        <w:tc>
          <w:tcPr>
            <w:tcW w:w="980" w:type="dxa"/>
            <w:vAlign w:val="bottom"/>
            <w:gridSpan w:val="5"/>
            <w:vMerge w:val="continue"/>
            <w:shd w:val="clear" w:color="auto" w:fill="D9D9D6"/>
          </w:tcPr>
          <w:p>
            <w:pPr>
              <w:spacing w:after="0"/>
              <w:rPr>
                <w:sz w:val="13"/>
                <w:szCs w:val="13"/>
                <w:color w:val="auto"/>
              </w:rPr>
            </w:pPr>
          </w:p>
        </w:tc>
        <w:tc>
          <w:tcPr>
            <w:tcW w:w="480" w:type="dxa"/>
            <w:vAlign w:val="bottom"/>
            <w:shd w:val="clear" w:color="auto" w:fill="D9D9D6"/>
          </w:tcPr>
          <w:p>
            <w:pPr>
              <w:spacing w:after="0"/>
              <w:rPr>
                <w:sz w:val="13"/>
                <w:szCs w:val="13"/>
                <w:color w:val="auto"/>
              </w:rPr>
            </w:pPr>
          </w:p>
        </w:tc>
        <w:tc>
          <w:tcPr>
            <w:tcW w:w="540" w:type="dxa"/>
            <w:vAlign w:val="bottom"/>
            <w:gridSpan w:val="3"/>
            <w:vMerge w:val="continue"/>
            <w:shd w:val="clear" w:color="auto" w:fill="D9D9D6"/>
          </w:tcPr>
          <w:p>
            <w:pPr>
              <w:spacing w:after="0"/>
              <w:rPr>
                <w:sz w:val="13"/>
                <w:szCs w:val="13"/>
                <w:color w:val="auto"/>
              </w:rPr>
            </w:pPr>
          </w:p>
        </w:tc>
        <w:tc>
          <w:tcPr>
            <w:tcW w:w="1080" w:type="dxa"/>
            <w:vAlign w:val="bottom"/>
            <w:gridSpan w:val="4"/>
            <w:shd w:val="clear" w:color="auto" w:fill="D9D9D6"/>
          </w:tcPr>
          <w:p>
            <w:pPr>
              <w:jc w:val="right"/>
              <w:ind w:right="20"/>
              <w:spacing w:after="0" w:line="115" w:lineRule="exact"/>
              <w:rPr>
                <w:sz w:val="20"/>
                <w:szCs w:val="20"/>
                <w:color w:val="auto"/>
              </w:rPr>
            </w:pPr>
            <w:r>
              <w:rPr>
                <w:rFonts w:ascii="Arial" w:cs="Arial" w:eastAsia="Arial" w:hAnsi="Arial"/>
                <w:sz w:val="13"/>
                <w:szCs w:val="13"/>
                <w:color w:val="auto"/>
              </w:rPr>
              <w:t>Change</w:t>
            </w:r>
            <w:r>
              <w:rPr>
                <w:rFonts w:ascii="Arial" w:cs="Arial" w:eastAsia="Arial" w:hAnsi="Arial"/>
                <w:sz w:val="8"/>
                <w:szCs w:val="8"/>
                <w:color w:val="auto"/>
              </w:rPr>
              <w:t>5</w:t>
            </w:r>
          </w:p>
        </w:tc>
        <w:tc>
          <w:tcPr>
            <w:tcW w:w="180" w:type="dxa"/>
            <w:vAlign w:val="bottom"/>
            <w:shd w:val="clear" w:color="auto" w:fill="D9D9D6"/>
          </w:tcPr>
          <w:p>
            <w:pPr>
              <w:spacing w:after="0"/>
              <w:rPr>
                <w:sz w:val="13"/>
                <w:szCs w:val="13"/>
                <w:color w:val="auto"/>
              </w:rPr>
            </w:pPr>
          </w:p>
        </w:tc>
        <w:tc>
          <w:tcPr>
            <w:tcW w:w="0" w:type="dxa"/>
            <w:vAlign w:val="bottom"/>
          </w:tcPr>
          <w:p>
            <w:pPr>
              <w:spacing w:after="0"/>
              <w:rPr>
                <w:sz w:val="1"/>
                <w:szCs w:val="1"/>
                <w:color w:val="auto"/>
              </w:rPr>
            </w:pPr>
          </w:p>
        </w:tc>
      </w:tr>
      <w:tr>
        <w:trPr>
          <w:trHeight w:val="538"/>
        </w:trPr>
        <w:tc>
          <w:tcPr>
            <w:tcW w:w="100" w:type="dxa"/>
            <w:vAlign w:val="bottom"/>
            <w:tcBorders>
              <w:top w:val="single" w:sz="8" w:color="D9D9D6"/>
            </w:tcBorders>
            <w:shd w:val="clear" w:color="auto" w:fill="D9D9D6"/>
          </w:tcPr>
          <w:p>
            <w:pPr>
              <w:spacing w:after="0"/>
              <w:rPr>
                <w:sz w:val="24"/>
                <w:szCs w:val="24"/>
                <w:color w:val="auto"/>
              </w:rPr>
            </w:pPr>
          </w:p>
        </w:tc>
        <w:tc>
          <w:tcPr>
            <w:tcW w:w="67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7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56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auto"/>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48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200" w:type="dxa"/>
            <w:vAlign w:val="bottom"/>
            <w:tcBorders>
              <w:top w:val="single" w:sz="8" w:color="auto"/>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360" w:type="dxa"/>
            <w:vAlign w:val="bottom"/>
            <w:tcBorders>
              <w:top w:val="single" w:sz="8" w:color="auto"/>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Broadband</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$6,539</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$6,366</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2.7</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2.7 %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Wireless</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1,093</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917</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19.2</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19.2 %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240"/>
              <w:spacing w:after="0"/>
              <w:rPr>
                <w:sz w:val="20"/>
                <w:szCs w:val="20"/>
                <w:color w:val="auto"/>
              </w:rPr>
            </w:pPr>
            <w:r>
              <w:rPr>
                <w:rFonts w:ascii="Arial" w:cs="Arial" w:eastAsia="Arial" w:hAnsi="Arial"/>
                <w:sz w:val="14"/>
                <w:szCs w:val="14"/>
                <w:color w:val="auto"/>
              </w:rPr>
              <w:t>International Connectivity</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1,236</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1,109</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11.4</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8.3</w:t>
            </w:r>
          </w:p>
        </w:tc>
        <w:tc>
          <w:tcPr>
            <w:tcW w:w="14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0" w:type="dxa"/>
            <w:vAlign w:val="bottom"/>
            <w:shd w:val="clear" w:color="auto" w:fill="D9D9D6"/>
          </w:tcPr>
          <w:p>
            <w:pPr>
              <w:spacing w:after="0"/>
              <w:rPr>
                <w:sz w:val="16"/>
                <w:szCs w:val="16"/>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Total Residential Connectivity</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8,869</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8,393</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5.7</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5.3</w:t>
            </w:r>
          </w:p>
        </w:tc>
        <w:tc>
          <w:tcPr>
            <w:tcW w:w="140" w:type="dxa"/>
            <w:vAlign w:val="bottom"/>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Video</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6,713</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7,154</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(6.2</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(6.8</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Advertising</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987</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960</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2.7</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1,298</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1,444</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(10.1</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$17,866</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$17,951</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(0.5</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Operating Expenses</w:t>
            </w:r>
          </w:p>
        </w:tc>
        <w:tc>
          <w:tcPr>
            <w:tcW w:w="7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Programming</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$4,102</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$4,460</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(8.0</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(8.6 %)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Non-Programming</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6,860</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6,605</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3.9</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0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3.0 %</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$10,962</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$11,065</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(0.9</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(1.7 %)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$6,904</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$6,886</w:t>
            </w: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0.3 %</w:t>
            </w: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5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 %</w:t>
            </w: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38.6 %</w:t>
            </w:r>
          </w:p>
        </w:tc>
        <w:tc>
          <w:tcPr>
            <w:tcW w:w="20" w:type="dxa"/>
            <w:vAlign w:val="bottom"/>
            <w:shd w:val="clear" w:color="auto" w:fill="D9D9D6"/>
          </w:tcPr>
          <w:p>
            <w:pPr>
              <w:spacing w:after="0"/>
              <w:rPr>
                <w:sz w:val="17"/>
                <w:szCs w:val="17"/>
                <w:color w:val="auto"/>
              </w:rPr>
            </w:pP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38.4 %</w:t>
            </w:r>
          </w:p>
        </w:tc>
        <w:tc>
          <w:tcPr>
            <w:tcW w:w="20" w:type="dxa"/>
            <w:vAlign w:val="bottom"/>
            <w:shd w:val="clear" w:color="auto" w:fill="D9D9D6"/>
          </w:tcPr>
          <w:p>
            <w:pPr>
              <w:spacing w:after="0"/>
              <w:rPr>
                <w:sz w:val="17"/>
                <w:szCs w:val="17"/>
                <w:color w:val="auto"/>
              </w:rPr>
            </w:pPr>
          </w:p>
        </w:tc>
        <w:tc>
          <w:tcPr>
            <w:tcW w:w="480" w:type="dxa"/>
            <w:vAlign w:val="bottom"/>
            <w:shd w:val="clear" w:color="auto" w:fill="D9D9D6"/>
          </w:tcPr>
          <w:p>
            <w:pPr>
              <w:spacing w:after="0"/>
              <w:rPr>
                <w:sz w:val="17"/>
                <w:szCs w:val="17"/>
                <w:color w:val="auto"/>
              </w:rPr>
            </w:pPr>
          </w:p>
        </w:tc>
        <w:tc>
          <w:tcPr>
            <w:tcW w:w="5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 bps</w:t>
            </w:r>
          </w:p>
        </w:tc>
        <w:tc>
          <w:tcPr>
            <w:tcW w:w="500" w:type="dxa"/>
            <w:vAlign w:val="bottom"/>
            <w:shd w:val="clear" w:color="auto" w:fill="D9D9D6"/>
          </w:tcPr>
          <w:p>
            <w:pPr>
              <w:spacing w:after="0"/>
              <w:rPr>
                <w:sz w:val="17"/>
                <w:szCs w:val="17"/>
                <w:color w:val="auto"/>
              </w:rPr>
            </w:pPr>
          </w:p>
        </w:tc>
        <w:tc>
          <w:tcPr>
            <w:tcW w:w="5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40 bps</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780" w:type="dxa"/>
            <w:vAlign w:val="bottom"/>
            <w:shd w:val="clear" w:color="auto" w:fill="D9D9D6"/>
          </w:tcPr>
          <w:p>
            <w:pPr>
              <w:spacing w:after="0"/>
              <w:rPr>
                <w:sz w:val="5"/>
                <w:szCs w:val="5"/>
                <w:color w:val="auto"/>
              </w:rPr>
            </w:pPr>
          </w:p>
        </w:tc>
        <w:tc>
          <w:tcPr>
            <w:tcW w:w="7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56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4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5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Residential Connectivity &amp; Platforms was consistent with the prior year period, driven by increases in domestic broadband,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wireless, international connectivity and advertising revenue, offset by decreases in video and other revenue. Domestic broadband revenue increased due to higher average rates. Domestic wireless revenue increased due to an increase in the number of customer lines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and device sales. International connectivity revenue increased primarily due to an increase in broadband revenue from higher average rates and the positive impact of foreign currency. Advertising revenue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26" w:right="339" w:bottom="1440" w:gutter="0" w:footer="0" w:header="0"/>
        </w:sectPr>
      </w:pPr>
    </w:p>
    <w:bookmarkStart w:id="6" w:name="page7"/>
    <w:bookmarkEnd w:id="6"/>
    <w:p>
      <w:pPr>
        <w:jc w:val="both"/>
        <w:spacing w:after="0" w:line="238" w:lineRule="auto"/>
        <w:rPr>
          <w:sz w:val="20"/>
          <w:szCs w:val="20"/>
          <w:color w:val="auto"/>
        </w:rPr>
      </w:pPr>
      <w:r>
        <w:rPr>
          <w:rFonts w:ascii="Arial" w:cs="Arial" w:eastAsia="Arial" w:hAnsi="Arial"/>
          <w:sz w:val="18"/>
          <w:szCs w:val="18"/>
          <w:color w:val="auto"/>
        </w:rPr>
        <w:t>increased due to higher domestic political advertising, partially offset by lower domestic nonpolitical and international advertising. Video revenue decreased due to a decline in the number of video customers, partially offset by an overall increase in average rates. Other revenue decreased primarily due to lower residential wireline voice revenue, driven by a decline in the number of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Residential Connectivity &amp; Platforms was consistent with the prior year period reflecting consistent revenue and</w:t>
      </w:r>
    </w:p>
    <w:p>
      <w:pPr>
        <w:spacing w:after="0" w:line="1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 xml:space="preserve">operating expenses. Programming expenses decreased primarily due to a decline in the number of domestic video customers, partially offset by rate increases under our domestic programming contracts. Non-programming expenses increased primarily due to higher direct product costs, the impact of foreign currency, increased technical and support costs and higher marketing and promotion, including spending associated with the Paris Olympics.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increased to 38.6%.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24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06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Constant</w:t>
            </w:r>
          </w:p>
        </w:tc>
        <w:tc>
          <w:tcPr>
            <w:tcW w:w="20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00" w:type="dxa"/>
            <w:vAlign w:val="bottom"/>
            <w:shd w:val="clear" w:color="auto" w:fill="D9D9D6"/>
          </w:tcPr>
          <w:p>
            <w:pPr>
              <w:spacing w:after="0"/>
              <w:rPr>
                <w:sz w:val="12"/>
                <w:szCs w:val="12"/>
                <w:color w:val="auto"/>
              </w:rPr>
            </w:pPr>
          </w:p>
        </w:tc>
        <w:tc>
          <w:tcPr>
            <w:tcW w:w="6820" w:type="dxa"/>
            <w:vAlign w:val="bottom"/>
            <w:shd w:val="clear" w:color="auto" w:fill="D9D9D6"/>
          </w:tcPr>
          <w:p>
            <w:pPr>
              <w:spacing w:after="0"/>
              <w:rPr>
                <w:sz w:val="12"/>
                <w:szCs w:val="12"/>
                <w:color w:val="auto"/>
              </w:rPr>
            </w:pPr>
          </w:p>
        </w:tc>
        <w:tc>
          <w:tcPr>
            <w:tcW w:w="64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00" w:type="dxa"/>
            <w:vAlign w:val="bottom"/>
            <w:gridSpan w:val="5"/>
            <w:vMerge w:val="restart"/>
            <w:shd w:val="clear" w:color="auto" w:fill="D9D9D6"/>
          </w:tcPr>
          <w:p>
            <w:pPr>
              <w:ind w:left="180"/>
              <w:spacing w:after="0"/>
              <w:rPr>
                <w:sz w:val="20"/>
                <w:szCs w:val="20"/>
                <w:color w:val="auto"/>
              </w:rPr>
            </w:pPr>
            <w:r>
              <w:rPr>
                <w:rFonts w:ascii="Arial" w:cs="Arial" w:eastAsia="Arial" w:hAnsi="Arial"/>
                <w:sz w:val="14"/>
                <w:szCs w:val="14"/>
                <w:color w:val="auto"/>
              </w:rPr>
              <w:t>3rd Quarter</w:t>
            </w:r>
          </w:p>
        </w:tc>
        <w:tc>
          <w:tcPr>
            <w:tcW w:w="540" w:type="dxa"/>
            <w:vAlign w:val="bottom"/>
            <w:shd w:val="clear" w:color="auto" w:fill="D9D9D6"/>
          </w:tcPr>
          <w:p>
            <w:pPr>
              <w:spacing w:after="0"/>
              <w:rPr>
                <w:sz w:val="12"/>
                <w:szCs w:val="12"/>
                <w:color w:val="auto"/>
              </w:rPr>
            </w:pPr>
          </w:p>
        </w:tc>
        <w:tc>
          <w:tcPr>
            <w:tcW w:w="360" w:type="dxa"/>
            <w:vAlign w:val="bottom"/>
            <w:shd w:val="clear" w:color="auto" w:fill="D9D9D6"/>
          </w:tcPr>
          <w:p>
            <w:pPr>
              <w:spacing w:after="0"/>
              <w:rPr>
                <w:sz w:val="12"/>
                <w:szCs w:val="12"/>
                <w:color w:val="auto"/>
              </w:rPr>
            </w:pPr>
          </w:p>
        </w:tc>
        <w:tc>
          <w:tcPr>
            <w:tcW w:w="14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60" w:type="dxa"/>
            <w:vAlign w:val="bottom"/>
            <w:tcBorders>
              <w:right w:val="single" w:sz="8" w:color="D9D9D6"/>
            </w:tcBorders>
            <w:gridSpan w:val="2"/>
            <w:vMerge w:val="continue"/>
            <w:shd w:val="clear" w:color="auto" w:fill="D9D9D6"/>
          </w:tcPr>
          <w:p>
            <w:pPr>
              <w:spacing w:after="0"/>
              <w:rPr>
                <w:sz w:val="12"/>
                <w:szCs w:val="12"/>
                <w:color w:val="auto"/>
              </w:rPr>
            </w:pPr>
          </w:p>
        </w:tc>
        <w:tc>
          <w:tcPr>
            <w:tcW w:w="20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0" w:type="dxa"/>
            <w:vAlign w:val="bottom"/>
            <w:shd w:val="clear" w:color="auto" w:fill="D9D9D6"/>
          </w:tcPr>
          <w:p>
            <w:pPr>
              <w:spacing w:after="0"/>
              <w:rPr>
                <w:sz w:val="6"/>
                <w:szCs w:val="6"/>
                <w:color w:val="auto"/>
              </w:rPr>
            </w:pPr>
          </w:p>
        </w:tc>
        <w:tc>
          <w:tcPr>
            <w:tcW w:w="6820" w:type="dxa"/>
            <w:vAlign w:val="bottom"/>
            <w:shd w:val="clear" w:color="auto" w:fill="D9D9D6"/>
          </w:tcPr>
          <w:p>
            <w:pPr>
              <w:spacing w:after="0"/>
              <w:rPr>
                <w:sz w:val="6"/>
                <w:szCs w:val="6"/>
                <w:color w:val="auto"/>
              </w:rPr>
            </w:pPr>
          </w:p>
        </w:tc>
        <w:tc>
          <w:tcPr>
            <w:tcW w:w="64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00" w:type="dxa"/>
            <w:vAlign w:val="bottom"/>
            <w:gridSpan w:val="5"/>
            <w:vMerge w:val="continue"/>
            <w:shd w:val="clear" w:color="auto" w:fill="D9D9D6"/>
          </w:tcPr>
          <w:p>
            <w:pPr>
              <w:spacing w:after="0"/>
              <w:rPr>
                <w:sz w:val="6"/>
                <w:szCs w:val="6"/>
                <w:color w:val="auto"/>
              </w:rPr>
            </w:pPr>
          </w:p>
        </w:tc>
        <w:tc>
          <w:tcPr>
            <w:tcW w:w="540" w:type="dxa"/>
            <w:vAlign w:val="bottom"/>
            <w:shd w:val="clear" w:color="auto" w:fill="D9D9D6"/>
          </w:tcPr>
          <w:p>
            <w:pPr>
              <w:spacing w:after="0"/>
              <w:rPr>
                <w:sz w:val="6"/>
                <w:szCs w:val="6"/>
                <w:color w:val="auto"/>
              </w:rPr>
            </w:pPr>
          </w:p>
        </w:tc>
        <w:tc>
          <w:tcPr>
            <w:tcW w:w="360" w:type="dxa"/>
            <w:vAlign w:val="bottom"/>
            <w:shd w:val="clear" w:color="auto" w:fill="D9D9D6"/>
          </w:tcPr>
          <w:p>
            <w:pPr>
              <w:spacing w:after="0"/>
              <w:rPr>
                <w:sz w:val="6"/>
                <w:szCs w:val="6"/>
                <w:color w:val="auto"/>
              </w:rPr>
            </w:pPr>
          </w:p>
        </w:tc>
        <w:tc>
          <w:tcPr>
            <w:tcW w:w="14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60" w:type="dxa"/>
            <w:vAlign w:val="bottom"/>
            <w:tcBorders>
              <w:right w:val="single" w:sz="8" w:color="D9D9D6"/>
            </w:tcBorders>
            <w:gridSpan w:val="2"/>
            <w:vMerge w:val="restart"/>
            <w:shd w:val="clear" w:color="auto" w:fill="D9D9D6"/>
          </w:tcPr>
          <w:p>
            <w:pPr>
              <w:jc w:val="right"/>
              <w:spacing w:after="0" w:line="145" w:lineRule="exact"/>
              <w:rPr>
                <w:sz w:val="20"/>
                <w:szCs w:val="20"/>
                <w:color w:val="auto"/>
              </w:rPr>
            </w:pPr>
            <w:r>
              <w:rPr>
                <w:rFonts w:ascii="Arial" w:cs="Arial" w:eastAsia="Arial" w:hAnsi="Arial"/>
                <w:sz w:val="14"/>
                <w:szCs w:val="14"/>
                <w:color w:val="auto"/>
              </w:rPr>
              <w:t>Currency</w:t>
            </w:r>
          </w:p>
        </w:tc>
        <w:tc>
          <w:tcPr>
            <w:tcW w:w="20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D9D9D6"/>
          </w:tcPr>
          <w:p>
            <w:pPr>
              <w:spacing w:after="0" w:line="20" w:lineRule="exact"/>
              <w:rPr>
                <w:sz w:val="1"/>
                <w:szCs w:val="1"/>
                <w:color w:val="auto"/>
              </w:rPr>
            </w:pPr>
          </w:p>
        </w:tc>
        <w:tc>
          <w:tcPr>
            <w:tcW w:w="682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060" w:type="dxa"/>
            <w:vAlign w:val="bottom"/>
            <w:tcBorders>
              <w:right w:val="single" w:sz="8" w:color="D9D9D6"/>
            </w:tcBorders>
            <w:gridSpan w:val="2"/>
            <w:vMerge w:val="continue"/>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00" w:type="dxa"/>
            <w:vAlign w:val="bottom"/>
            <w:shd w:val="clear" w:color="auto" w:fill="D9D9D6"/>
          </w:tcPr>
          <w:p>
            <w:pPr>
              <w:spacing w:after="0"/>
              <w:rPr>
                <w:sz w:val="4"/>
                <w:szCs w:val="4"/>
                <w:color w:val="auto"/>
              </w:rPr>
            </w:pPr>
          </w:p>
        </w:tc>
        <w:tc>
          <w:tcPr>
            <w:tcW w:w="6820" w:type="dxa"/>
            <w:vAlign w:val="bottom"/>
            <w:shd w:val="clear" w:color="auto" w:fill="D9D9D6"/>
          </w:tcPr>
          <w:p>
            <w:pPr>
              <w:spacing w:after="0"/>
              <w:rPr>
                <w:sz w:val="4"/>
                <w:szCs w:val="4"/>
                <w:color w:val="auto"/>
              </w:rPr>
            </w:pPr>
          </w:p>
        </w:tc>
        <w:tc>
          <w:tcPr>
            <w:tcW w:w="640" w:type="dxa"/>
            <w:vAlign w:val="bottom"/>
            <w:vMerge w:val="restart"/>
            <w:shd w:val="clear" w:color="auto" w:fill="D9D9D6"/>
          </w:tcPr>
          <w:p>
            <w:pPr>
              <w:spacing w:after="0"/>
              <w:rPr>
                <w:sz w:val="4"/>
                <w:szCs w:val="4"/>
                <w:color w:val="auto"/>
              </w:rPr>
            </w:pPr>
          </w:p>
        </w:tc>
        <w:tc>
          <w:tcPr>
            <w:tcW w:w="340" w:type="dxa"/>
            <w:vAlign w:val="bottom"/>
            <w:gridSpan w:val="2"/>
            <w:vMerge w:val="restart"/>
            <w:shd w:val="clear" w:color="auto" w:fill="D9D9D6"/>
          </w:tcPr>
          <w:p>
            <w:pPr>
              <w:jc w:val="right"/>
              <w:ind w:right="20"/>
              <w:spacing w:after="0"/>
              <w:rPr>
                <w:sz w:val="20"/>
                <w:szCs w:val="20"/>
                <w:color w:val="auto"/>
              </w:rPr>
            </w:pPr>
            <w:r>
              <w:rPr>
                <w:rFonts w:ascii="Arial" w:cs="Arial" w:eastAsia="Arial" w:hAnsi="Arial"/>
                <w:sz w:val="14"/>
                <w:szCs w:val="14"/>
                <w:color w:val="auto"/>
                <w:w w:val="96"/>
              </w:rPr>
              <w:t>2024</w:t>
            </w:r>
          </w:p>
        </w:tc>
        <w:tc>
          <w:tcPr>
            <w:tcW w:w="180" w:type="dxa"/>
            <w:vAlign w:val="bottom"/>
            <w:vMerge w:val="restart"/>
            <w:shd w:val="clear" w:color="auto" w:fill="D9D9D6"/>
          </w:tcPr>
          <w:p>
            <w:pPr>
              <w:spacing w:after="0"/>
              <w:rPr>
                <w:sz w:val="4"/>
                <w:szCs w:val="4"/>
                <w:color w:val="auto"/>
              </w:rPr>
            </w:pPr>
          </w:p>
        </w:tc>
        <w:tc>
          <w:tcPr>
            <w:tcW w:w="82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06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1060" w:type="dxa"/>
            <w:vAlign w:val="bottom"/>
            <w:tcBorders>
              <w:right w:val="single" w:sz="8" w:color="D9D9D6"/>
            </w:tcBorders>
            <w:gridSpan w:val="2"/>
            <w:vMerge w:val="continue"/>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D9D9D6"/>
          </w:tcPr>
          <w:p>
            <w:pPr>
              <w:spacing w:after="0"/>
              <w:rPr>
                <w:sz w:val="11"/>
                <w:szCs w:val="11"/>
                <w:color w:val="auto"/>
              </w:rPr>
            </w:pPr>
          </w:p>
        </w:tc>
        <w:tc>
          <w:tcPr>
            <w:tcW w:w="6820" w:type="dxa"/>
            <w:vAlign w:val="bottom"/>
            <w:shd w:val="clear" w:color="auto" w:fill="D9D9D6"/>
          </w:tcPr>
          <w:p>
            <w:pPr>
              <w:spacing w:after="0"/>
              <w:rPr>
                <w:sz w:val="11"/>
                <w:szCs w:val="11"/>
                <w:color w:val="auto"/>
              </w:rPr>
            </w:pPr>
          </w:p>
        </w:tc>
        <w:tc>
          <w:tcPr>
            <w:tcW w:w="640" w:type="dxa"/>
            <w:vAlign w:val="bottom"/>
            <w:vMerge w:val="continue"/>
            <w:shd w:val="clear" w:color="auto" w:fill="D9D9D6"/>
          </w:tcPr>
          <w:p>
            <w:pPr>
              <w:spacing w:after="0"/>
              <w:rPr>
                <w:sz w:val="11"/>
                <w:szCs w:val="11"/>
                <w:color w:val="auto"/>
              </w:rPr>
            </w:pPr>
          </w:p>
        </w:tc>
        <w:tc>
          <w:tcPr>
            <w:tcW w:w="340" w:type="dxa"/>
            <w:vAlign w:val="bottom"/>
            <w:gridSpan w:val="2"/>
            <w:vMerge w:val="continue"/>
            <w:shd w:val="clear" w:color="auto" w:fill="D9D9D6"/>
          </w:tcPr>
          <w:p>
            <w:pPr>
              <w:spacing w:after="0"/>
              <w:rPr>
                <w:sz w:val="11"/>
                <w:szCs w:val="11"/>
                <w:color w:val="auto"/>
              </w:rPr>
            </w:pPr>
          </w:p>
        </w:tc>
        <w:tc>
          <w:tcPr>
            <w:tcW w:w="180" w:type="dxa"/>
            <w:vAlign w:val="bottom"/>
            <w:vMerge w:val="continue"/>
            <w:shd w:val="clear" w:color="auto" w:fill="D9D9D6"/>
          </w:tcPr>
          <w:p>
            <w:pPr>
              <w:spacing w:after="0"/>
              <w:rPr>
                <w:sz w:val="11"/>
                <w:szCs w:val="11"/>
                <w:color w:val="auto"/>
              </w:rPr>
            </w:pPr>
          </w:p>
        </w:tc>
        <w:tc>
          <w:tcPr>
            <w:tcW w:w="820" w:type="dxa"/>
            <w:vAlign w:val="bottom"/>
            <w:gridSpan w:val="4"/>
            <w:vMerge w:val="continue"/>
            <w:shd w:val="clear" w:color="auto" w:fill="D9D9D6"/>
          </w:tcPr>
          <w:p>
            <w:pPr>
              <w:spacing w:after="0"/>
              <w:rPr>
                <w:sz w:val="11"/>
                <w:szCs w:val="11"/>
                <w:color w:val="auto"/>
              </w:rPr>
            </w:pPr>
          </w:p>
        </w:tc>
        <w:tc>
          <w:tcPr>
            <w:tcW w:w="1060" w:type="dxa"/>
            <w:vAlign w:val="bottom"/>
            <w:gridSpan w:val="4"/>
            <w:vMerge w:val="continue"/>
            <w:shd w:val="clear" w:color="auto" w:fill="D9D9D6"/>
          </w:tcPr>
          <w:p>
            <w:pPr>
              <w:spacing w:after="0"/>
              <w:rPr>
                <w:sz w:val="11"/>
                <w:szCs w:val="11"/>
                <w:color w:val="auto"/>
              </w:rPr>
            </w:pPr>
          </w:p>
        </w:tc>
        <w:tc>
          <w:tcPr>
            <w:tcW w:w="1060" w:type="dxa"/>
            <w:vAlign w:val="bottom"/>
            <w:tcBorders>
              <w:right w:val="single" w:sz="8" w:color="D9D9D6"/>
            </w:tcBorders>
            <w:gridSpan w:val="2"/>
            <w:shd w:val="clear" w:color="auto" w:fill="D9D9D6"/>
          </w:tcPr>
          <w:p>
            <w:pPr>
              <w:jc w:val="right"/>
              <w:spacing w:after="0" w:line="115" w:lineRule="exact"/>
              <w:rPr>
                <w:sz w:val="20"/>
                <w:szCs w:val="20"/>
                <w:color w:val="auto"/>
              </w:rPr>
            </w:pPr>
            <w:r>
              <w:rPr>
                <w:rFonts w:ascii="Arial" w:cs="Arial" w:eastAsia="Arial" w:hAnsi="Arial"/>
                <w:sz w:val="13"/>
                <w:szCs w:val="13"/>
                <w:color w:val="auto"/>
              </w:rPr>
              <w:t>Change</w:t>
            </w:r>
            <w:r>
              <w:rPr>
                <w:rFonts w:ascii="Arial" w:cs="Arial" w:eastAsia="Arial" w:hAnsi="Arial"/>
                <w:sz w:val="8"/>
                <w:szCs w:val="8"/>
                <w:color w:val="auto"/>
              </w:rPr>
              <w:t>5</w:t>
            </w:r>
          </w:p>
        </w:tc>
        <w:tc>
          <w:tcPr>
            <w:tcW w:w="200" w:type="dxa"/>
            <w:vAlign w:val="bottom"/>
            <w:shd w:val="clear" w:color="auto" w:fill="D9D9D6"/>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D9D9D6"/>
            </w:tcBorders>
            <w:shd w:val="clear" w:color="auto" w:fill="D9D9D6"/>
          </w:tcPr>
          <w:p>
            <w:pPr>
              <w:spacing w:after="0" w:line="20" w:lineRule="exact"/>
              <w:rPr>
                <w:sz w:val="1"/>
                <w:szCs w:val="1"/>
                <w:color w:val="auto"/>
              </w:rPr>
            </w:pPr>
          </w:p>
        </w:tc>
        <w:tc>
          <w:tcPr>
            <w:tcW w:w="6820" w:type="dxa"/>
            <w:vAlign w:val="bottom"/>
            <w:tcBorders>
              <w:top w:val="single" w:sz="8" w:color="D9D9D6"/>
            </w:tcBorders>
            <w:shd w:val="clear" w:color="auto" w:fill="D9D9D6"/>
          </w:tcPr>
          <w:p>
            <w:pPr>
              <w:spacing w:after="0" w:line="20" w:lineRule="exact"/>
              <w:rPr>
                <w:sz w:val="1"/>
                <w:szCs w:val="1"/>
                <w:color w:val="auto"/>
              </w:rPr>
            </w:pPr>
          </w:p>
        </w:tc>
        <w:tc>
          <w:tcPr>
            <w:tcW w:w="64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480" w:type="dxa"/>
            <w:vAlign w:val="bottom"/>
            <w:tcBorders>
              <w:top w:val="single" w:sz="8" w:color="D9D9D6"/>
            </w:tcBorders>
            <w:shd w:val="clear" w:color="auto" w:fill="D9D9D6"/>
          </w:tcPr>
          <w:p>
            <w:pPr>
              <w:spacing w:after="0" w:line="20" w:lineRule="exact"/>
              <w:rPr>
                <w:sz w:val="1"/>
                <w:szCs w:val="1"/>
                <w:color w:val="auto"/>
              </w:rPr>
            </w:pPr>
          </w:p>
        </w:tc>
        <w:tc>
          <w:tcPr>
            <w:tcW w:w="240" w:type="dxa"/>
            <w:vAlign w:val="bottom"/>
            <w:tcBorders>
              <w:top w:val="single" w:sz="8" w:color="auto"/>
            </w:tcBorders>
            <w:shd w:val="clear" w:color="auto" w:fill="D9D9D6"/>
          </w:tcPr>
          <w:p>
            <w:pPr>
              <w:spacing w:after="0" w:line="20" w:lineRule="exact"/>
              <w:rPr>
                <w:sz w:val="1"/>
                <w:szCs w:val="1"/>
                <w:color w:val="auto"/>
              </w:rPr>
            </w:pPr>
          </w:p>
        </w:tc>
        <w:tc>
          <w:tcPr>
            <w:tcW w:w="8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360" w:type="dxa"/>
            <w:vAlign w:val="bottom"/>
            <w:tcBorders>
              <w:top w:val="single" w:sz="8" w:color="auto"/>
            </w:tcBorders>
            <w:shd w:val="clear" w:color="auto" w:fill="D9D9D6"/>
          </w:tcPr>
          <w:p>
            <w:pPr>
              <w:spacing w:after="0" w:line="20" w:lineRule="exact"/>
              <w:rPr>
                <w:sz w:val="1"/>
                <w:szCs w:val="1"/>
                <w:color w:val="auto"/>
              </w:rPr>
            </w:pPr>
          </w:p>
        </w:tc>
        <w:tc>
          <w:tcPr>
            <w:tcW w:w="14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100" w:type="dxa"/>
            <w:vAlign w:val="bottom"/>
            <w:shd w:val="clear" w:color="auto" w:fill="D9D9D6"/>
          </w:tcPr>
          <w:p>
            <w:pPr>
              <w:spacing w:after="0"/>
              <w:rPr>
                <w:sz w:val="24"/>
                <w:szCs w:val="24"/>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$2,425</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$2,320</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4.5</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10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4.5 %</w:t>
            </w:r>
          </w:p>
        </w:tc>
        <w:tc>
          <w:tcPr>
            <w:tcW w:w="2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68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1,034</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985</w:t>
            </w:r>
          </w:p>
        </w:tc>
        <w:tc>
          <w:tcPr>
            <w:tcW w:w="90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4.9</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4.8 %</w:t>
            </w:r>
          </w:p>
        </w:tc>
        <w:tc>
          <w:tcPr>
            <w:tcW w:w="20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$1,391</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$1,335</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4.2</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0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4.3 %</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57.4 %</w:t>
            </w:r>
          </w:p>
        </w:tc>
        <w:tc>
          <w:tcPr>
            <w:tcW w:w="20" w:type="dxa"/>
            <w:vAlign w:val="bottom"/>
            <w:shd w:val="clear" w:color="auto" w:fill="D9D9D6"/>
          </w:tcPr>
          <w:p>
            <w:pPr>
              <w:spacing w:after="0"/>
              <w:rPr>
                <w:sz w:val="17"/>
                <w:szCs w:val="17"/>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57.5 %</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(10) bps</w:t>
            </w:r>
          </w:p>
        </w:tc>
        <w:tc>
          <w:tcPr>
            <w:tcW w:w="500" w:type="dxa"/>
            <w:vAlign w:val="bottom"/>
            <w:shd w:val="clear" w:color="auto" w:fill="D9D9D6"/>
          </w:tcPr>
          <w:p>
            <w:pPr>
              <w:spacing w:after="0"/>
              <w:rPr>
                <w:sz w:val="17"/>
                <w:szCs w:val="17"/>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(10) bps</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820" w:type="dxa"/>
            <w:vAlign w:val="bottom"/>
            <w:shd w:val="clear" w:color="auto" w:fill="D9D9D6"/>
          </w:tcPr>
          <w:p>
            <w:pPr>
              <w:spacing w:after="0"/>
              <w:rPr>
                <w:sz w:val="5"/>
                <w:szCs w:val="5"/>
                <w:color w:val="auto"/>
              </w:rPr>
            </w:pPr>
          </w:p>
        </w:tc>
        <w:tc>
          <w:tcPr>
            <w:tcW w:w="6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480" w:type="dxa"/>
            <w:vAlign w:val="bottom"/>
            <w:shd w:val="clear" w:color="auto" w:fill="D9D9D6"/>
          </w:tcPr>
          <w:p>
            <w:pPr>
              <w:spacing w:after="0"/>
              <w:rPr>
                <w:sz w:val="5"/>
                <w:szCs w:val="5"/>
                <w:color w:val="auto"/>
              </w:rPr>
            </w:pPr>
          </w:p>
        </w:tc>
        <w:tc>
          <w:tcPr>
            <w:tcW w:w="24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560" w:type="dxa"/>
            <w:vAlign w:val="bottom"/>
            <w:tcBorders>
              <w:right w:val="single" w:sz="8" w:color="D9D9D6"/>
            </w:tcBorders>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Business Services Connectivity increased due to an increase in revenue from medium-sized and enterprise customers, and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revenue from small business customers driven by higher average rates.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Business Services Connectivity increased due to higher revenue, partially offset by higher operating expenses. The</w:t>
      </w:r>
    </w:p>
    <w:p>
      <w:pPr>
        <w:spacing w:after="0" w:line="1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 xml:space="preserve">increase in operating expenses was primarily due to increases in direct product costs and marketing and promotion expenses. </w:t>
      </w:r>
      <w:r>
        <w:rPr>
          <w:rFonts w:ascii="Arial" w:cs="Arial" w:eastAsia="Arial" w:hAnsi="Arial"/>
          <w:sz w:val="18"/>
          <w:szCs w:val="18"/>
          <w:b w:val="1"/>
          <w:bCs w:val="1"/>
          <w:i w:val="1"/>
          <w:iCs w:val="1"/>
          <w:color w:val="auto"/>
        </w:rPr>
        <w:t>Adjusted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EBITDA margin </w:t>
      </w:r>
      <w:r>
        <w:rPr>
          <w:rFonts w:ascii="Arial" w:cs="Arial" w:eastAsia="Arial" w:hAnsi="Arial"/>
          <w:sz w:val="18"/>
          <w:szCs w:val="18"/>
          <w:color w:val="auto"/>
        </w:rPr>
        <w:t>decreased to 57.4%.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56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Content &amp;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shd w:val="clear" w:color="auto" w:fill="D9D9D6"/>
          </w:tcPr>
          <w:p>
            <w:pPr>
              <w:spacing w:after="0"/>
              <w:rPr>
                <w:sz w:val="15"/>
                <w:szCs w:val="15"/>
                <w:color w:val="auto"/>
              </w:rPr>
            </w:pPr>
          </w:p>
        </w:tc>
        <w:tc>
          <w:tcPr>
            <w:tcW w:w="8040" w:type="dxa"/>
            <w:vAlign w:val="bottom"/>
            <w:shd w:val="clear" w:color="auto" w:fill="D9D9D6"/>
          </w:tcPr>
          <w:p>
            <w:pPr>
              <w:spacing w:after="0"/>
              <w:rPr>
                <w:sz w:val="15"/>
                <w:szCs w:val="15"/>
                <w:color w:val="auto"/>
              </w:rPr>
            </w:pPr>
          </w:p>
        </w:tc>
        <w:tc>
          <w:tcPr>
            <w:tcW w:w="64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w w:val="97"/>
              </w:rPr>
              <w:t>3rd Quarter</w:t>
            </w:r>
          </w:p>
        </w:tc>
        <w:tc>
          <w:tcPr>
            <w:tcW w:w="56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04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040" w:type="dxa"/>
            <w:vAlign w:val="bottom"/>
            <w:shd w:val="clear" w:color="auto" w:fill="D9D9D6"/>
          </w:tcPr>
          <w:p>
            <w:pPr>
              <w:spacing w:after="0"/>
              <w:rPr>
                <w:sz w:val="15"/>
                <w:szCs w:val="15"/>
                <w:color w:val="auto"/>
              </w:rPr>
            </w:pP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4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200" w:type="dxa"/>
            <w:vAlign w:val="bottom"/>
            <w:gridSpan w:val="5"/>
            <w:shd w:val="clear" w:color="auto" w:fill="D9D9D6"/>
          </w:tcPr>
          <w:p>
            <w:pPr>
              <w:ind w:left="56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0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Revenue</w:t>
            </w:r>
          </w:p>
        </w:tc>
        <w:tc>
          <w:tcPr>
            <w:tcW w:w="6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4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$8,231</w:t>
            </w:r>
          </w:p>
        </w:tc>
        <w:tc>
          <w:tcPr>
            <w:tcW w:w="9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$6,029</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36.5</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10"/>
        </w:trPr>
        <w:tc>
          <w:tcPr>
            <w:tcW w:w="120" w:type="dxa"/>
            <w:vAlign w:val="bottom"/>
            <w:shd w:val="clear" w:color="auto" w:fill="D9D9D6"/>
          </w:tcPr>
          <w:p>
            <w:pPr>
              <w:spacing w:after="0"/>
              <w:rPr>
                <w:sz w:val="18"/>
                <w:szCs w:val="18"/>
                <w:color w:val="auto"/>
              </w:rPr>
            </w:pPr>
          </w:p>
        </w:tc>
        <w:tc>
          <w:tcPr>
            <w:tcW w:w="8040" w:type="dxa"/>
            <w:vAlign w:val="bottom"/>
            <w:shd w:val="clear" w:color="auto" w:fill="D9D9D6"/>
          </w:tcPr>
          <w:p>
            <w:pPr>
              <w:ind w:left="100"/>
              <w:spacing w:after="0"/>
              <w:rPr>
                <w:sz w:val="20"/>
                <w:szCs w:val="20"/>
                <w:color w:val="auto"/>
              </w:rPr>
            </w:pPr>
            <w:r>
              <w:rPr>
                <w:rFonts w:ascii="Arial" w:cs="Arial" w:eastAsia="Arial" w:hAnsi="Arial"/>
                <w:sz w:val="14"/>
                <w:szCs w:val="14"/>
                <w:i w:val="1"/>
                <w:iCs w:val="1"/>
                <w:color w:val="auto"/>
              </w:rPr>
              <w:t>Excluding Olympics</w:t>
            </w:r>
            <w:r>
              <w:rPr>
                <w:rFonts w:ascii="Arial" w:cs="Arial" w:eastAsia="Arial" w:hAnsi="Arial"/>
                <w:sz w:val="18"/>
                <w:szCs w:val="18"/>
                <w:i w:val="1"/>
                <w:iCs w:val="1"/>
                <w:color w:val="auto"/>
                <w:vertAlign w:val="superscript"/>
              </w:rPr>
              <w:t>7</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6,325</w:t>
            </w:r>
          </w:p>
        </w:tc>
        <w:tc>
          <w:tcPr>
            <w:tcW w:w="20" w:type="dxa"/>
            <w:vAlign w:val="bottom"/>
            <w:shd w:val="clear" w:color="auto" w:fill="D9D9D6"/>
          </w:tcPr>
          <w:p>
            <w:pPr>
              <w:spacing w:after="0"/>
              <w:rPr>
                <w:sz w:val="18"/>
                <w:szCs w:val="18"/>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6,029</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4.9</w:t>
            </w:r>
          </w:p>
        </w:tc>
        <w:tc>
          <w:tcPr>
            <w:tcW w:w="180" w:type="dxa"/>
            <w:vAlign w:val="bottom"/>
            <w:shd w:val="clear" w:color="auto" w:fill="D9D9D6"/>
          </w:tcPr>
          <w:p>
            <w:pPr>
              <w:spacing w:after="0"/>
              <w:rPr>
                <w:sz w:val="20"/>
                <w:szCs w:val="20"/>
                <w:color w:val="auto"/>
              </w:rPr>
            </w:pPr>
            <w:r>
              <w:rPr>
                <w:rFonts w:ascii="Arial" w:cs="Arial" w:eastAsia="Arial" w:hAnsi="Arial"/>
                <w:sz w:val="14"/>
                <w:szCs w:val="14"/>
                <w:i w:val="1"/>
                <w:iCs w:val="1"/>
                <w:color w:val="auto"/>
              </w:rPr>
              <w:t>%</w:t>
            </w:r>
          </w:p>
        </w:tc>
        <w:tc>
          <w:tcPr>
            <w:tcW w:w="20" w:type="dxa"/>
            <w:vAlign w:val="bottom"/>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r>
      <w:tr>
        <w:trPr>
          <w:trHeight w:val="195"/>
        </w:trPr>
        <w:tc>
          <w:tcPr>
            <w:tcW w:w="120" w:type="dxa"/>
            <w:vAlign w:val="bottom"/>
            <w:shd w:val="clear" w:color="auto" w:fill="D9D9D6"/>
          </w:tcPr>
          <w:p>
            <w:pPr>
              <w:spacing w:after="0"/>
              <w:rPr>
                <w:sz w:val="16"/>
                <w:szCs w:val="16"/>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2,826</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2,518</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12.3</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2"/>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2,289</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2,418</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(5.3</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11</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13</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(16.8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(758)</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(419)</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(80.7</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Revenue</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$12,599</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$10,559</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19.3</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Adjusted EBITDA</w:t>
            </w:r>
          </w:p>
        </w:tc>
        <w:tc>
          <w:tcPr>
            <w:tcW w:w="6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420" w:type="dxa"/>
            <w:vAlign w:val="bottom"/>
            <w:shd w:val="clear" w:color="auto" w:fill="D9D9D6"/>
          </w:tcPr>
          <w:p>
            <w:pPr>
              <w:spacing w:after="0"/>
              <w:rPr>
                <w:sz w:val="24"/>
                <w:szCs w:val="24"/>
                <w:color w:val="auto"/>
              </w:rPr>
            </w:pPr>
          </w:p>
        </w:tc>
        <w:tc>
          <w:tcPr>
            <w:tcW w:w="340" w:type="dxa"/>
            <w:vAlign w:val="bottom"/>
            <w:tcBorders>
              <w:right w:val="single" w:sz="8" w:color="D9D9D6"/>
            </w:tcBorders>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$650</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$723</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(10.1 %)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468</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429</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847</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983</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(13.8 %)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(200)</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(178)</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(12.6 %)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38</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17</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125.6</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Adjusted EBITDA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$1,802</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$1,973</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(8.7</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highlight w:val="lightGray"/>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Content &amp; Experiences increased compared to the prior year period, including $1.9 billion of incremental revenue from the Paris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Olympics included in the Media segment.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for Content &amp; Experiences decreased due to declines in Theme Parks and Media, partially offset by growth at Studios.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400" w:type="dxa"/>
            <w:vAlign w:val="bottom"/>
            <w:shd w:val="clear" w:color="auto" w:fill="D9D9D6"/>
          </w:tcPr>
          <w:p>
            <w:pPr>
              <w:spacing w:after="0"/>
              <w:rPr>
                <w:sz w:val="17"/>
                <w:szCs w:val="17"/>
                <w:color w:val="auto"/>
              </w:rPr>
            </w:pPr>
          </w:p>
        </w:tc>
        <w:tc>
          <w:tcPr>
            <w:tcW w:w="360" w:type="dxa"/>
            <w:vAlign w:val="bottom"/>
            <w:tcBorders>
              <w:right w:val="single" w:sz="8" w:color="D9D9D6"/>
            </w:tcBorders>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4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40" w:type="dxa"/>
            <w:vAlign w:val="bottom"/>
            <w:tcBorders>
              <w:bottom w:val="single" w:sz="8" w:color="D9D9D6"/>
              <w:right w:val="single" w:sz="8" w:color="D9D9D6"/>
            </w:tcBorders>
            <w:shd w:val="clear" w:color="auto" w:fill="D9D9D6"/>
          </w:tcPr>
          <w:p>
            <w:pPr>
              <w:spacing w:after="0"/>
              <w:rPr>
                <w:sz w:val="15"/>
                <w:szCs w:val="15"/>
                <w:color w:val="auto"/>
              </w:rPr>
            </w:pPr>
          </w:p>
        </w:tc>
        <w:tc>
          <w:tcPr>
            <w:tcW w:w="160" w:type="dxa"/>
            <w:vAlign w:val="bottom"/>
            <w:tcBorders>
              <w:bottom w:val="single" w:sz="8" w:color="D9D9D6"/>
            </w:tcBorders>
            <w:shd w:val="clear" w:color="auto" w:fill="D9D9D6"/>
          </w:tcPr>
          <w:p>
            <w:pPr>
              <w:spacing w:after="0"/>
              <w:rPr>
                <w:sz w:val="15"/>
                <w:szCs w:val="15"/>
                <w:color w:val="auto"/>
              </w:rPr>
            </w:pPr>
          </w:p>
        </w:tc>
        <w:tc>
          <w:tcPr>
            <w:tcW w:w="760" w:type="dxa"/>
            <w:vAlign w:val="bottom"/>
            <w:tcBorders>
              <w:bottom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3rd Quarter</w:t>
            </w:r>
          </w:p>
        </w:tc>
        <w:tc>
          <w:tcPr>
            <w:tcW w:w="300" w:type="dxa"/>
            <w:vAlign w:val="bottom"/>
            <w:tcBorders>
              <w:bottom w:val="single" w:sz="8" w:color="D9D9D6"/>
            </w:tcBorders>
            <w:shd w:val="clear" w:color="auto" w:fill="D9D9D6"/>
          </w:tcPr>
          <w:p>
            <w:pPr>
              <w:spacing w:after="0"/>
              <w:rPr>
                <w:sz w:val="15"/>
                <w:szCs w:val="15"/>
                <w:color w:val="auto"/>
              </w:rPr>
            </w:pPr>
          </w:p>
        </w:tc>
        <w:tc>
          <w:tcPr>
            <w:tcW w:w="22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4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92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2023</w:t>
            </w:r>
          </w:p>
        </w:tc>
        <w:tc>
          <w:tcPr>
            <w:tcW w:w="300" w:type="dxa"/>
            <w:vAlign w:val="bottom"/>
            <w:shd w:val="clear" w:color="auto" w:fill="D9D9D6"/>
          </w:tcPr>
          <w:p>
            <w:pPr>
              <w:spacing w:after="0"/>
              <w:rPr>
                <w:sz w:val="15"/>
                <w:szCs w:val="15"/>
                <w:color w:val="auto"/>
              </w:rPr>
            </w:pPr>
          </w:p>
        </w:tc>
        <w:tc>
          <w:tcPr>
            <w:tcW w:w="860" w:type="dxa"/>
            <w:vAlign w:val="bottom"/>
            <w:gridSpan w:val="5"/>
            <w:shd w:val="clear" w:color="auto" w:fill="D9D9D6"/>
          </w:tcPr>
          <w:p>
            <w:pPr>
              <w:ind w:left="220"/>
              <w:spacing w:after="0"/>
              <w:rPr>
                <w:sz w:val="20"/>
                <w:szCs w:val="20"/>
                <w:color w:val="auto"/>
              </w:rPr>
            </w:pPr>
            <w:r>
              <w:rPr>
                <w:rFonts w:ascii="Arial" w:cs="Arial" w:eastAsia="Arial" w:hAnsi="Arial"/>
                <w:sz w:val="14"/>
                <w:szCs w:val="14"/>
                <w:color w:val="auto"/>
              </w:rPr>
              <w:t>Change</w:t>
            </w: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81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right w:val="single" w:sz="8" w:color="D9D9D6"/>
            </w:tcBorders>
            <w:shd w:val="clear" w:color="auto" w:fill="D9D9D6"/>
          </w:tcPr>
          <w:p>
            <w:pPr>
              <w:spacing w:after="0"/>
              <w:rPr>
                <w:sz w:val="19"/>
                <w:szCs w:val="19"/>
                <w:color w:val="auto"/>
              </w:rPr>
            </w:pPr>
          </w:p>
        </w:tc>
        <w:tc>
          <w:tcPr>
            <w:tcW w:w="30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4"/>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Advertising</w:t>
            </w: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$3,347</w:t>
            </w:r>
          </w:p>
        </w:tc>
        <w:tc>
          <w:tcPr>
            <w:tcW w:w="920" w:type="dxa"/>
            <w:vAlign w:val="bottom"/>
            <w:tcBorders>
              <w:right w:val="single" w:sz="8" w:color="D9D9D6"/>
            </w:tcBorders>
            <w:gridSpan w:val="3"/>
            <w:shd w:val="clear" w:color="auto" w:fill="DBDBDB"/>
          </w:tcPr>
          <w:p>
            <w:pPr>
              <w:jc w:val="right"/>
              <w:ind w:right="40"/>
              <w:spacing w:after="0"/>
              <w:rPr>
                <w:sz w:val="20"/>
                <w:szCs w:val="20"/>
                <w:color w:val="auto"/>
              </w:rPr>
            </w:pPr>
            <w:r>
              <w:rPr>
                <w:rFonts w:ascii="Arial" w:cs="Arial" w:eastAsia="Arial" w:hAnsi="Arial"/>
                <w:sz w:val="14"/>
                <w:szCs w:val="14"/>
                <w:color w:val="auto"/>
              </w:rPr>
              <w:t>$1,913</w:t>
            </w:r>
          </w:p>
        </w:tc>
        <w:tc>
          <w:tcPr>
            <w:tcW w:w="300" w:type="dxa"/>
            <w:vAlign w:val="bottom"/>
            <w:shd w:val="clear" w:color="auto" w:fill="D9D9D6"/>
          </w:tcPr>
          <w:p>
            <w:pPr>
              <w:spacing w:after="0"/>
              <w:rPr>
                <w:sz w:val="16"/>
                <w:szCs w:val="16"/>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74.9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11"/>
        </w:trPr>
        <w:tc>
          <w:tcPr>
            <w:tcW w:w="120" w:type="dxa"/>
            <w:vAlign w:val="bottom"/>
            <w:shd w:val="clear" w:color="auto" w:fill="D9D9D6"/>
          </w:tcPr>
          <w:p>
            <w:pPr>
              <w:spacing w:after="0"/>
              <w:rPr>
                <w:sz w:val="18"/>
                <w:szCs w:val="18"/>
                <w:color w:val="auto"/>
              </w:rPr>
            </w:pPr>
          </w:p>
        </w:tc>
        <w:tc>
          <w:tcPr>
            <w:tcW w:w="8140" w:type="dxa"/>
            <w:vAlign w:val="bottom"/>
            <w:shd w:val="clear" w:color="auto" w:fill="D9D9D6"/>
          </w:tcPr>
          <w:p>
            <w:pPr>
              <w:ind w:left="220"/>
              <w:spacing w:after="0"/>
              <w:rPr>
                <w:sz w:val="20"/>
                <w:szCs w:val="20"/>
                <w:color w:val="auto"/>
              </w:rPr>
            </w:pPr>
            <w:r>
              <w:rPr>
                <w:rFonts w:ascii="Arial" w:cs="Arial" w:eastAsia="Arial" w:hAnsi="Arial"/>
                <w:sz w:val="14"/>
                <w:szCs w:val="14"/>
                <w:i w:val="1"/>
                <w:iCs w:val="1"/>
                <w:color w:val="auto"/>
              </w:rPr>
              <w:t>Excluding Olympics</w:t>
            </w:r>
            <w:r>
              <w:rPr>
                <w:rFonts w:ascii="Arial" w:cs="Arial" w:eastAsia="Arial" w:hAnsi="Arial"/>
                <w:sz w:val="18"/>
                <w:szCs w:val="18"/>
                <w:i w:val="1"/>
                <w:iCs w:val="1"/>
                <w:color w:val="auto"/>
                <w:vertAlign w:val="superscript"/>
              </w:rPr>
              <w:t>7</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1,915</w:t>
            </w:r>
          </w:p>
        </w:tc>
        <w:tc>
          <w:tcPr>
            <w:tcW w:w="920" w:type="dxa"/>
            <w:vAlign w:val="bottom"/>
            <w:tcBorders>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i w:val="1"/>
                <w:iCs w:val="1"/>
                <w:color w:val="auto"/>
              </w:rPr>
              <w:t>1,913</w:t>
            </w:r>
          </w:p>
        </w:tc>
        <w:tc>
          <w:tcPr>
            <w:tcW w:w="300" w:type="dxa"/>
            <w:vAlign w:val="bottom"/>
            <w:shd w:val="clear" w:color="auto" w:fill="D9D9D6"/>
          </w:tcPr>
          <w:p>
            <w:pPr>
              <w:spacing w:after="0"/>
              <w:rPr>
                <w:sz w:val="18"/>
                <w:szCs w:val="18"/>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0.1</w:t>
            </w:r>
          </w:p>
        </w:tc>
        <w:tc>
          <w:tcPr>
            <w:tcW w:w="180" w:type="dxa"/>
            <w:vAlign w:val="bottom"/>
            <w:shd w:val="clear" w:color="auto" w:fill="D9D9D6"/>
          </w:tcPr>
          <w:p>
            <w:pPr>
              <w:spacing w:after="0"/>
              <w:rPr>
                <w:sz w:val="20"/>
                <w:szCs w:val="20"/>
                <w:color w:val="auto"/>
              </w:rPr>
            </w:pPr>
            <w:r>
              <w:rPr>
                <w:rFonts w:ascii="Arial" w:cs="Arial" w:eastAsia="Arial" w:hAnsi="Arial"/>
                <w:sz w:val="14"/>
                <w:szCs w:val="14"/>
                <w:i w:val="1"/>
                <w:iCs w:val="1"/>
                <w:color w:val="auto"/>
              </w:rPr>
              <w:t>%</w:t>
            </w:r>
          </w:p>
        </w:tc>
        <w:tc>
          <w:tcPr>
            <w:tcW w:w="20" w:type="dxa"/>
            <w:vAlign w:val="bottom"/>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r>
      <w:tr>
        <w:trPr>
          <w:trHeight w:val="194"/>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Distribution</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3,272</w:t>
            </w:r>
          </w:p>
        </w:tc>
        <w:tc>
          <w:tcPr>
            <w:tcW w:w="920" w:type="dxa"/>
            <w:vAlign w:val="bottom"/>
            <w:tcBorders>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2,591</w:t>
            </w:r>
          </w:p>
        </w:tc>
        <w:tc>
          <w:tcPr>
            <w:tcW w:w="300" w:type="dxa"/>
            <w:vAlign w:val="bottom"/>
            <w:shd w:val="clear" w:color="auto" w:fill="D9D9D6"/>
          </w:tcPr>
          <w:p>
            <w:pPr>
              <w:spacing w:after="0"/>
              <w:rPr>
                <w:sz w:val="16"/>
                <w:szCs w:val="16"/>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26.3</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15"/>
        </w:trPr>
        <w:tc>
          <w:tcPr>
            <w:tcW w:w="120" w:type="dxa"/>
            <w:vAlign w:val="bottom"/>
            <w:shd w:val="clear" w:color="auto" w:fill="D9D9D6"/>
          </w:tcPr>
          <w:p>
            <w:pPr>
              <w:spacing w:after="0"/>
              <w:rPr>
                <w:sz w:val="18"/>
                <w:szCs w:val="18"/>
                <w:color w:val="auto"/>
              </w:rPr>
            </w:pPr>
          </w:p>
        </w:tc>
        <w:tc>
          <w:tcPr>
            <w:tcW w:w="8140" w:type="dxa"/>
            <w:vAlign w:val="bottom"/>
            <w:shd w:val="clear" w:color="auto" w:fill="D9D9D6"/>
          </w:tcPr>
          <w:p>
            <w:pPr>
              <w:ind w:left="220"/>
              <w:spacing w:after="0"/>
              <w:rPr>
                <w:sz w:val="20"/>
                <w:szCs w:val="20"/>
                <w:color w:val="auto"/>
              </w:rPr>
            </w:pPr>
            <w:r>
              <w:rPr>
                <w:rFonts w:ascii="Arial" w:cs="Arial" w:eastAsia="Arial" w:hAnsi="Arial"/>
                <w:sz w:val="14"/>
                <w:szCs w:val="14"/>
                <w:i w:val="1"/>
                <w:iCs w:val="1"/>
                <w:color w:val="auto"/>
              </w:rPr>
              <w:t>Excluding Olympics</w:t>
            </w:r>
            <w:r>
              <w:rPr>
                <w:rFonts w:ascii="Arial" w:cs="Arial" w:eastAsia="Arial" w:hAnsi="Arial"/>
                <w:sz w:val="18"/>
                <w:szCs w:val="18"/>
                <w:i w:val="1"/>
                <w:iCs w:val="1"/>
                <w:color w:val="auto"/>
                <w:vertAlign w:val="superscript"/>
              </w:rPr>
              <w:t>7</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2,798</w:t>
            </w:r>
          </w:p>
        </w:tc>
        <w:tc>
          <w:tcPr>
            <w:tcW w:w="920" w:type="dxa"/>
            <w:vAlign w:val="bottom"/>
            <w:tcBorders>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i w:val="1"/>
                <w:iCs w:val="1"/>
                <w:color w:val="auto"/>
              </w:rPr>
              <w:t>2,591</w:t>
            </w:r>
          </w:p>
        </w:tc>
        <w:tc>
          <w:tcPr>
            <w:tcW w:w="300" w:type="dxa"/>
            <w:vAlign w:val="bottom"/>
            <w:shd w:val="clear" w:color="auto" w:fill="D9D9D6"/>
          </w:tcPr>
          <w:p>
            <w:pPr>
              <w:spacing w:after="0"/>
              <w:rPr>
                <w:sz w:val="18"/>
                <w:szCs w:val="18"/>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8.0</w:t>
            </w:r>
          </w:p>
        </w:tc>
        <w:tc>
          <w:tcPr>
            <w:tcW w:w="180" w:type="dxa"/>
            <w:vAlign w:val="bottom"/>
            <w:shd w:val="clear" w:color="auto" w:fill="D9D9D6"/>
          </w:tcPr>
          <w:p>
            <w:pPr>
              <w:spacing w:after="0"/>
              <w:rPr>
                <w:sz w:val="20"/>
                <w:szCs w:val="20"/>
                <w:color w:val="auto"/>
              </w:rPr>
            </w:pPr>
            <w:r>
              <w:rPr>
                <w:rFonts w:ascii="Arial" w:cs="Arial" w:eastAsia="Arial" w:hAnsi="Arial"/>
                <w:sz w:val="14"/>
                <w:szCs w:val="14"/>
                <w:i w:val="1"/>
                <w:iCs w:val="1"/>
                <w:color w:val="auto"/>
              </w:rPr>
              <w:t>%</w:t>
            </w:r>
          </w:p>
        </w:tc>
        <w:tc>
          <w:tcPr>
            <w:tcW w:w="20" w:type="dxa"/>
            <w:vAlign w:val="bottom"/>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r>
      <w:tr>
        <w:trPr>
          <w:trHeight w:val="190"/>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Networks</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1,070</w:t>
            </w:r>
          </w:p>
        </w:tc>
        <w:tc>
          <w:tcPr>
            <w:tcW w:w="920" w:type="dxa"/>
            <w:vAlign w:val="bottom"/>
            <w:tcBorders>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1,019</w:t>
            </w:r>
          </w:p>
        </w:tc>
        <w:tc>
          <w:tcPr>
            <w:tcW w:w="300" w:type="dxa"/>
            <w:vAlign w:val="bottom"/>
            <w:shd w:val="clear" w:color="auto" w:fill="D9D9D6"/>
          </w:tcPr>
          <w:p>
            <w:pPr>
              <w:spacing w:after="0"/>
              <w:rPr>
                <w:sz w:val="16"/>
                <w:szCs w:val="16"/>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5.0</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542</w:t>
            </w:r>
          </w:p>
        </w:tc>
        <w:tc>
          <w:tcPr>
            <w:tcW w:w="920" w:type="dxa"/>
            <w:vAlign w:val="bottom"/>
            <w:tcBorders>
              <w:bottom w:val="single" w:sz="8" w:color="auto"/>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506</w:t>
            </w:r>
          </w:p>
        </w:tc>
        <w:tc>
          <w:tcPr>
            <w:tcW w:w="300" w:type="dxa"/>
            <w:vAlign w:val="bottom"/>
            <w:tcBorders>
              <w:bottom w:val="single" w:sz="8" w:color="auto"/>
            </w:tcBorders>
            <w:shd w:val="clear" w:color="auto" w:fill="D9D9D6"/>
          </w:tcPr>
          <w:p>
            <w:pPr>
              <w:spacing w:after="0"/>
              <w:rPr>
                <w:sz w:val="17"/>
                <w:szCs w:val="17"/>
                <w:color w:val="auto"/>
              </w:rPr>
            </w:pPr>
          </w:p>
        </w:tc>
        <w:tc>
          <w:tcPr>
            <w:tcW w:w="5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7.2</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$8,231</w:t>
            </w:r>
          </w:p>
        </w:tc>
        <w:tc>
          <w:tcPr>
            <w:tcW w:w="920" w:type="dxa"/>
            <w:vAlign w:val="bottom"/>
            <w:tcBorders>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b w:val="1"/>
                <w:bCs w:val="1"/>
                <w:color w:val="auto"/>
              </w:rPr>
              <w:t>$6,029</w:t>
            </w:r>
          </w:p>
        </w:tc>
        <w:tc>
          <w:tcPr>
            <w:tcW w:w="300" w:type="dxa"/>
            <w:vAlign w:val="bottom"/>
            <w:shd w:val="clear" w:color="auto" w:fill="D9D9D6"/>
          </w:tcPr>
          <w:p>
            <w:pPr>
              <w:spacing w:after="0"/>
              <w:rPr>
                <w:sz w:val="17"/>
                <w:szCs w:val="17"/>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36.5</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9"/>
        </w:trPr>
        <w:tc>
          <w:tcPr>
            <w:tcW w:w="120" w:type="dxa"/>
            <w:vAlign w:val="bottom"/>
            <w:shd w:val="clear" w:color="auto" w:fill="D9D9D6"/>
          </w:tcPr>
          <w:p>
            <w:pPr>
              <w:spacing w:after="0"/>
              <w:rPr>
                <w:sz w:val="18"/>
                <w:szCs w:val="18"/>
                <w:color w:val="auto"/>
              </w:rPr>
            </w:pPr>
          </w:p>
        </w:tc>
        <w:tc>
          <w:tcPr>
            <w:tcW w:w="8140" w:type="dxa"/>
            <w:vAlign w:val="bottom"/>
            <w:shd w:val="clear" w:color="auto" w:fill="D9D9D6"/>
          </w:tcPr>
          <w:p>
            <w:pPr>
              <w:ind w:left="120"/>
              <w:spacing w:after="0"/>
              <w:rPr>
                <w:sz w:val="20"/>
                <w:szCs w:val="20"/>
                <w:color w:val="auto"/>
              </w:rPr>
            </w:pPr>
            <w:r>
              <w:rPr>
                <w:rFonts w:ascii="Arial" w:cs="Arial" w:eastAsia="Arial" w:hAnsi="Arial"/>
                <w:sz w:val="14"/>
                <w:szCs w:val="14"/>
                <w:i w:val="1"/>
                <w:iCs w:val="1"/>
                <w:color w:val="auto"/>
              </w:rPr>
              <w:t>Excluding Olympics</w:t>
            </w:r>
            <w:r>
              <w:rPr>
                <w:rFonts w:ascii="Arial" w:cs="Arial" w:eastAsia="Arial" w:hAnsi="Arial"/>
                <w:sz w:val="18"/>
                <w:szCs w:val="18"/>
                <w:i w:val="1"/>
                <w:iCs w:val="1"/>
                <w:color w:val="auto"/>
                <w:vertAlign w:val="superscript"/>
              </w:rPr>
              <w:t>7</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6,325</w:t>
            </w:r>
          </w:p>
        </w:tc>
        <w:tc>
          <w:tcPr>
            <w:tcW w:w="920" w:type="dxa"/>
            <w:vAlign w:val="bottom"/>
            <w:tcBorders>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i w:val="1"/>
                <w:iCs w:val="1"/>
                <w:color w:val="auto"/>
              </w:rPr>
              <w:t>6,029</w:t>
            </w:r>
          </w:p>
        </w:tc>
        <w:tc>
          <w:tcPr>
            <w:tcW w:w="300" w:type="dxa"/>
            <w:vAlign w:val="bottom"/>
            <w:shd w:val="clear" w:color="auto" w:fill="D9D9D6"/>
          </w:tcPr>
          <w:p>
            <w:pPr>
              <w:spacing w:after="0"/>
              <w:rPr>
                <w:sz w:val="18"/>
                <w:szCs w:val="18"/>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4.9</w:t>
            </w:r>
          </w:p>
        </w:tc>
        <w:tc>
          <w:tcPr>
            <w:tcW w:w="180" w:type="dxa"/>
            <w:vAlign w:val="bottom"/>
            <w:shd w:val="clear" w:color="auto" w:fill="D9D9D6"/>
          </w:tcPr>
          <w:p>
            <w:pPr>
              <w:spacing w:after="0"/>
              <w:rPr>
                <w:sz w:val="20"/>
                <w:szCs w:val="20"/>
                <w:color w:val="auto"/>
              </w:rPr>
            </w:pPr>
            <w:r>
              <w:rPr>
                <w:rFonts w:ascii="Arial" w:cs="Arial" w:eastAsia="Arial" w:hAnsi="Arial"/>
                <w:sz w:val="14"/>
                <w:szCs w:val="14"/>
                <w:i w:val="1"/>
                <w:iCs w:val="1"/>
                <w:color w:val="auto"/>
              </w:rPr>
              <w:t>%</w:t>
            </w:r>
          </w:p>
        </w:tc>
        <w:tc>
          <w:tcPr>
            <w:tcW w:w="20" w:type="dxa"/>
            <w:vAlign w:val="bottom"/>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r>
      <w:tr>
        <w:trPr>
          <w:trHeight w:val="192"/>
        </w:trPr>
        <w:tc>
          <w:tcPr>
            <w:tcW w:w="120" w:type="dxa"/>
            <w:vAlign w:val="bottom"/>
            <w:tcBorders>
              <w:bottom w:val="single" w:sz="8" w:color="D9D9D6"/>
            </w:tcBorders>
            <w:shd w:val="clear" w:color="auto" w:fill="D9D9D6"/>
          </w:tcPr>
          <w:p>
            <w:pPr>
              <w:spacing w:after="0"/>
              <w:rPr>
                <w:sz w:val="16"/>
                <w:szCs w:val="16"/>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7,581</w:t>
            </w:r>
          </w:p>
        </w:tc>
        <w:tc>
          <w:tcPr>
            <w:tcW w:w="920" w:type="dxa"/>
            <w:vAlign w:val="bottom"/>
            <w:tcBorders>
              <w:bottom w:val="single" w:sz="8" w:color="auto"/>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5,306</w:t>
            </w:r>
          </w:p>
        </w:tc>
        <w:tc>
          <w:tcPr>
            <w:tcW w:w="300" w:type="dxa"/>
            <w:vAlign w:val="bottom"/>
            <w:tcBorders>
              <w:bottom w:val="single" w:sz="8" w:color="auto"/>
            </w:tcBorders>
            <w:shd w:val="clear" w:color="auto" w:fill="D9D9D6"/>
          </w:tcPr>
          <w:p>
            <w:pPr>
              <w:spacing w:after="0"/>
              <w:rPr>
                <w:sz w:val="16"/>
                <w:szCs w:val="16"/>
                <w:color w:val="auto"/>
              </w:rPr>
            </w:pPr>
          </w:p>
        </w:tc>
        <w:tc>
          <w:tcPr>
            <w:tcW w:w="5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42.9</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r>
      <w:tr>
        <w:trPr>
          <w:trHeight w:val="236"/>
        </w:trPr>
        <w:tc>
          <w:tcPr>
            <w:tcW w:w="120" w:type="dxa"/>
            <w:vAlign w:val="bottom"/>
            <w:tcBorders>
              <w:bottom w:val="single" w:sz="8" w:color="D9D9D6"/>
            </w:tcBorders>
            <w:shd w:val="clear" w:color="auto" w:fill="D9D9D6"/>
          </w:tcPr>
          <w:p>
            <w:pPr>
              <w:spacing w:after="0"/>
              <w:rPr>
                <w:sz w:val="20"/>
                <w:szCs w:val="20"/>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bottom w:val="single" w:sz="8" w:color="D9D9D6"/>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$650</w:t>
            </w:r>
          </w:p>
        </w:tc>
        <w:tc>
          <w:tcPr>
            <w:tcW w:w="920" w:type="dxa"/>
            <w:vAlign w:val="bottom"/>
            <w:tcBorders>
              <w:bottom w:val="single" w:sz="8" w:color="D9D9D6"/>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b w:val="1"/>
                <w:bCs w:val="1"/>
                <w:color w:val="auto"/>
              </w:rPr>
              <w:t>$723</w:t>
            </w:r>
          </w:p>
        </w:tc>
        <w:tc>
          <w:tcPr>
            <w:tcW w:w="300" w:type="dxa"/>
            <w:vAlign w:val="bottom"/>
            <w:tcBorders>
              <w:bottom w:val="single" w:sz="8" w:color="D9D9D6"/>
            </w:tcBorders>
            <w:shd w:val="clear" w:color="auto" w:fill="D9D9D6"/>
          </w:tcPr>
          <w:p>
            <w:pPr>
              <w:spacing w:after="0"/>
              <w:rPr>
                <w:sz w:val="20"/>
                <w:szCs w:val="20"/>
                <w:color w:val="auto"/>
              </w:rPr>
            </w:pPr>
          </w:p>
        </w:tc>
        <w:tc>
          <w:tcPr>
            <w:tcW w:w="54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(10.1</w:t>
            </w:r>
          </w:p>
        </w:tc>
        <w:tc>
          <w:tcPr>
            <w:tcW w:w="1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D9D9D6"/>
            </w:tcBorders>
            <w:shd w:val="clear" w:color="auto" w:fill="D9D9D6"/>
          </w:tcPr>
          <w:p>
            <w:pPr>
              <w:spacing w:after="0"/>
              <w:rPr>
                <w:sz w:val="20"/>
                <w:szCs w:val="20"/>
                <w:color w:val="auto"/>
              </w:rPr>
            </w:pPr>
          </w:p>
        </w:tc>
        <w:tc>
          <w:tcPr>
            <w:tcW w:w="120" w:type="dxa"/>
            <w:vAlign w:val="bottom"/>
            <w:tcBorders>
              <w:bottom w:val="single" w:sz="8" w:color="D9D9D6"/>
            </w:tcBorders>
            <w:shd w:val="clear" w:color="auto" w:fill="D9D9D6"/>
          </w:tcPr>
          <w:p>
            <w:pPr>
              <w:spacing w:after="0"/>
              <w:rPr>
                <w:sz w:val="20"/>
                <w:szCs w:val="20"/>
                <w:color w:val="auto"/>
              </w:rPr>
            </w:pPr>
          </w:p>
        </w:tc>
      </w:tr>
      <w:tr>
        <w:trPr>
          <w:trHeight w:val="539"/>
        </w:trPr>
        <w:tc>
          <w:tcPr>
            <w:tcW w:w="1038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Media increased primarily due to higher domestic advertising and domestic distribution revenue. Excluding $1.9</w:t>
            </w:r>
          </w:p>
        </w:tc>
        <w:tc>
          <w:tcPr>
            <w:tcW w:w="860" w:type="dxa"/>
            <w:vAlign w:val="bottom"/>
            <w:gridSpan w:val="5"/>
          </w:tcPr>
          <w:p>
            <w:pPr>
              <w:ind w:left="180"/>
              <w:spacing w:after="0"/>
              <w:rPr>
                <w:sz w:val="20"/>
                <w:szCs w:val="20"/>
                <w:color w:val="auto"/>
              </w:rPr>
            </w:pPr>
            <w:r>
              <w:rPr>
                <w:rFonts w:ascii="Arial" w:cs="Arial" w:eastAsia="Arial" w:hAnsi="Arial"/>
                <w:sz w:val="18"/>
                <w:szCs w:val="18"/>
                <w:color w:val="auto"/>
                <w:w w:val="99"/>
              </w:rPr>
              <w:t>billion of</w:t>
            </w:r>
          </w:p>
        </w:tc>
      </w:tr>
    </w:tbl>
    <w:p>
      <w:pPr>
        <w:jc w:val="both"/>
        <w:spacing w:after="0" w:line="253" w:lineRule="auto"/>
        <w:rPr>
          <w:sz w:val="20"/>
          <w:szCs w:val="20"/>
          <w:color w:val="auto"/>
        </w:rPr>
      </w:pPr>
      <w:r>
        <w:rPr>
          <w:rFonts w:ascii="Arial" w:cs="Arial" w:eastAsia="Arial" w:hAnsi="Arial"/>
          <w:sz w:val="18"/>
          <w:szCs w:val="18"/>
          <w:color w:val="auto"/>
        </w:rPr>
        <w:t>incremental revenue from the Paris Olympics, Media revenue increased 4.9%. Domestic advertising revenue increased primarily reflecting the Paris Olympics and additional Peacock sales, partially offset by lower revenue at our networks. Domestic distribution revenue increased primarily reflecting the broadcast of the Paris Olympics and higher revenue at Peacock, driven by an increase in paid subscribers compared to the prior year period. International networks revenue increased primarily due to the positive impact of foreign currency and an increase in revenue associated with the distribution of sports networks. Other revenue increased primarily due to an increase in revenue from the licensing of our owned content.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84" w:right="339" w:bottom="1440" w:gutter="0" w:footer="0" w:header="0"/>
        </w:sectPr>
      </w:pPr>
    </w:p>
    <w:bookmarkStart w:id="8" w:name="page9"/>
    <w:bookmarkEnd w:id="8"/>
    <w:p>
      <w:pPr>
        <w:jc w:val="both"/>
        <w:spacing w:after="0" w:line="246"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Media decreased due to higher operating expenses, which more than offset higher revenue. The increase in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was primarily due to increased sports programming costs associated with the Paris Olympics, higher programming costs at Peacock and an increase in other sports programming costs for our domestic television networks. Media results include $ 1.5 billion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$436 million related to Peacock, including amounts attributable to the Paris Olympics, compared to $830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$565 million in the prior year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4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shd w:val="clear" w:color="auto" w:fill="D9D9D6"/>
          </w:tcPr>
          <w:p>
            <w:pPr>
              <w:spacing w:after="0"/>
              <w:rPr>
                <w:sz w:val="15"/>
                <w:szCs w:val="15"/>
                <w:color w:val="auto"/>
              </w:rPr>
            </w:pPr>
          </w:p>
        </w:tc>
        <w:tc>
          <w:tcPr>
            <w:tcW w:w="8200" w:type="dxa"/>
            <w:vAlign w:val="bottom"/>
            <w:shd w:val="clear" w:color="auto" w:fill="D9D9D6"/>
          </w:tcPr>
          <w:p>
            <w:pPr>
              <w:spacing w:after="0"/>
              <w:rPr>
                <w:sz w:val="15"/>
                <w:szCs w:val="15"/>
                <w:color w:val="auto"/>
              </w:rPr>
            </w:pPr>
          </w:p>
        </w:tc>
        <w:tc>
          <w:tcPr>
            <w:tcW w:w="56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74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3rd Quarter</w:t>
            </w:r>
          </w:p>
        </w:tc>
        <w:tc>
          <w:tcPr>
            <w:tcW w:w="500" w:type="dxa"/>
            <w:vAlign w:val="bottom"/>
            <w:shd w:val="clear" w:color="auto" w:fill="D9D9D6"/>
          </w:tcPr>
          <w:p>
            <w:pPr>
              <w:spacing w:after="0"/>
              <w:rPr>
                <w:sz w:val="15"/>
                <w:szCs w:val="15"/>
                <w:color w:val="auto"/>
              </w:rPr>
            </w:pPr>
          </w:p>
        </w:tc>
        <w:tc>
          <w:tcPr>
            <w:tcW w:w="36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182"/>
        </w:trPr>
        <w:tc>
          <w:tcPr>
            <w:tcW w:w="120" w:type="dxa"/>
            <w:vAlign w:val="bottom"/>
            <w:tcBorders>
              <w:top w:val="single" w:sz="8" w:color="D9D9D6"/>
            </w:tcBorders>
            <w:shd w:val="clear" w:color="auto" w:fill="D9D9D6"/>
          </w:tcPr>
          <w:p>
            <w:pPr>
              <w:spacing w:after="0"/>
              <w:rPr>
                <w:sz w:val="15"/>
                <w:szCs w:val="15"/>
                <w:color w:val="auto"/>
              </w:rPr>
            </w:pPr>
          </w:p>
        </w:tc>
        <w:tc>
          <w:tcPr>
            <w:tcW w:w="8200" w:type="dxa"/>
            <w:vAlign w:val="bottom"/>
            <w:tcBorders>
              <w:top w:val="single" w:sz="8" w:color="D9D9D6"/>
            </w:tcBorders>
            <w:shd w:val="clear" w:color="auto" w:fill="D9D9D6"/>
          </w:tcPr>
          <w:p>
            <w:pPr>
              <w:spacing w:after="0"/>
              <w:rPr>
                <w:sz w:val="15"/>
                <w:szCs w:val="15"/>
                <w:color w:val="auto"/>
              </w:rPr>
            </w:pPr>
          </w:p>
        </w:tc>
        <w:tc>
          <w:tcPr>
            <w:tcW w:w="90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40" w:type="dxa"/>
            <w:vAlign w:val="bottom"/>
            <w:tcBorders>
              <w:top w:val="single" w:sz="8" w:color="D9D9D6"/>
            </w:tcBorders>
            <w:shd w:val="clear" w:color="auto" w:fill="D9D9D6"/>
          </w:tcPr>
          <w:p>
            <w:pPr>
              <w:spacing w:after="0"/>
              <w:rPr>
                <w:sz w:val="15"/>
                <w:szCs w:val="15"/>
                <w:color w:val="auto"/>
              </w:rPr>
            </w:pPr>
          </w:p>
        </w:tc>
        <w:tc>
          <w:tcPr>
            <w:tcW w:w="72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2023</w:t>
            </w:r>
          </w:p>
        </w:tc>
        <w:tc>
          <w:tcPr>
            <w:tcW w:w="20" w:type="dxa"/>
            <w:vAlign w:val="bottom"/>
            <w:tcBorders>
              <w:top w:val="single" w:sz="8" w:color="D9D9D6"/>
            </w:tcBorders>
            <w:shd w:val="clear" w:color="auto" w:fill="D9D9D6"/>
          </w:tcPr>
          <w:p>
            <w:pPr>
              <w:spacing w:after="0"/>
              <w:rPr>
                <w:sz w:val="15"/>
                <w:szCs w:val="15"/>
                <w:color w:val="auto"/>
              </w:rPr>
            </w:pPr>
          </w:p>
        </w:tc>
        <w:tc>
          <w:tcPr>
            <w:tcW w:w="1140" w:type="dxa"/>
            <w:vAlign w:val="bottom"/>
            <w:tcBorders>
              <w:top w:val="single" w:sz="8" w:color="D9D9D6"/>
            </w:tcBorders>
            <w:gridSpan w:val="5"/>
            <w:shd w:val="clear" w:color="auto" w:fill="D9D9D6"/>
          </w:tcPr>
          <w:p>
            <w:pPr>
              <w:ind w:left="50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20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1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 Licensing</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$1,865</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$1,691</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Theatrical</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611</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504</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21.3 %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2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350</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324</w:t>
            </w:r>
          </w:p>
        </w:tc>
        <w:tc>
          <w:tcPr>
            <w:tcW w:w="20" w:type="dxa"/>
            <w:vAlign w:val="bottom"/>
            <w:tcBorders>
              <w:bottom w:val="single" w:sz="8" w:color="auto"/>
            </w:tcBorders>
            <w:shd w:val="clear" w:color="auto" w:fill="D9D9D6"/>
          </w:tcPr>
          <w:p>
            <w:pPr>
              <w:spacing w:after="0"/>
              <w:rPr>
                <w:sz w:val="17"/>
                <w:szCs w:val="17"/>
                <w:color w:val="auto"/>
              </w:rPr>
            </w:pPr>
          </w:p>
        </w:tc>
        <w:tc>
          <w:tcPr>
            <w:tcW w:w="10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8.2 %</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$2,826</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$2,518</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12.3 %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2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2,359</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2,089</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12.9</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$468</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$429</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9.0</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56"/>
        </w:trPr>
        <w:tc>
          <w:tcPr>
            <w:tcW w:w="120" w:type="dxa"/>
            <w:vAlign w:val="bottom"/>
            <w:shd w:val="clear" w:color="auto" w:fill="D9D9D6"/>
          </w:tcPr>
          <w:p>
            <w:pPr>
              <w:spacing w:after="0"/>
              <w:rPr>
                <w:sz w:val="4"/>
                <w:szCs w:val="4"/>
                <w:color w:val="auto"/>
              </w:rPr>
            </w:pPr>
          </w:p>
        </w:tc>
        <w:tc>
          <w:tcPr>
            <w:tcW w:w="820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Studios increased primarily due to higher content licensing revenue and theatrical revenue. Content licensing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increased primarily due to the timing of when content was made available by our television studios under licensing agreements, including the impact of the work stoppages in the prior year period. Theatrical revenue increased due to the successful performance of recent releases, including </w:t>
      </w:r>
      <w:r>
        <w:rPr>
          <w:rFonts w:ascii="Arial" w:cs="Arial" w:eastAsia="Arial" w:hAnsi="Arial"/>
          <w:sz w:val="18"/>
          <w:szCs w:val="18"/>
          <w:i w:val="1"/>
          <w:iCs w:val="1"/>
          <w:color w:val="auto"/>
        </w:rPr>
        <w:t>Despicable Me 4</w:t>
      </w:r>
      <w:r>
        <w:rPr>
          <w:rFonts w:ascii="Arial" w:cs="Arial" w:eastAsia="Arial" w:hAnsi="Arial"/>
          <w:sz w:val="18"/>
          <w:szCs w:val="18"/>
          <w:color w:val="auto"/>
        </w:rPr>
        <w:t xml:space="preserve"> and </w:t>
      </w:r>
      <w:r>
        <w:rPr>
          <w:rFonts w:ascii="Arial" w:cs="Arial" w:eastAsia="Arial" w:hAnsi="Arial"/>
          <w:sz w:val="18"/>
          <w:szCs w:val="18"/>
          <w:i w:val="1"/>
          <w:iCs w:val="1"/>
          <w:color w:val="auto"/>
        </w:rPr>
        <w:t>Twisters</w:t>
      </w:r>
      <w:r>
        <w:rPr>
          <w:rFonts w:ascii="Arial" w:cs="Arial" w:eastAsia="Arial" w:hAnsi="Arial"/>
          <w:sz w:val="18"/>
          <w:szCs w:val="18"/>
          <w:color w:val="auto"/>
        </w:rPr>
        <w:t>.</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Studios increased due to higher revenue, which more than offset higher operating expenses.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expenses primarily reflected higher programming and production expenses, mainly due to higher costs associated with content licensing sales, including the impact of the work stoppages in the prior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82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360" w:type="dxa"/>
            <w:vAlign w:val="bottom"/>
            <w:tcBorders>
              <w:right w:val="single" w:sz="8" w:color="D9D9D6"/>
            </w:tcBorders>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300" w:type="dxa"/>
            <w:vAlign w:val="bottom"/>
            <w:shd w:val="clear" w:color="auto" w:fill="D9D9D6"/>
          </w:tcPr>
          <w:p>
            <w:pPr>
              <w:spacing w:after="0"/>
              <w:rPr>
                <w:sz w:val="19"/>
                <w:szCs w:val="19"/>
                <w:color w:val="auto"/>
              </w:rPr>
            </w:pPr>
          </w:p>
        </w:tc>
        <w:tc>
          <w:tcPr>
            <w:tcW w:w="300" w:type="dxa"/>
            <w:vAlign w:val="bottom"/>
            <w:shd w:val="clear" w:color="auto" w:fill="D9D9D6"/>
          </w:tcPr>
          <w:p>
            <w:pPr>
              <w:spacing w:after="0"/>
              <w:rPr>
                <w:sz w:val="19"/>
                <w:szCs w:val="19"/>
                <w:color w:val="auto"/>
              </w:rPr>
            </w:pPr>
          </w:p>
        </w:tc>
        <w:tc>
          <w:tcPr>
            <w:tcW w:w="22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222"/>
        </w:trPr>
        <w:tc>
          <w:tcPr>
            <w:tcW w:w="100" w:type="dxa"/>
            <w:vAlign w:val="bottom"/>
            <w:tcBorders>
              <w:bottom w:val="single" w:sz="8" w:color="D9D9D6"/>
            </w:tcBorders>
            <w:shd w:val="clear" w:color="auto" w:fill="D9D9D6"/>
          </w:tcPr>
          <w:p>
            <w:pPr>
              <w:spacing w:after="0"/>
              <w:rPr>
                <w:sz w:val="19"/>
                <w:szCs w:val="19"/>
                <w:color w:val="auto"/>
              </w:rPr>
            </w:pPr>
          </w:p>
        </w:tc>
        <w:tc>
          <w:tcPr>
            <w:tcW w:w="8220" w:type="dxa"/>
            <w:vAlign w:val="bottom"/>
            <w:tcBorders>
              <w:bottom w:val="single" w:sz="8" w:color="D9D9D6"/>
            </w:tcBorders>
            <w:shd w:val="clear" w:color="auto" w:fill="D9D9D6"/>
          </w:tcPr>
          <w:p>
            <w:pPr>
              <w:spacing w:after="0"/>
              <w:rPr>
                <w:sz w:val="19"/>
                <w:szCs w:val="19"/>
                <w:color w:val="auto"/>
              </w:rPr>
            </w:pPr>
          </w:p>
        </w:tc>
        <w:tc>
          <w:tcPr>
            <w:tcW w:w="540" w:type="dxa"/>
            <w:vAlign w:val="bottom"/>
            <w:tcBorders>
              <w:bottom w:val="single" w:sz="8" w:color="D9D9D6"/>
            </w:tcBorders>
            <w:shd w:val="clear" w:color="auto" w:fill="D9D9D6"/>
          </w:tcPr>
          <w:p>
            <w:pPr>
              <w:spacing w:after="0"/>
              <w:rPr>
                <w:sz w:val="19"/>
                <w:szCs w:val="19"/>
                <w:color w:val="auto"/>
              </w:rPr>
            </w:pPr>
          </w:p>
        </w:tc>
        <w:tc>
          <w:tcPr>
            <w:tcW w:w="340" w:type="dxa"/>
            <w:vAlign w:val="bottom"/>
            <w:tcBorders>
              <w:bottom w:val="single" w:sz="8" w:color="D9D9D6"/>
              <w:right w:val="single" w:sz="8" w:color="D9D9D6"/>
            </w:tcBorders>
            <w:shd w:val="clear" w:color="auto" w:fill="D9D9D6"/>
          </w:tcPr>
          <w:p>
            <w:pPr>
              <w:spacing w:after="0"/>
              <w:rPr>
                <w:sz w:val="19"/>
                <w:szCs w:val="19"/>
                <w:color w:val="auto"/>
              </w:rPr>
            </w:pPr>
          </w:p>
        </w:tc>
        <w:tc>
          <w:tcPr>
            <w:tcW w:w="160" w:type="dxa"/>
            <w:vAlign w:val="bottom"/>
            <w:tcBorders>
              <w:bottom w:val="single" w:sz="8" w:color="D9D9D6"/>
            </w:tcBorders>
            <w:shd w:val="clear" w:color="auto" w:fill="D9D9D6"/>
          </w:tcPr>
          <w:p>
            <w:pPr>
              <w:spacing w:after="0"/>
              <w:rPr>
                <w:sz w:val="19"/>
                <w:szCs w:val="19"/>
                <w:color w:val="auto"/>
              </w:rPr>
            </w:pPr>
          </w:p>
        </w:tc>
        <w:tc>
          <w:tcPr>
            <w:tcW w:w="74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3rd Quarter</w:t>
            </w:r>
          </w:p>
        </w:tc>
        <w:tc>
          <w:tcPr>
            <w:tcW w:w="220" w:type="dxa"/>
            <w:vAlign w:val="bottom"/>
            <w:tcBorders>
              <w:bottom w:val="single" w:sz="8" w:color="D9D9D6"/>
            </w:tcBorders>
            <w:shd w:val="clear" w:color="auto" w:fill="D9D9D6"/>
          </w:tcPr>
          <w:p>
            <w:pPr>
              <w:spacing w:after="0"/>
              <w:rPr>
                <w:sz w:val="19"/>
                <w:szCs w:val="19"/>
                <w:color w:val="auto"/>
              </w:rPr>
            </w:pPr>
          </w:p>
        </w:tc>
        <w:tc>
          <w:tcPr>
            <w:tcW w:w="300" w:type="dxa"/>
            <w:vAlign w:val="bottom"/>
            <w:tcBorders>
              <w:bottom w:val="single" w:sz="8" w:color="D9D9D6"/>
            </w:tcBorders>
            <w:shd w:val="clear" w:color="auto" w:fill="D9D9D6"/>
          </w:tcPr>
          <w:p>
            <w:pPr>
              <w:spacing w:after="0"/>
              <w:rPr>
                <w:sz w:val="19"/>
                <w:szCs w:val="19"/>
                <w:color w:val="auto"/>
              </w:rPr>
            </w:pPr>
          </w:p>
        </w:tc>
        <w:tc>
          <w:tcPr>
            <w:tcW w:w="300" w:type="dxa"/>
            <w:vAlign w:val="bottom"/>
            <w:tcBorders>
              <w:bottom w:val="single" w:sz="8" w:color="D9D9D6"/>
            </w:tcBorders>
            <w:shd w:val="clear" w:color="auto" w:fill="D9D9D6"/>
          </w:tcPr>
          <w:p>
            <w:pPr>
              <w:spacing w:after="0"/>
              <w:rPr>
                <w:sz w:val="19"/>
                <w:szCs w:val="19"/>
                <w:color w:val="auto"/>
              </w:rPr>
            </w:pPr>
          </w:p>
        </w:tc>
        <w:tc>
          <w:tcPr>
            <w:tcW w:w="220" w:type="dxa"/>
            <w:vAlign w:val="bottom"/>
            <w:tcBorders>
              <w:bottom w:val="single" w:sz="8" w:color="D9D9D6"/>
              <w:right w:val="single" w:sz="8" w:color="D9D9D6"/>
            </w:tcBorders>
            <w:shd w:val="clear" w:color="auto" w:fill="D9D9D6"/>
          </w:tcPr>
          <w:p>
            <w:pPr>
              <w:spacing w:after="0"/>
              <w:rPr>
                <w:sz w:val="19"/>
                <w:szCs w:val="19"/>
                <w:color w:val="auto"/>
              </w:rPr>
            </w:pPr>
          </w:p>
        </w:tc>
        <w:tc>
          <w:tcPr>
            <w:tcW w:w="100" w:type="dxa"/>
            <w:vAlign w:val="bottom"/>
            <w:tcBorders>
              <w:bottom w:val="single" w:sz="8" w:color="D9D9D6"/>
            </w:tcBorders>
            <w:shd w:val="clear" w:color="auto" w:fill="D9D9D6"/>
          </w:tcPr>
          <w:p>
            <w:pPr>
              <w:spacing w:after="0"/>
              <w:rPr>
                <w:sz w:val="19"/>
                <w:szCs w:val="19"/>
                <w:color w:val="auto"/>
              </w:rPr>
            </w:pPr>
          </w:p>
        </w:tc>
      </w:tr>
      <w:tr>
        <w:trPr>
          <w:trHeight w:val="183"/>
        </w:trPr>
        <w:tc>
          <w:tcPr>
            <w:tcW w:w="100" w:type="dxa"/>
            <w:vAlign w:val="bottom"/>
            <w:shd w:val="clear" w:color="auto" w:fill="D9D9D6"/>
          </w:tcPr>
          <w:p>
            <w:pPr>
              <w:spacing w:after="0"/>
              <w:rPr>
                <w:sz w:val="15"/>
                <w:szCs w:val="15"/>
                <w:color w:val="auto"/>
              </w:rPr>
            </w:pPr>
          </w:p>
        </w:tc>
        <w:tc>
          <w:tcPr>
            <w:tcW w:w="8220" w:type="dxa"/>
            <w:vAlign w:val="bottom"/>
            <w:shd w:val="clear" w:color="auto" w:fill="D9D9D6"/>
          </w:tcPr>
          <w:p>
            <w:pPr>
              <w:spacing w:after="0"/>
              <w:rPr>
                <w:sz w:val="15"/>
                <w:szCs w:val="15"/>
                <w:color w:val="auto"/>
              </w:rPr>
            </w:pPr>
          </w:p>
        </w:tc>
        <w:tc>
          <w:tcPr>
            <w:tcW w:w="54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2024</w:t>
            </w:r>
          </w:p>
        </w:tc>
        <w:tc>
          <w:tcPr>
            <w:tcW w:w="90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D9D9D6"/>
          </w:tcPr>
          <w:p>
            <w:pPr>
              <w:spacing w:after="0"/>
              <w:rPr>
                <w:sz w:val="15"/>
                <w:szCs w:val="15"/>
                <w:color w:val="auto"/>
              </w:rPr>
            </w:pPr>
          </w:p>
        </w:tc>
        <w:tc>
          <w:tcPr>
            <w:tcW w:w="300" w:type="dxa"/>
            <w:vAlign w:val="bottom"/>
            <w:shd w:val="clear" w:color="auto" w:fill="D9D9D6"/>
          </w:tcPr>
          <w:p>
            <w:pPr>
              <w:spacing w:after="0"/>
              <w:rPr>
                <w:sz w:val="15"/>
                <w:szCs w:val="15"/>
                <w:color w:val="auto"/>
              </w:rPr>
            </w:pPr>
          </w:p>
        </w:tc>
        <w:tc>
          <w:tcPr>
            <w:tcW w:w="62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Change</w:t>
            </w:r>
          </w:p>
        </w:tc>
      </w:tr>
      <w:tr>
        <w:trPr>
          <w:trHeight w:val="20"/>
        </w:trPr>
        <w:tc>
          <w:tcPr>
            <w:tcW w:w="100" w:type="dxa"/>
            <w:vAlign w:val="bottom"/>
            <w:shd w:val="clear" w:color="auto" w:fill="D9D9D6"/>
          </w:tcPr>
          <w:p>
            <w:pPr>
              <w:spacing w:after="0" w:line="20" w:lineRule="exact"/>
              <w:rPr>
                <w:sz w:val="1"/>
                <w:szCs w:val="1"/>
                <w:color w:val="auto"/>
              </w:rPr>
            </w:pPr>
          </w:p>
        </w:tc>
        <w:tc>
          <w:tcPr>
            <w:tcW w:w="82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80" w:type="dxa"/>
            <w:vAlign w:val="bottom"/>
            <w:shd w:val="clear" w:color="auto" w:fill="D9D9D6"/>
          </w:tcPr>
          <w:p>
            <w:pPr>
              <w:spacing w:after="0" w:line="20" w:lineRule="exact"/>
              <w:rPr>
                <w:sz w:val="1"/>
                <w:szCs w:val="1"/>
                <w:color w:val="auto"/>
              </w:rPr>
            </w:pPr>
          </w:p>
        </w:tc>
        <w:tc>
          <w:tcPr>
            <w:tcW w:w="360" w:type="dxa"/>
            <w:vAlign w:val="bottom"/>
            <w:tcBorders>
              <w:right w:val="single" w:sz="8" w:color="D9D9D6"/>
            </w:tcBorders>
            <w:shd w:val="clear" w:color="auto" w:fill="000000"/>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D9D9D6"/>
            </w:tcBorders>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r>
      <w:tr>
        <w:trPr>
          <w:trHeight w:val="559"/>
        </w:trPr>
        <w:tc>
          <w:tcPr>
            <w:tcW w:w="100" w:type="dxa"/>
            <w:vAlign w:val="bottom"/>
            <w:shd w:val="clear" w:color="auto" w:fill="D9D9D6"/>
          </w:tcPr>
          <w:p>
            <w:pPr>
              <w:spacing w:after="0"/>
              <w:rPr>
                <w:sz w:val="24"/>
                <w:szCs w:val="24"/>
                <w:color w:val="auto"/>
              </w:rPr>
            </w:pPr>
          </w:p>
        </w:tc>
        <w:tc>
          <w:tcPr>
            <w:tcW w:w="82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8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$2,289</w:t>
            </w:r>
          </w:p>
        </w:tc>
        <w:tc>
          <w:tcPr>
            <w:tcW w:w="90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$2,418</w:t>
            </w:r>
          </w:p>
        </w:tc>
        <w:tc>
          <w:tcPr>
            <w:tcW w:w="220" w:type="dxa"/>
            <w:vAlign w:val="bottom"/>
            <w:shd w:val="clear" w:color="auto" w:fill="D9D9D6"/>
          </w:tcPr>
          <w:p>
            <w:pPr>
              <w:spacing w:after="0"/>
              <w:rPr>
                <w:sz w:val="24"/>
                <w:szCs w:val="24"/>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(5.3</w:t>
            </w:r>
          </w:p>
        </w:tc>
        <w:tc>
          <w:tcPr>
            <w:tcW w:w="22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6"/>
          </w:tcPr>
          <w:p>
            <w:pPr>
              <w:spacing w:after="0"/>
              <w:rPr>
                <w:sz w:val="24"/>
                <w:szCs w:val="24"/>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82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1,442</w:t>
            </w:r>
          </w:p>
        </w:tc>
        <w:tc>
          <w:tcPr>
            <w:tcW w:w="90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1,435</w:t>
            </w:r>
          </w:p>
        </w:tc>
        <w:tc>
          <w:tcPr>
            <w:tcW w:w="220" w:type="dxa"/>
            <w:vAlign w:val="bottom"/>
            <w:tcBorders>
              <w:bottom w:val="single" w:sz="8" w:color="auto"/>
            </w:tcBorders>
            <w:shd w:val="clear" w:color="auto" w:fill="D9D9D6"/>
          </w:tcPr>
          <w:p>
            <w:pPr>
              <w:spacing w:after="0"/>
              <w:rPr>
                <w:sz w:val="17"/>
                <w:szCs w:val="17"/>
                <w:color w:val="auto"/>
              </w:rPr>
            </w:pPr>
          </w:p>
        </w:tc>
        <w:tc>
          <w:tcPr>
            <w:tcW w:w="6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0.5</w:t>
            </w:r>
          </w:p>
        </w:tc>
        <w:tc>
          <w:tcPr>
            <w:tcW w:w="220" w:type="dxa"/>
            <w:vAlign w:val="bottom"/>
            <w:tcBorders>
              <w:bottom w:val="single" w:sz="8" w:color="auto"/>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82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$847</w:t>
            </w:r>
          </w:p>
        </w:tc>
        <w:tc>
          <w:tcPr>
            <w:tcW w:w="90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$983</w:t>
            </w:r>
          </w:p>
        </w:tc>
        <w:tc>
          <w:tcPr>
            <w:tcW w:w="220" w:type="dxa"/>
            <w:vAlign w:val="bottom"/>
            <w:shd w:val="clear" w:color="auto" w:fill="D9D9D6"/>
          </w:tcPr>
          <w:p>
            <w:pPr>
              <w:spacing w:after="0"/>
              <w:rPr>
                <w:sz w:val="17"/>
                <w:szCs w:val="17"/>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(13.8</w:t>
            </w:r>
          </w:p>
        </w:tc>
        <w:tc>
          <w:tcPr>
            <w:tcW w:w="22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D9D9D6"/>
          </w:tcPr>
          <w:p>
            <w:pPr>
              <w:spacing w:after="0"/>
              <w:rPr>
                <w:sz w:val="17"/>
                <w:szCs w:val="17"/>
                <w:color w:val="auto"/>
              </w:rPr>
            </w:pPr>
          </w:p>
        </w:tc>
      </w:tr>
      <w:tr>
        <w:trPr>
          <w:trHeight w:val="56"/>
        </w:trPr>
        <w:tc>
          <w:tcPr>
            <w:tcW w:w="100" w:type="dxa"/>
            <w:vAlign w:val="bottom"/>
            <w:shd w:val="clear" w:color="auto" w:fill="D9D9D6"/>
          </w:tcPr>
          <w:p>
            <w:pPr>
              <w:spacing w:after="0"/>
              <w:rPr>
                <w:sz w:val="4"/>
                <w:szCs w:val="4"/>
                <w:color w:val="auto"/>
              </w:rPr>
            </w:pPr>
          </w:p>
        </w:tc>
        <w:tc>
          <w:tcPr>
            <w:tcW w:w="82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360" w:type="dxa"/>
            <w:vAlign w:val="bottom"/>
            <w:tcBorders>
              <w:right w:val="single" w:sz="8" w:color="D9D9D6"/>
            </w:tcBorders>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220" w:type="dxa"/>
            <w:vAlign w:val="bottom"/>
            <w:tcBorders>
              <w:right w:val="single" w:sz="8" w:color="D9D9D6"/>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Theme Parks decreased primarily due to lower revenue at our domestic theme parks, driven by lower guest attendance.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Theme Parks decreased, reflecting lower revenue and consistent 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&amp;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Content &amp; Experiences Headquarters &amp; Other includes overhead, personnel costs and costs associated with corporate initiatives.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Headquarters &amp; Other Adjusted EBITDA loss in the third quarter was $200 million, compared to a loss of $178 million in the prior year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Amounts represent eliminations of transactions between our Content &amp; Experiences segments, the most significant being content licensing between the Studios and Media segments, which are affected by the timing of recognition of content licenses. Revenue eliminations were $758 million, compared to $419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80" w:right="3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8"/>
          <w:szCs w:val="18"/>
          <w:color w:val="auto"/>
        </w:rPr>
        <w:t>million in the prior year period, and Adjusted EBITDA eliminations were a benefit of $38 million, compared to a benefit of $17 million in the prior year period.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68580" cy="1740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405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7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right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7760" w:type="dxa"/>
            <w:vAlign w:val="bottom"/>
          </w:tcPr>
          <w:p>
            <w:pPr>
              <w:spacing w:after="0"/>
              <w:rPr>
                <w:sz w:val="14"/>
                <w:szCs w:val="14"/>
                <w:color w:val="auto"/>
              </w:rPr>
            </w:pPr>
          </w:p>
        </w:tc>
        <w:tc>
          <w:tcPr>
            <w:tcW w:w="72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080" w:type="dxa"/>
            <w:vAlign w:val="bottom"/>
            <w:gridSpan w:val="5"/>
            <w:shd w:val="clear" w:color="auto" w:fill="D9D9D6"/>
          </w:tcPr>
          <w:p>
            <w:pPr>
              <w:ind w:left="200"/>
              <w:spacing w:after="0"/>
              <w:rPr>
                <w:sz w:val="20"/>
                <w:szCs w:val="20"/>
                <w:color w:val="auto"/>
              </w:rPr>
            </w:pPr>
            <w:r>
              <w:rPr>
                <w:rFonts w:ascii="Arial" w:cs="Arial" w:eastAsia="Arial" w:hAnsi="Arial"/>
                <w:sz w:val="14"/>
                <w:szCs w:val="14"/>
                <w:color w:val="auto"/>
              </w:rPr>
              <w:t>3rd Quarter</w:t>
            </w:r>
          </w:p>
        </w:tc>
        <w:tc>
          <w:tcPr>
            <w:tcW w:w="5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0" w:type="dxa"/>
            <w:vAlign w:val="bottom"/>
            <w:tcBorders>
              <w:right w:val="single" w:sz="8" w:color="D9D9D6"/>
            </w:tcBorders>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72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0" w:type="dxa"/>
            <w:vAlign w:val="bottom"/>
            <w:tcBorders>
              <w:right w:val="single" w:sz="8" w:color="D9D9D6"/>
            </w:tcBorders>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7760" w:type="dxa"/>
            <w:vAlign w:val="bottom"/>
          </w:tcPr>
          <w:p>
            <w:pPr>
              <w:spacing w:after="0"/>
              <w:rPr>
                <w:sz w:val="15"/>
                <w:szCs w:val="15"/>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200" w:type="dxa"/>
            <w:vAlign w:val="bottom"/>
            <w:shd w:val="clear" w:color="auto" w:fill="D9D9D6"/>
          </w:tcPr>
          <w:p>
            <w:pPr>
              <w:spacing w:after="0"/>
              <w:rPr>
                <w:sz w:val="15"/>
                <w:szCs w:val="15"/>
                <w:color w:val="auto"/>
              </w:rPr>
            </w:pPr>
          </w:p>
        </w:tc>
        <w:tc>
          <w:tcPr>
            <w:tcW w:w="880" w:type="dxa"/>
            <w:vAlign w:val="bottom"/>
            <w:gridSpan w:val="4"/>
            <w:shd w:val="clear" w:color="auto" w:fill="D9D9D6"/>
          </w:tcPr>
          <w:p>
            <w:pPr>
              <w:jc w:val="center"/>
              <w:ind w:left="448"/>
              <w:spacing w:after="0"/>
              <w:rPr>
                <w:sz w:val="20"/>
                <w:szCs w:val="20"/>
                <w:color w:val="auto"/>
              </w:rPr>
            </w:pPr>
            <w:r>
              <w:rPr>
                <w:rFonts w:ascii="Arial" w:cs="Arial" w:eastAsia="Arial" w:hAnsi="Arial"/>
                <w:sz w:val="14"/>
                <w:szCs w:val="14"/>
                <w:color w:val="auto"/>
              </w:rPr>
              <w:t>2023</w:t>
            </w:r>
          </w:p>
        </w:tc>
        <w:tc>
          <w:tcPr>
            <w:tcW w:w="1220" w:type="dxa"/>
            <w:vAlign w:val="bottom"/>
            <w:gridSpan w:val="4"/>
            <w:shd w:val="clear" w:color="auto" w:fill="D9D9D6"/>
          </w:tcPr>
          <w:p>
            <w:pPr>
              <w:ind w:left="580"/>
              <w:spacing w:after="0"/>
              <w:rPr>
                <w:sz w:val="20"/>
                <w:szCs w:val="20"/>
                <w:color w:val="auto"/>
              </w:rPr>
            </w:pPr>
            <w:r>
              <w:rPr>
                <w:rFonts w:ascii="Arial" w:cs="Arial" w:eastAsia="Arial" w:hAnsi="Arial"/>
                <w:sz w:val="14"/>
                <w:szCs w:val="14"/>
                <w:color w:val="auto"/>
              </w:rPr>
              <w:t>Change</w:t>
            </w:r>
          </w:p>
        </w:tc>
      </w:tr>
      <w:tr>
        <w:trPr>
          <w:trHeight w:val="221"/>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7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0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1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$675</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center"/>
              <w:ind w:left="648"/>
              <w:spacing w:after="0"/>
              <w:rPr>
                <w:sz w:val="20"/>
                <w:szCs w:val="20"/>
                <w:color w:val="auto"/>
              </w:rPr>
            </w:pPr>
            <w:r>
              <w:rPr>
                <w:rFonts w:ascii="Arial" w:cs="Arial" w:eastAsia="Arial" w:hAnsi="Arial"/>
                <w:sz w:val="14"/>
                <w:szCs w:val="14"/>
                <w:color w:val="auto"/>
              </w:rPr>
              <w:t>$643</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5.0</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6"/>
          </w:tcPr>
          <w:p>
            <w:pPr>
              <w:spacing w:after="0"/>
              <w:rPr>
                <w:sz w:val="17"/>
                <w:szCs w:val="17"/>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978</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tcBorders>
            <w:gridSpan w:val="4"/>
            <w:shd w:val="clear" w:color="auto" w:fill="D9D9D6"/>
          </w:tcPr>
          <w:p>
            <w:pPr>
              <w:jc w:val="center"/>
              <w:ind w:left="628"/>
              <w:spacing w:after="0"/>
              <w:rPr>
                <w:sz w:val="20"/>
                <w:szCs w:val="20"/>
                <w:color w:val="auto"/>
              </w:rPr>
            </w:pPr>
            <w:r>
              <w:rPr>
                <w:rFonts w:ascii="Arial" w:cs="Arial" w:eastAsia="Arial" w:hAnsi="Arial"/>
                <w:sz w:val="14"/>
                <w:szCs w:val="14"/>
                <w:color w:val="auto"/>
              </w:rPr>
              <w:t>893</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9.6</w:t>
            </w:r>
          </w:p>
        </w:tc>
        <w:tc>
          <w:tcPr>
            <w:tcW w:w="200" w:type="dxa"/>
            <w:vAlign w:val="bottom"/>
            <w:tcBorders>
              <w:bottom w:val="single" w:sz="8" w:color="auto"/>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($302)</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($249)</w:t>
            </w:r>
          </w:p>
        </w:tc>
        <w:tc>
          <w:tcPr>
            <w:tcW w:w="20" w:type="dxa"/>
            <w:vAlign w:val="bottom"/>
            <w:shd w:val="clear" w:color="auto" w:fill="D9D9D6"/>
          </w:tcPr>
          <w:p>
            <w:pPr>
              <w:spacing w:after="0"/>
              <w:rPr>
                <w:sz w:val="17"/>
                <w:szCs w:val="17"/>
                <w:color w:val="auto"/>
              </w:rPr>
            </w:pP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(21.3</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7"/>
                <w:szCs w:val="17"/>
                <w:color w:val="auto"/>
              </w:rPr>
            </w:pPr>
          </w:p>
        </w:tc>
      </w:tr>
      <w:tr>
        <w:trPr>
          <w:trHeight w:val="418"/>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Eliminations</w:t>
            </w:r>
          </w:p>
        </w:tc>
        <w:tc>
          <w:tcPr>
            <w:tcW w:w="7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tcBorders>
              <w:right w:val="single" w:sz="8" w:color="D9D9D6"/>
            </w:tcBorders>
            <w:shd w:val="clear" w:color="auto" w:fill="D9D9D6"/>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($1,495)</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($1,358)</w:t>
            </w:r>
          </w:p>
        </w:tc>
        <w:tc>
          <w:tcPr>
            <w:tcW w:w="20" w:type="dxa"/>
            <w:vAlign w:val="bottom"/>
            <w:shd w:val="clear" w:color="auto" w:fill="D9D9D6"/>
          </w:tcPr>
          <w:p>
            <w:pPr>
              <w:spacing w:after="0"/>
              <w:rPr>
                <w:sz w:val="17"/>
                <w:szCs w:val="17"/>
                <w:color w:val="auto"/>
              </w:rPr>
            </w:pPr>
          </w:p>
        </w:tc>
        <w:tc>
          <w:tcPr>
            <w:tcW w:w="1100" w:type="dxa"/>
            <w:vAlign w:val="bottom"/>
            <w:tcBorders>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10.1 %</w:t>
            </w:r>
          </w:p>
        </w:tc>
        <w:tc>
          <w:tcPr>
            <w:tcW w:w="120" w:type="dxa"/>
            <w:vAlign w:val="bottom"/>
          </w:tcPr>
          <w:p>
            <w:pPr>
              <w:spacing w:after="0"/>
              <w:rPr>
                <w:sz w:val="17"/>
                <w:szCs w:val="17"/>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(1,436)</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(1,375)</w:t>
            </w:r>
          </w:p>
        </w:tc>
        <w:tc>
          <w:tcPr>
            <w:tcW w:w="20" w:type="dxa"/>
            <w:vAlign w:val="bottom"/>
            <w:tcBorders>
              <w:bottom w:val="single" w:sz="8" w:color="auto"/>
            </w:tcBorders>
            <w:shd w:val="clear" w:color="auto" w:fill="D9D9D6"/>
          </w:tcPr>
          <w:p>
            <w:pPr>
              <w:spacing w:after="0"/>
              <w:rPr>
                <w:sz w:val="17"/>
                <w:szCs w:val="17"/>
                <w:color w:val="auto"/>
              </w:rPr>
            </w:pPr>
          </w:p>
        </w:tc>
        <w:tc>
          <w:tcPr>
            <w:tcW w:w="1100" w:type="dxa"/>
            <w:vAlign w:val="bottom"/>
            <w:tcBorders>
              <w:bottom w:val="single" w:sz="8" w:color="auto"/>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4.5 %</w:t>
            </w:r>
          </w:p>
        </w:tc>
        <w:tc>
          <w:tcPr>
            <w:tcW w:w="120" w:type="dxa"/>
            <w:vAlign w:val="bottom"/>
          </w:tcPr>
          <w:p>
            <w:pPr>
              <w:spacing w:after="0"/>
              <w:rPr>
                <w:sz w:val="17"/>
                <w:szCs w:val="17"/>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($59)</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center"/>
              <w:ind w:left="628"/>
              <w:spacing w:after="0"/>
              <w:rPr>
                <w:sz w:val="20"/>
                <w:szCs w:val="20"/>
                <w:color w:val="auto"/>
              </w:rPr>
            </w:pPr>
            <w:r>
              <w:rPr>
                <w:rFonts w:ascii="Arial" w:cs="Arial" w:eastAsia="Arial" w:hAnsi="Arial"/>
                <w:sz w:val="14"/>
                <w:szCs w:val="14"/>
                <w:b w:val="1"/>
                <w:bCs w:val="1"/>
                <w:color w:val="auto"/>
              </w:rPr>
              <w:t>$16</w:t>
            </w:r>
          </w:p>
        </w:tc>
        <w:tc>
          <w:tcPr>
            <w:tcW w:w="2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520" w:type="dxa"/>
            <w:vAlign w:val="bottom"/>
            <w:tcBorders>
              <w:right w:val="single" w:sz="8" w:color="D9D9D6"/>
            </w:tcBorders>
            <w:gridSpan w:val="2"/>
            <w:shd w:val="clear" w:color="auto" w:fill="D9D9D6"/>
          </w:tcPr>
          <w:p>
            <w:pPr>
              <w:jc w:val="right"/>
              <w:ind w:right="48"/>
              <w:spacing w:after="0"/>
              <w:rPr>
                <w:sz w:val="20"/>
                <w:szCs w:val="20"/>
                <w:color w:val="auto"/>
              </w:rPr>
            </w:pPr>
            <w:r>
              <w:rPr>
                <w:rFonts w:ascii="Arial" w:cs="Arial" w:eastAsia="Arial" w:hAnsi="Arial"/>
                <w:sz w:val="14"/>
                <w:szCs w:val="14"/>
                <w:b w:val="1"/>
                <w:bCs w:val="1"/>
                <w:color w:val="auto"/>
              </w:rPr>
              <w:t>NM</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-1542415</wp:posOffset>
            </wp:positionV>
            <wp:extent cx="7063740" cy="1706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1706245"/>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NM=comparison not meaningful.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&amp; Other primarily includes overhead and personnel costs; our Sky-branded video services and television networks in Germany; Comcast Spectacor, which owns the Philadelphia Flyers and the Wells Fargo Center arena in Philadelphia, Pennsylvania; and Xumo. Corporate &amp; Other Adjusted EBITDA decreased primarily due to increased marketing associated with the Paris Olympics.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$1.5 billion, compared to $1.4 billion in the prior year period, and Adjusted EBITDA eliminations were a loss of $59 million compared to a benefit of $16 million in the prior year period. Current year amounts reflect an increase in eliminations associated with the Paris Olympics.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66"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Notes:</w:t>
      </w:r>
    </w:p>
    <w:p>
      <w:pPr>
        <w:spacing w:after="0" w:line="90"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5"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8"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5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See Table 6 for reconciliations of non-GAAP financial measures.</w:t>
      </w:r>
    </w:p>
    <w:p>
      <w:pPr>
        <w:spacing w:after="0" w:line="11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6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presented on a consistent basis with the respective segments and disaggregated in accordance with GAAP.</w:t>
      </w:r>
    </w:p>
    <w:p>
      <w:pPr>
        <w:spacing w:after="0" w:line="125"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7 From time to time, we may present adjusted information (e.g., Adjusted Revenues) to exclude the impact of certain events, gains, losses or other charges affecting period-to-period comparability of our operating performance. See Table 7 for reconciliations of non-GAAP financial measures.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Numerical information is presented on a rounded basis using actual amounts, unless otherwise noted. The change in Peacock paid subscribers is calculated using rounded paid subscriber amounts. Minor differences in totals and percentage calculations may exist due to rounding.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October 31, 2024,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A replay of the call will be available today, October 31, 2024, starting at 11:30 a.m. ET on the Investor Relations website.</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34" w:right="339" w:bottom="1440" w:gutter="0" w:footer="0" w:header="0"/>
        </w:sectPr>
      </w:pPr>
    </w:p>
    <w:bookmarkStart w:id="11" w:name="page12"/>
    <w:bookmarkEnd w:id="11"/>
    <w:tbl>
      <w:tblPr>
        <w:tblLayout w:type="fixed"/>
        <w:tblInd w:w="4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900" w:type="dxa"/>
            <w:vAlign w:val="bottom"/>
          </w:tcPr>
          <w:p>
            <w:pPr>
              <w:spacing w:after="0"/>
              <w:rPr>
                <w:sz w:val="18"/>
                <w:szCs w:val="18"/>
                <w:color w:val="auto"/>
              </w:rPr>
            </w:pPr>
          </w:p>
        </w:tc>
        <w:tc>
          <w:tcPr>
            <w:tcW w:w="3140" w:type="dxa"/>
            <w:vAlign w:val="bottom"/>
          </w:tcPr>
          <w:p>
            <w:pPr>
              <w:ind w:left="126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900" w:type="dxa"/>
            <w:vAlign w:val="bottom"/>
          </w:tcPr>
          <w:p>
            <w:pPr>
              <w:jc w:val="right"/>
              <w:ind w:right="1159"/>
              <w:spacing w:after="0"/>
              <w:rPr>
                <w:sz w:val="20"/>
                <w:szCs w:val="20"/>
                <w:color w:val="auto"/>
              </w:rPr>
            </w:pPr>
            <w:r>
              <w:rPr>
                <w:rFonts w:ascii="Arial" w:cs="Arial" w:eastAsia="Arial" w:hAnsi="Arial"/>
                <w:sz w:val="16"/>
                <w:szCs w:val="16"/>
                <w:color w:val="auto"/>
              </w:rPr>
              <w:t>(215) 286-4781</w:t>
            </w:r>
          </w:p>
        </w:tc>
        <w:tc>
          <w:tcPr>
            <w:tcW w:w="3140" w:type="dxa"/>
            <w:vAlign w:val="bottom"/>
          </w:tcPr>
          <w:p>
            <w:pPr>
              <w:ind w:left="126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900" w:type="dxa"/>
            <w:vAlign w:val="bottom"/>
          </w:tcPr>
          <w:p>
            <w:pPr>
              <w:jc w:val="right"/>
              <w:ind w:right="1159"/>
              <w:spacing w:after="0"/>
              <w:rPr>
                <w:sz w:val="20"/>
                <w:szCs w:val="20"/>
                <w:color w:val="auto"/>
              </w:rPr>
            </w:pPr>
            <w:r>
              <w:rPr>
                <w:rFonts w:ascii="Arial" w:cs="Arial" w:eastAsia="Arial" w:hAnsi="Arial"/>
                <w:sz w:val="16"/>
                <w:szCs w:val="16"/>
                <w:color w:val="auto"/>
              </w:rPr>
              <w:t>(215) 286-4794</w:t>
            </w:r>
          </w:p>
        </w:tc>
        <w:tc>
          <w:tcPr>
            <w:tcW w:w="3140" w:type="dxa"/>
            <w:vAlign w:val="bottom"/>
          </w:tcPr>
          <w:p>
            <w:pPr>
              <w:ind w:left="126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900" w:type="dxa"/>
            <w:vAlign w:val="bottom"/>
          </w:tcPr>
          <w:p>
            <w:pPr>
              <w:jc w:val="right"/>
              <w:ind w:right="1159"/>
              <w:spacing w:after="0"/>
              <w:rPr>
                <w:sz w:val="20"/>
                <w:szCs w:val="20"/>
                <w:color w:val="auto"/>
              </w:rPr>
            </w:pPr>
            <w:r>
              <w:rPr>
                <w:rFonts w:ascii="Arial" w:cs="Arial" w:eastAsia="Arial" w:hAnsi="Arial"/>
                <w:sz w:val="16"/>
                <w:szCs w:val="16"/>
                <w:color w:val="auto"/>
              </w:rPr>
              <w:t>(215) 286-6527</w:t>
            </w: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3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706"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346075</wp:posOffset>
            </wp:positionV>
            <wp:extent cx="102870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1</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September 30,</w:t>
            </w:r>
          </w:p>
        </w:tc>
        <w:tc>
          <w:tcPr>
            <w:tcW w:w="224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$32,070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$30,115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$91,817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$90,319</w:t>
            </w:r>
          </w:p>
        </w:tc>
        <w:tc>
          <w:tcPr>
            <w:tcW w:w="0" w:type="dxa"/>
            <w:vAlign w:val="bottom"/>
          </w:tcPr>
          <w:p>
            <w:pPr>
              <w:spacing w:after="0"/>
              <w:rPr>
                <w:sz w:val="1"/>
                <w:szCs w:val="1"/>
                <w:color w:val="auto"/>
              </w:rPr>
            </w:pPr>
          </w:p>
        </w:tc>
      </w:tr>
      <w:tr>
        <w:trPr>
          <w:trHeight w:val="477"/>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10,216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8,652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27,000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26,506</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1,989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5,929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5,929</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10,128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9,629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29,615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28,247</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2,219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6,548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6,662</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1,659</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4,421</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26,211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73,512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71,489</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5,859</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6,475</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18,304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18,830</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(1,037)</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(3,065)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(3,068)</w:t>
            </w:r>
          </w:p>
        </w:tc>
        <w:tc>
          <w:tcPr>
            <w:tcW w:w="0" w:type="dxa"/>
            <w:vAlign w:val="bottom"/>
          </w:tcPr>
          <w:p>
            <w:pPr>
              <w:spacing w:after="0"/>
              <w:rPr>
                <w:sz w:val="1"/>
                <w:szCs w:val="1"/>
                <w:color w:val="auto"/>
              </w:rPr>
            </w:pPr>
          </w:p>
        </w:tc>
      </w:tr>
      <w:tr>
        <w:trPr>
          <w:trHeight w:val="478"/>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(438)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4,819</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5,465</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15,099</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16,434</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(1,243)</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(3,906)</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(4,481)</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3,576</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3,997</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11,192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11,954</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(222)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$3,629</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$4,046</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$11,415</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$12,128</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$0.94</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$0.98</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$2.90</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94"/>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3,880</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3,930</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736"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372110</wp:posOffset>
            </wp:positionV>
            <wp:extent cx="102870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23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r>
      <w:tr>
        <w:trPr>
          <w:trHeight w:val="217"/>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2023</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$11,192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$11,954</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10,969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10,807</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983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955</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331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620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394</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(287)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(906)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(518)</w:t>
            </w: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(3,505)</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19,593</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22,579</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(8,267)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(8,922)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(2,043)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(2,405)</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689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(934)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(949)</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(10,559)</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(11,718)</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(repayments of) short-term borrowings, net</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6,268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6,046</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(2,433)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(3,041)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(6,920)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(7,770)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(3,624)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(3,586)</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(6,459)</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(9,136)</w:t>
            </w: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2,596</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1,707</w:t>
            </w: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6,282</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$8,878</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$6,489</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77"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346075</wp:posOffset>
            </wp:positionV>
            <wp:extent cx="1028700" cy="402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02590"/>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84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$8,814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$6,215</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14,036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13,813</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4,336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3,959</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27,186</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23,987</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13,340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12,920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9,021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9,385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61,775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59,686</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60,076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59,268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26,423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27,867</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12,686</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12,333</w:t>
            </w:r>
          </w:p>
        </w:tc>
        <w:tc>
          <w:tcPr>
            <w:tcW w:w="0" w:type="dxa"/>
            <w:vAlign w:val="bottom"/>
          </w:tcPr>
          <w:p>
            <w:pPr>
              <w:spacing w:after="0"/>
              <w:rPr>
                <w:sz w:val="1"/>
                <w:szCs w:val="1"/>
                <w:color w:val="auto"/>
              </w:rPr>
            </w:pPr>
          </w:p>
        </w:tc>
      </w:tr>
      <w:tr>
        <w:trPr>
          <w:trHeight w:val="385"/>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$269,871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$264,811</w:t>
            </w: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$11,779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$12,437</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participations and residuals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1,476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3,778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8,977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11,613</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2,610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2,069</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Advance on sale of investment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9,167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9,167</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37,786</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40,198</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Noncurrent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98,754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95,021</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26,263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26,003</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20,526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20,122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224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424"/>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85,774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82,703</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544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86,318</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83,226</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$269,871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$264,811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6"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-149225</wp:posOffset>
            </wp:positionV>
            <wp:extent cx="1028700" cy="403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0" cy="403225"/>
                    </a:xfrm>
                    <a:prstGeom prst="rect">
                      <a:avLst/>
                    </a:prstGeom>
                    <a:noFill/>
                  </pic:spPr>
                </pic:pic>
              </a:graphicData>
            </a:graphic>
          </wp:anchor>
        </w:drawing>
      </w:r>
    </w:p>
    <w:p>
      <w:pPr>
        <w:spacing w:after="0" w:line="184" w:lineRule="exact"/>
        <w:rPr>
          <w:sz w:val="20"/>
          <w:szCs w:val="20"/>
          <w:color w:val="auto"/>
        </w:rPr>
      </w:pPr>
    </w:p>
    <w:p>
      <w:pPr>
        <w:ind w:right="3320"/>
        <w:spacing w:after="0" w:line="249" w:lineRule="auto"/>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6883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94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0"/>
                <w:szCs w:val="20"/>
                <w:color w:val="auto"/>
              </w:rPr>
            </w:pPr>
          </w:p>
        </w:tc>
        <w:tc>
          <w:tcPr>
            <w:tcW w:w="196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820" w:type="dxa"/>
            <w:vAlign w:val="bottom"/>
          </w:tcPr>
          <w:p>
            <w:pPr>
              <w:spacing w:after="0"/>
              <w:rPr>
                <w:sz w:val="16"/>
                <w:szCs w:val="16"/>
                <w:color w:val="auto"/>
              </w:rPr>
            </w:pPr>
          </w:p>
        </w:tc>
        <w:tc>
          <w:tcPr>
            <w:tcW w:w="194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96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82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2023</w:t>
            </w:r>
          </w:p>
        </w:tc>
      </w:tr>
      <w:tr>
        <w:trPr>
          <w:trHeight w:val="196"/>
        </w:trPr>
        <w:tc>
          <w:tcPr>
            <w:tcW w:w="68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$3,629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$4,046</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$11,415</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$12,128</w:t>
            </w: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(222)</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Income tax expense</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1,243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1,468</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3,906</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4,481</w:t>
            </w: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Interest expense</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1,037</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3,065</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3,068</w:t>
            </w: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(672)</w:t>
            </w: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Depreciation</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2,219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2,203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6,548</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6,662</w:t>
            </w: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Amortization</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1,659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4,421</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4,146</w:t>
            </w:r>
          </w:p>
        </w:tc>
      </w:tr>
      <w:tr>
        <w:trPr>
          <w:trHeight w:val="205"/>
        </w:trPr>
        <w:tc>
          <w:tcPr>
            <w:tcW w:w="6820" w:type="dxa"/>
            <w:vAlign w:val="bottom"/>
          </w:tcPr>
          <w:p>
            <w:pPr>
              <w:spacing w:after="0" w:line="20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236"/>
        </w:trPr>
        <w:tc>
          <w:tcPr>
            <w:tcW w:w="68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$9,735</w:t>
            </w: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$29,261</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$29,621</w:t>
            </w:r>
          </w:p>
        </w:tc>
      </w:tr>
    </w:tbl>
    <w:p>
      <w:pPr>
        <w:spacing w:after="0" w:line="15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17780</wp:posOffset>
            </wp:positionV>
            <wp:extent cx="6883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6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680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96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8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2023</w:t>
            </w:r>
          </w:p>
        </w:tc>
      </w:tr>
      <w:tr>
        <w:trPr>
          <w:trHeight w:val="196"/>
        </w:trPr>
        <w:tc>
          <w:tcPr>
            <w:tcW w:w="68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$7,021</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$8,154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$19,593</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$22,579</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(2,913)</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(3,294)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(8,267)</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(8,922)</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(702)</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(2,043)</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(2,405)</w:t>
            </w:r>
          </w:p>
        </w:tc>
      </w:tr>
      <w:tr>
        <w:trPr>
          <w:trHeight w:val="237"/>
        </w:trPr>
        <w:tc>
          <w:tcPr>
            <w:tcW w:w="68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$3,406</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$4,032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$9,283</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$11,253</w:t>
            </w:r>
          </w:p>
        </w:tc>
      </w:tr>
    </w:tbl>
    <w:p>
      <w:pPr>
        <w:spacing w:after="0" w:line="7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17780</wp:posOffset>
            </wp:positionV>
            <wp:extent cx="6883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62"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6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680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96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8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2023</w:t>
            </w:r>
          </w:p>
        </w:tc>
      </w:tr>
      <w:tr>
        <w:trPr>
          <w:trHeight w:val="196"/>
        </w:trPr>
        <w:tc>
          <w:tcPr>
            <w:tcW w:w="68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$9,735</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$9,962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$29,261</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$29,621</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(2,913)</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(3,294)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(8,267)</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(8,922)</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(702)</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(2,043)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(2,405)</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Cash interest expense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(690)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(2,503)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(2,566)</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Cash taxes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(1,420)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(5,988)</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(3,823)</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(1,126)</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(2,652)</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(2,030)</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294</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983</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955</w:t>
            </w:r>
          </w:p>
        </w:tc>
      </w:tr>
      <w:tr>
        <w:trPr>
          <w:trHeight w:val="204"/>
        </w:trPr>
        <w:tc>
          <w:tcPr>
            <w:tcW w:w="6800" w:type="dxa"/>
            <w:vAlign w:val="bottom"/>
          </w:tcPr>
          <w:p>
            <w:pPr>
              <w:spacing w:after="0" w:line="20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228</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492</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423</w:t>
            </w:r>
          </w:p>
        </w:tc>
      </w:tr>
      <w:tr>
        <w:trPr>
          <w:trHeight w:val="236"/>
        </w:trPr>
        <w:tc>
          <w:tcPr>
            <w:tcW w:w="68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$3,406</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$4,032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$9,283</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$11,253</w:t>
            </w:r>
          </w:p>
        </w:tc>
      </w:tr>
    </w:tbl>
    <w:p>
      <w:pPr>
        <w:spacing w:after="0" w:line="31" w:lineRule="exact"/>
        <w:rPr>
          <w:sz w:val="20"/>
          <w:szCs w:val="20"/>
          <w:color w:val="auto"/>
        </w:rPr>
      </w:pPr>
    </w:p>
    <w:p>
      <w:pPr>
        <w:jc w:val="both"/>
        <w:ind w:left="460" w:right="40" w:hanging="358"/>
        <w:spacing w:after="0" w:line="197"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3rd quarter and year to date 2024 Adjusted EBITDA exclude $(2) and $(11) million of other operating and administrative expenses, respectively, related to our investment portfolio. 3rd quarter and year to date 2023 Adjusted EBITDA exclude $(6) and $(16) million of other operating and administrative expenses, respectively, related to our investment portfolio.</w:t>
      </w:r>
    </w:p>
    <w:p>
      <w:pPr>
        <w:spacing w:after="0" w:line="68" w:lineRule="exact"/>
        <w:rPr>
          <w:rFonts w:ascii="Arial" w:cs="Arial" w:eastAsia="Arial" w:hAnsi="Arial"/>
          <w:sz w:val="22"/>
          <w:szCs w:val="22"/>
          <w:color w:val="auto"/>
          <w:vertAlign w:val="superscript"/>
        </w:rPr>
      </w:pPr>
    </w:p>
    <w:p>
      <w:pPr>
        <w:ind w:left="460" w:right="320" w:hanging="358"/>
        <w:spacing w:after="0" w:line="188"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3rd quarter and year to date 2024 include adjustments of $(2) and $(11) million, respectively, related to our investment portfolio and 3rd quarter and year to date 2023 include adjustments of $(6) and $(16) million, respectively, related to our investment portfolio, as these amounts are excluded from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940"/>
          </w:cols>
          <w:pgMar w:left="440" w:top="898" w:right="519" w:bottom="1440" w:gutter="0" w:footer="0" w:header="0"/>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-174625</wp:posOffset>
            </wp:positionV>
            <wp:extent cx="102870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3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EPS</w:t>
            </w: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EPS</w:t>
            </w:r>
          </w:p>
        </w:tc>
        <w:tc>
          <w:tcPr>
            <w:tcW w:w="80" w:type="dxa"/>
            <w:vAlign w:val="bottom"/>
          </w:tcPr>
          <w:p>
            <w:pPr>
              <w:spacing w:after="0"/>
              <w:rPr>
                <w:sz w:val="15"/>
                <w:szCs w:val="15"/>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EPS</w:t>
            </w: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12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08"/>
        </w:trPr>
        <w:tc>
          <w:tcPr>
            <w:tcW w:w="4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w:t>
            </w: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300" w:type="dxa"/>
            <w:vAlign w:val="bottom"/>
          </w:tcPr>
          <w:p>
            <w:pPr>
              <w:ind w:left="160"/>
              <w:spacing w:after="0" w:line="145" w:lineRule="exact"/>
              <w:rPr>
                <w:sz w:val="20"/>
                <w:szCs w:val="20"/>
                <w:color w:val="auto"/>
              </w:rPr>
            </w:pPr>
            <w:r>
              <w:rPr>
                <w:rFonts w:ascii="Arial" w:cs="Arial" w:eastAsia="Arial" w:hAnsi="Arial"/>
                <w:sz w:val="14"/>
                <w:szCs w:val="14"/>
                <w:b w:val="1"/>
                <w:bCs w:val="1"/>
                <w:color w:val="auto"/>
              </w:rPr>
              <w:t>earnings per share attributable to Comcast Corporation</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$3,629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$0.94</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$0.98</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$11,415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$2.90</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$12,128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5"/>
        </w:trPr>
        <w:tc>
          <w:tcPr>
            <w:tcW w:w="4300" w:type="dxa"/>
            <w:vAlign w:val="bottom"/>
          </w:tcPr>
          <w:p>
            <w:pPr>
              <w:ind w:left="160"/>
              <w:spacing w:after="0"/>
              <w:rPr>
                <w:sz w:val="20"/>
                <w:szCs w:val="20"/>
                <w:color w:val="auto"/>
              </w:rPr>
            </w:pPr>
            <w:r>
              <w:rPr>
                <w:rFonts w:ascii="Arial" w:cs="Arial" w:eastAsia="Arial" w:hAnsi="Arial"/>
                <w:sz w:val="14"/>
                <w:szCs w:val="14"/>
                <w:b w:val="1"/>
                <w:bCs w:val="1"/>
                <w:color w:val="auto"/>
              </w:rPr>
              <w:t>shareholders</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(10.3 %)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(4.2 %)</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(5.9 %)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0.2 %</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30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252"/>
        </w:trPr>
        <w:tc>
          <w:tcPr>
            <w:tcW w:w="4300" w:type="dxa"/>
            <w:vAlign w:val="bottom"/>
          </w:tcPr>
          <w:p>
            <w:pPr>
              <w:spacing w:after="0"/>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39"/>
        </w:trPr>
        <w:tc>
          <w:tcPr>
            <w:tcW w:w="430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$4,337</w:t>
            </w:r>
          </w:p>
        </w:tc>
        <w:tc>
          <w:tcPr>
            <w:tcW w:w="10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$4,483</w:t>
            </w:r>
          </w:p>
        </w:tc>
        <w:tc>
          <w:tcPr>
            <w:tcW w:w="8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$13,243</w:t>
            </w:r>
          </w:p>
        </w:tc>
        <w:tc>
          <w:tcPr>
            <w:tcW w:w="10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$3.37</w:t>
            </w: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$13,083</w:t>
            </w:r>
          </w:p>
        </w:tc>
        <w:tc>
          <w:tcPr>
            <w:tcW w:w="10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(3.3 %)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3.3 %</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1.2 %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7.7 %</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260" w:right="40" w:hanging="252"/>
        <w:spacing w:after="0" w:line="251" w:lineRule="auto"/>
        <w:tabs>
          <w:tab w:leader="none" w:pos="252"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ind w:left="360"/>
              <w:spacing w:after="0"/>
              <w:rPr>
                <w:sz w:val="20"/>
                <w:szCs w:val="20"/>
                <w:color w:val="auto"/>
              </w:rPr>
            </w:pPr>
            <w:r>
              <w:rPr>
                <w:rFonts w:ascii="Arial" w:cs="Arial" w:eastAsia="Arial" w:hAnsi="Arial"/>
                <w:sz w:val="13"/>
                <w:szCs w:val="13"/>
                <w:color w:val="auto"/>
              </w:rPr>
              <w:t>Nine Months Ended</w:t>
            </w:r>
          </w:p>
        </w:tc>
      </w:tr>
      <w:tr>
        <w:trPr>
          <w:trHeight w:val="166"/>
        </w:trPr>
        <w:tc>
          <w:tcPr>
            <w:tcW w:w="670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6"/>
              </w:rPr>
              <w:t>September 30,</w:t>
            </w:r>
          </w:p>
        </w:tc>
        <w:tc>
          <w:tcPr>
            <w:tcW w:w="1820" w:type="dxa"/>
            <w:vAlign w:val="bottom"/>
            <w:gridSpan w:val="3"/>
          </w:tcPr>
          <w:p>
            <w:pPr>
              <w:ind w:left="500"/>
              <w:spacing w:after="0"/>
              <w:rPr>
                <w:sz w:val="20"/>
                <w:szCs w:val="20"/>
                <w:color w:val="auto"/>
              </w:rPr>
            </w:pPr>
            <w:r>
              <w:rPr>
                <w:rFonts w:ascii="Arial" w:cs="Arial" w:eastAsia="Arial" w:hAnsi="Arial"/>
                <w:sz w:val="13"/>
                <w:szCs w:val="13"/>
                <w:color w:val="auto"/>
              </w:rPr>
              <w:t>September 30,</w:t>
            </w: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r>
      <w:tr>
        <w:trPr>
          <w:trHeight w:val="171"/>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$817</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w:t>
            </w:r>
          </w:p>
        </w:tc>
        <w:tc>
          <w:tcPr>
            <w:tcW w:w="220" w:type="dxa"/>
            <w:vAlign w:val="bottom"/>
          </w:tcPr>
          <w:p>
            <w:pPr>
              <w:spacing w:after="0"/>
              <w:rPr>
                <w:sz w:val="14"/>
                <w:szCs w:val="14"/>
                <w:color w:val="auto"/>
              </w:rPr>
            </w:pPr>
          </w:p>
        </w:tc>
        <w:tc>
          <w:tcPr>
            <w:tcW w:w="8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$1,949</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$1,699</w:t>
            </w:r>
          </w:p>
        </w:tc>
      </w:tr>
      <w:tr>
        <w:trPr>
          <w:trHeight w:val="174"/>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$624</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w:t>
            </w:r>
          </w:p>
        </w:tc>
        <w:tc>
          <w:tcPr>
            <w:tcW w:w="220" w:type="dxa"/>
            <w:vAlign w:val="bottom"/>
          </w:tcPr>
          <w:p>
            <w:pPr>
              <w:spacing w:after="0"/>
              <w:rPr>
                <w:sz w:val="15"/>
                <w:szCs w:val="15"/>
                <w:color w:val="auto"/>
              </w:rPr>
            </w:pPr>
          </w:p>
        </w:tc>
        <w:tc>
          <w:tcPr>
            <w:tcW w:w="8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$1,494</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$1,318</w:t>
            </w:r>
          </w:p>
        </w:tc>
      </w:tr>
      <w:tr>
        <w:trPr>
          <w:trHeight w:val="21"/>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60" w:right="220" w:hanging="252"/>
        <w:spacing w:after="0" w:line="264"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97"/>
              <w:spacing w:after="0"/>
              <w:rPr>
                <w:sz w:val="20"/>
                <w:szCs w:val="20"/>
                <w:color w:val="auto"/>
              </w:rPr>
            </w:pPr>
            <w:r>
              <w:rPr>
                <w:rFonts w:ascii="Arial" w:cs="Arial" w:eastAsia="Arial" w:hAnsi="Arial"/>
                <w:sz w:val="13"/>
                <w:szCs w:val="13"/>
                <w:color w:val="auto"/>
              </w:rPr>
              <w:t>Nine Months Ended</w:t>
            </w:r>
          </w:p>
        </w:tc>
      </w:tr>
      <w:tr>
        <w:trPr>
          <w:trHeight w:val="166"/>
        </w:trPr>
        <w:tc>
          <w:tcPr>
            <w:tcW w:w="670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6"/>
              </w:rPr>
              <w:t>September 30,</w:t>
            </w:r>
          </w:p>
        </w:tc>
        <w:tc>
          <w:tcPr>
            <w:tcW w:w="1820" w:type="dxa"/>
            <w:vAlign w:val="bottom"/>
            <w:gridSpan w:val="3"/>
          </w:tcPr>
          <w:p>
            <w:pPr>
              <w:jc w:val="right"/>
              <w:ind w:right="437"/>
              <w:spacing w:after="0"/>
              <w:rPr>
                <w:sz w:val="20"/>
                <w:szCs w:val="20"/>
                <w:color w:val="auto"/>
              </w:rPr>
            </w:pPr>
            <w:r>
              <w:rPr>
                <w:rFonts w:ascii="Arial" w:cs="Arial" w:eastAsia="Arial" w:hAnsi="Arial"/>
                <w:sz w:val="13"/>
                <w:szCs w:val="13"/>
                <w:color w:val="auto"/>
              </w:rPr>
              <w:t>September 30,</w:t>
            </w: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$22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$87</w:t>
            </w: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$163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179"/>
        </w:trPr>
        <w:tc>
          <w:tcPr>
            <w:tcW w:w="670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275</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(614)</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109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438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(484)</w:t>
            </w:r>
          </w:p>
        </w:tc>
      </w:tr>
      <w:tr>
        <w:trPr>
          <w:trHeight w:val="185"/>
        </w:trPr>
        <w:tc>
          <w:tcPr>
            <w:tcW w:w="670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858"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6089015</wp:posOffset>
            </wp:positionH>
            <wp:positionV relativeFrom="page">
              <wp:posOffset>560705</wp:posOffset>
            </wp:positionV>
            <wp:extent cx="1217295" cy="480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80060"/>
                    </a:xfrm>
                    <a:prstGeom prst="rect">
                      <a:avLst/>
                    </a:prstGeom>
                    <a:noFill/>
                  </pic:spPr>
                </pic:pic>
              </a:graphicData>
            </a:graphic>
          </wp:anchor>
        </w:drawing>
        <w:t>TABLE 6</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Constant Currency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0891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220" w:type="dxa"/>
            <w:vAlign w:val="bottom"/>
          </w:tcPr>
          <w:p>
            <w:pPr>
              <w:spacing w:after="0"/>
              <w:rPr>
                <w:sz w:val="24"/>
                <w:szCs w:val="24"/>
                <w:color w:val="auto"/>
              </w:rPr>
            </w:pPr>
          </w:p>
        </w:tc>
        <w:tc>
          <w:tcPr>
            <w:tcW w:w="340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2500" w:type="dxa"/>
            <w:vAlign w:val="bottom"/>
            <w:gridSpan w:val="5"/>
          </w:tcPr>
          <w:p>
            <w:pPr>
              <w:jc w:val="center"/>
              <w:ind w:left="819"/>
              <w:spacing w:after="0"/>
              <w:rPr>
                <w:sz w:val="20"/>
                <w:szCs w:val="20"/>
                <w:color w:val="auto"/>
              </w:rPr>
            </w:pPr>
            <w:r>
              <w:rPr>
                <w:rFonts w:ascii="Arial" w:cs="Arial" w:eastAsia="Arial" w:hAnsi="Arial"/>
                <w:sz w:val="16"/>
                <w:szCs w:val="16"/>
                <w:b w:val="1"/>
                <w:bCs w:val="1"/>
                <w:color w:val="auto"/>
              </w:rPr>
              <w:t>Nine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18"/>
                <w:szCs w:val="18"/>
                <w:color w:val="auto"/>
              </w:rPr>
            </w:pPr>
          </w:p>
        </w:tc>
        <w:tc>
          <w:tcPr>
            <w:tcW w:w="340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rPr>
              <w:t>September 30, 2023</w:t>
            </w:r>
          </w:p>
        </w:tc>
        <w:tc>
          <w:tcPr>
            <w:tcW w:w="120" w:type="dxa"/>
            <w:vAlign w:val="bottom"/>
          </w:tcPr>
          <w:p>
            <w:pPr>
              <w:spacing w:after="0"/>
              <w:rPr>
                <w:sz w:val="18"/>
                <w:szCs w:val="18"/>
                <w:color w:val="auto"/>
              </w:rPr>
            </w:pPr>
          </w:p>
        </w:tc>
        <w:tc>
          <w:tcPr>
            <w:tcW w:w="2500" w:type="dxa"/>
            <w:vAlign w:val="bottom"/>
            <w:gridSpan w:val="5"/>
          </w:tcPr>
          <w:p>
            <w:pPr>
              <w:jc w:val="center"/>
              <w:ind w:left="819"/>
              <w:spacing w:after="0"/>
              <w:rPr>
                <w:sz w:val="20"/>
                <w:szCs w:val="20"/>
                <w:color w:val="auto"/>
              </w:rPr>
            </w:pPr>
            <w:r>
              <w:rPr>
                <w:rFonts w:ascii="Arial" w:cs="Arial" w:eastAsia="Arial" w:hAnsi="Arial"/>
                <w:sz w:val="16"/>
                <w:szCs w:val="16"/>
                <w:b w:val="1"/>
                <w:bCs w:val="1"/>
                <w:color w:val="auto"/>
              </w:rPr>
              <w:t>September 30, 2023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line="163" w:lineRule="exact"/>
              <w:rPr>
                <w:sz w:val="20"/>
                <w:szCs w:val="20"/>
                <w:color w:val="auto"/>
              </w:rPr>
            </w:pPr>
            <w:r>
              <w:rPr>
                <w:rFonts w:ascii="Arial" w:cs="Arial" w:eastAsia="Arial" w:hAnsi="Arial"/>
                <w:sz w:val="16"/>
                <w:szCs w:val="16"/>
                <w:color w:val="auto"/>
              </w:rPr>
              <w:t>Effects of</w:t>
            </w:r>
          </w:p>
        </w:tc>
        <w:tc>
          <w:tcPr>
            <w:tcW w:w="1240" w:type="dxa"/>
            <w:vAlign w:val="bottom"/>
            <w:tcBorders>
              <w:right w:val="single" w:sz="8" w:color="auto"/>
            </w:tcBorders>
            <w:gridSpan w:val="2"/>
          </w:tcPr>
          <w:p>
            <w:pPr>
              <w:ind w:left="220"/>
              <w:spacing w:after="0" w:line="163" w:lineRule="exact"/>
              <w:rPr>
                <w:sz w:val="20"/>
                <w:szCs w:val="20"/>
                <w:color w:val="auto"/>
              </w:rPr>
            </w:pPr>
            <w:r>
              <w:rPr>
                <w:rFonts w:ascii="Arial" w:cs="Arial" w:eastAsia="Arial" w:hAnsi="Arial"/>
                <w:sz w:val="16"/>
                <w:szCs w:val="16"/>
                <w:color w:val="auto"/>
              </w:rPr>
              <w:t>Constant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320"/>
              <w:spacing w:after="0" w:line="163" w:lineRule="exact"/>
              <w:rPr>
                <w:sz w:val="20"/>
                <w:szCs w:val="20"/>
                <w:color w:val="auto"/>
              </w:rPr>
            </w:pPr>
            <w:r>
              <w:rPr>
                <w:rFonts w:ascii="Arial" w:cs="Arial" w:eastAsia="Arial" w:hAnsi="Arial"/>
                <w:sz w:val="16"/>
                <w:szCs w:val="16"/>
                <w:color w:val="auto"/>
              </w:rPr>
              <w:t>Effects of</w:t>
            </w:r>
          </w:p>
        </w:tc>
        <w:tc>
          <w:tcPr>
            <w:tcW w:w="920" w:type="dxa"/>
            <w:vAlign w:val="bottom"/>
          </w:tcPr>
          <w:p>
            <w:pPr>
              <w:jc w:val="right"/>
              <w:ind w:right="15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22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140" w:type="dxa"/>
            <w:vAlign w:val="bottom"/>
            <w:gridSpan w:val="2"/>
            <w:vMerge w:val="restart"/>
          </w:tcPr>
          <w:p>
            <w:pPr>
              <w:ind w:left="80"/>
              <w:spacing w:after="0"/>
              <w:rPr>
                <w:sz w:val="20"/>
                <w:szCs w:val="20"/>
                <w:color w:val="auto"/>
              </w:rPr>
            </w:pPr>
            <w:r>
              <w:rPr>
                <w:rFonts w:ascii="Arial" w:cs="Arial" w:eastAsia="Arial" w:hAnsi="Arial"/>
                <w:sz w:val="16"/>
                <w:szCs w:val="16"/>
                <w:color w:val="auto"/>
              </w:rPr>
              <w:t>As Reported</w:t>
            </w:r>
          </w:p>
        </w:tc>
        <w:tc>
          <w:tcPr>
            <w:tcW w:w="10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9"/>
              </w:rPr>
              <w:t>Foreign</w:t>
            </w:r>
          </w:p>
        </w:tc>
        <w:tc>
          <w:tcPr>
            <w:tcW w:w="1240" w:type="dxa"/>
            <w:vAlign w:val="bottom"/>
            <w:tcBorders>
              <w:right w:val="single" w:sz="8" w:color="auto"/>
            </w:tcBorders>
            <w:gridSpan w:val="2"/>
          </w:tcPr>
          <w:p>
            <w:pPr>
              <w:ind w:left="220"/>
              <w:spacing w:after="0" w:line="162" w:lineRule="exact"/>
              <w:rPr>
                <w:sz w:val="20"/>
                <w:szCs w:val="20"/>
                <w:color w:val="auto"/>
              </w:rPr>
            </w:pPr>
            <w:r>
              <w:rPr>
                <w:rFonts w:ascii="Arial" w:cs="Arial" w:eastAsia="Arial" w:hAnsi="Arial"/>
                <w:sz w:val="16"/>
                <w:szCs w:val="16"/>
                <w:color w:val="auto"/>
              </w:rPr>
              <w:t>Currency</w:t>
            </w:r>
          </w:p>
        </w:tc>
        <w:tc>
          <w:tcPr>
            <w:tcW w:w="12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color w:val="auto"/>
              </w:rPr>
              <w:t>As Reported</w:t>
            </w:r>
          </w:p>
        </w:tc>
        <w:tc>
          <w:tcPr>
            <w:tcW w:w="1280" w:type="dxa"/>
            <w:vAlign w:val="bottom"/>
            <w:gridSpan w:val="3"/>
          </w:tcPr>
          <w:p>
            <w:pPr>
              <w:jc w:val="center"/>
              <w:ind w:right="300"/>
              <w:spacing w:after="0" w:line="162" w:lineRule="exact"/>
              <w:rPr>
                <w:sz w:val="20"/>
                <w:szCs w:val="20"/>
                <w:color w:val="auto"/>
              </w:rPr>
            </w:pPr>
            <w:r>
              <w:rPr>
                <w:rFonts w:ascii="Arial" w:cs="Arial" w:eastAsia="Arial" w:hAnsi="Arial"/>
                <w:sz w:val="16"/>
                <w:szCs w:val="16"/>
                <w:color w:val="auto"/>
                <w:w w:val="99"/>
              </w:rPr>
              <w:t>Foreign</w:t>
            </w:r>
          </w:p>
        </w:tc>
        <w:tc>
          <w:tcPr>
            <w:tcW w:w="92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42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color w:val="auto"/>
              </w:rPr>
              <w:t>Currency</w:t>
            </w:r>
          </w:p>
        </w:tc>
        <w:tc>
          <w:tcPr>
            <w:tcW w:w="124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Amounts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6"/>
                <w:szCs w:val="16"/>
                <w:color w:val="auto"/>
              </w:rPr>
              <w:t>Currency</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3"/>
        </w:trPr>
        <w:tc>
          <w:tcPr>
            <w:tcW w:w="422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Connectivity &amp; Platforms Constant</w:t>
            </w: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160"/>
              <w:spacing w:after="0"/>
              <w:rPr>
                <w:sz w:val="20"/>
                <w:szCs w:val="20"/>
                <w:color w:val="auto"/>
              </w:rPr>
            </w:pPr>
            <w:r>
              <w:rPr>
                <w:rFonts w:ascii="Arial" w:cs="Arial" w:eastAsia="Arial" w:hAnsi="Arial"/>
                <w:sz w:val="16"/>
                <w:szCs w:val="16"/>
                <w:b w:val="1"/>
                <w:bCs w:val="1"/>
                <w:color w:val="auto"/>
              </w:rPr>
              <w:t>Currency</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6"/>
                <w:szCs w:val="16"/>
                <w:b w:val="1"/>
                <w:bCs w:val="1"/>
                <w:color w:val="auto"/>
              </w:rPr>
              <w:t>Connectivity &amp; Platforms Revenue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40" w:type="dxa"/>
            <w:vAlign w:val="bottom"/>
          </w:tcPr>
          <w:p>
            <w:pPr>
              <w:jc w:val="right"/>
              <w:spacing w:after="0"/>
              <w:rPr>
                <w:sz w:val="20"/>
                <w:szCs w:val="20"/>
                <w:color w:val="auto"/>
              </w:rPr>
            </w:pPr>
            <w:r>
              <w:rPr>
                <w:rFonts w:ascii="Arial" w:cs="Arial" w:eastAsia="Arial" w:hAnsi="Arial"/>
                <w:sz w:val="16"/>
                <w:szCs w:val="16"/>
                <w:color w:val="auto"/>
              </w:rPr>
              <w:t>$17,951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$18,050</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$53,888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$54,141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40" w:type="dxa"/>
            <w:vAlign w:val="bottom"/>
          </w:tcPr>
          <w:p>
            <w:pPr>
              <w:jc w:val="right"/>
              <w:spacing w:after="0"/>
              <w:rPr>
                <w:sz w:val="20"/>
                <w:szCs w:val="20"/>
                <w:color w:val="auto"/>
              </w:rPr>
            </w:pPr>
            <w:r>
              <w:rPr>
                <w:rFonts w:ascii="Arial" w:cs="Arial" w:eastAsia="Arial" w:hAnsi="Arial"/>
                <w:sz w:val="16"/>
                <w:szCs w:val="16"/>
                <w:color w:val="auto"/>
              </w:rPr>
              <w:t>2,320</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2,320</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6,894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6,895</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Revenue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$20,271</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$20,370</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$60,783</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$61,037</w:t>
            </w:r>
          </w:p>
        </w:tc>
        <w:tc>
          <w:tcPr>
            <w:tcW w:w="0" w:type="dxa"/>
            <w:vAlign w:val="bottom"/>
          </w:tcPr>
          <w:p>
            <w:pPr>
              <w:spacing w:after="0"/>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6"/>
                <w:szCs w:val="16"/>
                <w:b w:val="1"/>
                <w:bCs w:val="1"/>
                <w:color w:val="auto"/>
              </w:rPr>
              <w:t>Connectivity and Platforms Adjusted EBITDA</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40" w:type="dxa"/>
            <w:vAlign w:val="bottom"/>
          </w:tcPr>
          <w:p>
            <w:pPr>
              <w:jc w:val="right"/>
              <w:spacing w:after="0"/>
              <w:rPr>
                <w:sz w:val="20"/>
                <w:szCs w:val="20"/>
                <w:color w:val="auto"/>
              </w:rPr>
            </w:pPr>
            <w:r>
              <w:rPr>
                <w:rFonts w:ascii="Arial" w:cs="Arial" w:eastAsia="Arial" w:hAnsi="Arial"/>
                <w:sz w:val="16"/>
                <w:szCs w:val="16"/>
                <w:color w:val="auto"/>
              </w:rPr>
              <w:t>$6,886</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$6,902</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$20,672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$20,711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$8,221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$8,237</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$24,660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$24,699</w:t>
            </w:r>
          </w:p>
        </w:tc>
        <w:tc>
          <w:tcPr>
            <w:tcW w:w="0" w:type="dxa"/>
            <w:vAlign w:val="bottom"/>
          </w:tcPr>
          <w:p>
            <w:pPr>
              <w:spacing w:after="0"/>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6"/>
                <w:szCs w:val="16"/>
                <w:b w:val="1"/>
                <w:bCs w:val="1"/>
                <w:color w:val="auto"/>
              </w:rPr>
              <w:t>Connectivity &amp; Platforms Adjusted EBITDA Margin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40" w:type="dxa"/>
            <w:vAlign w:val="bottom"/>
          </w:tcPr>
          <w:p>
            <w:pPr>
              <w:jc w:val="right"/>
              <w:spacing w:after="0"/>
              <w:rPr>
                <w:sz w:val="20"/>
                <w:szCs w:val="20"/>
                <w:color w:val="auto"/>
              </w:rPr>
            </w:pPr>
            <w:r>
              <w:rPr>
                <w:rFonts w:ascii="Arial" w:cs="Arial" w:eastAsia="Arial" w:hAnsi="Arial"/>
                <w:sz w:val="16"/>
                <w:szCs w:val="16"/>
                <w:color w:val="auto"/>
              </w:rPr>
              <w:t>38.4 %</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(20) bps</w:t>
            </w:r>
          </w:p>
        </w:tc>
        <w:tc>
          <w:tcPr>
            <w:tcW w:w="1080" w:type="dxa"/>
            <w:vAlign w:val="bottom"/>
          </w:tcPr>
          <w:p>
            <w:pPr>
              <w:jc w:val="right"/>
              <w:spacing w:after="0"/>
              <w:rPr>
                <w:sz w:val="20"/>
                <w:szCs w:val="20"/>
                <w:color w:val="auto"/>
              </w:rPr>
            </w:pPr>
            <w:r>
              <w:rPr>
                <w:rFonts w:ascii="Arial" w:cs="Arial" w:eastAsia="Arial" w:hAnsi="Arial"/>
                <w:sz w:val="16"/>
                <w:szCs w:val="16"/>
                <w:color w:val="auto"/>
              </w:rPr>
              <w:t>38.2 %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38.4 %</w:t>
            </w:r>
          </w:p>
        </w:tc>
        <w:tc>
          <w:tcPr>
            <w:tcW w:w="120" w:type="dxa"/>
            <w:vAlign w:val="bottom"/>
          </w:tcPr>
          <w:p>
            <w:pPr>
              <w:spacing w:after="0"/>
              <w:rPr>
                <w:sz w:val="18"/>
                <w:szCs w:val="18"/>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6"/>
                <w:szCs w:val="16"/>
                <w:color w:val="auto"/>
              </w:rPr>
              <w:t>(10) bps</w:t>
            </w:r>
          </w:p>
        </w:tc>
        <w:tc>
          <w:tcPr>
            <w:tcW w:w="920" w:type="dxa"/>
            <w:vAlign w:val="bottom"/>
          </w:tcPr>
          <w:p>
            <w:pPr>
              <w:jc w:val="right"/>
              <w:spacing w:after="0"/>
              <w:rPr>
                <w:sz w:val="20"/>
                <w:szCs w:val="20"/>
                <w:color w:val="auto"/>
              </w:rPr>
            </w:pPr>
            <w:r>
              <w:rPr>
                <w:rFonts w:ascii="Arial" w:cs="Arial" w:eastAsia="Arial" w:hAnsi="Arial"/>
                <w:sz w:val="16"/>
                <w:szCs w:val="16"/>
                <w:color w:val="auto"/>
              </w:rPr>
              <w:t>38.3 %</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57.5 %</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bps</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57.8 %</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bps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57.8 %</w:t>
            </w:r>
          </w:p>
        </w:tc>
        <w:tc>
          <w:tcPr>
            <w:tcW w:w="0" w:type="dxa"/>
            <w:vAlign w:val="bottom"/>
          </w:tcPr>
          <w:p>
            <w:pPr>
              <w:spacing w:after="0"/>
              <w:rPr>
                <w:sz w:val="1"/>
                <w:szCs w:val="1"/>
                <w:color w:val="auto"/>
              </w:rPr>
            </w:pPr>
          </w:p>
        </w:tc>
      </w:tr>
      <w:tr>
        <w:trPr>
          <w:trHeight w:val="144"/>
        </w:trPr>
        <w:tc>
          <w:tcPr>
            <w:tcW w:w="4220" w:type="dxa"/>
            <w:vAlign w:val="bottom"/>
          </w:tcPr>
          <w:p>
            <w:pPr>
              <w:spacing w:after="0" w:line="144" w:lineRule="exact"/>
              <w:rPr>
                <w:sz w:val="20"/>
                <w:szCs w:val="20"/>
                <w:color w:val="auto"/>
              </w:rPr>
            </w:pPr>
            <w:r>
              <w:rPr>
                <w:rFonts w:ascii="Arial" w:cs="Arial" w:eastAsia="Arial" w:hAnsi="Arial"/>
                <w:sz w:val="16"/>
                <w:szCs w:val="16"/>
                <w:b w:val="1"/>
                <w:bCs w:val="1"/>
                <w:color w:val="auto"/>
              </w:rPr>
              <w:t>Total Connectivity &amp; Platforms Adjusted EBITDA</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40.6 %</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(20) bps</w:t>
            </w: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40.4 %</w:t>
            </w: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40.6 %</w:t>
            </w:r>
          </w:p>
        </w:tc>
        <w:tc>
          <w:tcPr>
            <w:tcW w:w="120" w:type="dxa"/>
            <w:vAlign w:val="bottom"/>
          </w:tcPr>
          <w:p>
            <w:pPr>
              <w:spacing w:after="0"/>
              <w:rPr>
                <w:sz w:val="12"/>
                <w:szCs w:val="12"/>
                <w:color w:val="auto"/>
              </w:rPr>
            </w:pPr>
          </w:p>
        </w:tc>
        <w:tc>
          <w:tcPr>
            <w:tcW w:w="1280" w:type="dxa"/>
            <w:vAlign w:val="bottom"/>
            <w:gridSpan w:val="3"/>
            <w:vMerge w:val="restart"/>
          </w:tcPr>
          <w:p>
            <w:pPr>
              <w:jc w:val="right"/>
              <w:ind w:right="320"/>
              <w:spacing w:after="0"/>
              <w:rPr>
                <w:sz w:val="20"/>
                <w:szCs w:val="20"/>
                <w:color w:val="auto"/>
              </w:rPr>
            </w:pPr>
            <w:r>
              <w:rPr>
                <w:rFonts w:ascii="Arial" w:cs="Arial" w:eastAsia="Arial" w:hAnsi="Arial"/>
                <w:sz w:val="16"/>
                <w:szCs w:val="16"/>
                <w:b w:val="1"/>
                <w:bCs w:val="1"/>
                <w:color w:val="auto"/>
              </w:rPr>
              <w:t>(10) bps</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40.5 %</w:t>
            </w:r>
          </w:p>
        </w:tc>
        <w:tc>
          <w:tcPr>
            <w:tcW w:w="0" w:type="dxa"/>
            <w:vAlign w:val="bottom"/>
          </w:tcPr>
          <w:p>
            <w:pPr>
              <w:spacing w:after="0"/>
              <w:rPr>
                <w:sz w:val="1"/>
                <w:szCs w:val="1"/>
                <w:color w:val="auto"/>
              </w:rPr>
            </w:pPr>
          </w:p>
        </w:tc>
      </w:tr>
      <w:tr>
        <w:trPr>
          <w:trHeight w:val="223"/>
        </w:trPr>
        <w:tc>
          <w:tcPr>
            <w:tcW w:w="4220" w:type="dxa"/>
            <w:vAlign w:val="bottom"/>
          </w:tcPr>
          <w:p>
            <w:pPr>
              <w:ind w:left="160"/>
              <w:spacing w:after="0"/>
              <w:rPr>
                <w:sz w:val="20"/>
                <w:szCs w:val="20"/>
                <w:color w:val="auto"/>
              </w:rPr>
            </w:pPr>
            <w:r>
              <w:rPr>
                <w:rFonts w:ascii="Arial" w:cs="Arial" w:eastAsia="Arial" w:hAnsi="Arial"/>
                <w:sz w:val="16"/>
                <w:szCs w:val="16"/>
                <w:b w:val="1"/>
                <w:bCs w:val="1"/>
                <w:color w:val="auto"/>
              </w:rPr>
              <w:t>Margin</w:t>
            </w: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220" w:type="dxa"/>
            <w:vAlign w:val="bottom"/>
          </w:tcPr>
          <w:p>
            <w:pPr>
              <w:spacing w:after="0"/>
              <w:rPr>
                <w:sz w:val="24"/>
                <w:szCs w:val="24"/>
                <w:color w:val="auto"/>
              </w:rPr>
            </w:pPr>
          </w:p>
        </w:tc>
        <w:tc>
          <w:tcPr>
            <w:tcW w:w="340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2500" w:type="dxa"/>
            <w:vAlign w:val="bottom"/>
            <w:gridSpan w:val="5"/>
          </w:tcPr>
          <w:p>
            <w:pPr>
              <w:jc w:val="center"/>
              <w:ind w:left="819"/>
              <w:spacing w:after="0"/>
              <w:rPr>
                <w:sz w:val="20"/>
                <w:szCs w:val="20"/>
                <w:color w:val="auto"/>
              </w:rPr>
            </w:pPr>
            <w:r>
              <w:rPr>
                <w:rFonts w:ascii="Arial" w:cs="Arial" w:eastAsia="Arial" w:hAnsi="Arial"/>
                <w:sz w:val="16"/>
                <w:szCs w:val="16"/>
                <w:b w:val="1"/>
                <w:bCs w:val="1"/>
                <w:color w:val="auto"/>
              </w:rPr>
              <w:t>Nine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18"/>
                <w:szCs w:val="18"/>
                <w:color w:val="auto"/>
              </w:rPr>
            </w:pPr>
          </w:p>
        </w:tc>
        <w:tc>
          <w:tcPr>
            <w:tcW w:w="340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rPr>
              <w:t>September 30, 2023</w:t>
            </w:r>
          </w:p>
        </w:tc>
        <w:tc>
          <w:tcPr>
            <w:tcW w:w="120" w:type="dxa"/>
            <w:vAlign w:val="bottom"/>
          </w:tcPr>
          <w:p>
            <w:pPr>
              <w:spacing w:after="0"/>
              <w:rPr>
                <w:sz w:val="18"/>
                <w:szCs w:val="18"/>
                <w:color w:val="auto"/>
              </w:rPr>
            </w:pPr>
          </w:p>
        </w:tc>
        <w:tc>
          <w:tcPr>
            <w:tcW w:w="2500" w:type="dxa"/>
            <w:vAlign w:val="bottom"/>
            <w:gridSpan w:val="5"/>
          </w:tcPr>
          <w:p>
            <w:pPr>
              <w:jc w:val="center"/>
              <w:ind w:left="819"/>
              <w:spacing w:after="0"/>
              <w:rPr>
                <w:sz w:val="20"/>
                <w:szCs w:val="20"/>
                <w:color w:val="auto"/>
              </w:rPr>
            </w:pPr>
            <w:r>
              <w:rPr>
                <w:rFonts w:ascii="Arial" w:cs="Arial" w:eastAsia="Arial" w:hAnsi="Arial"/>
                <w:sz w:val="16"/>
                <w:szCs w:val="16"/>
                <w:b w:val="1"/>
                <w:bCs w:val="1"/>
                <w:color w:val="auto"/>
              </w:rPr>
              <w:t>September 30, 2023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line="163" w:lineRule="exact"/>
              <w:rPr>
                <w:sz w:val="20"/>
                <w:szCs w:val="20"/>
                <w:color w:val="auto"/>
              </w:rPr>
            </w:pPr>
            <w:r>
              <w:rPr>
                <w:rFonts w:ascii="Arial" w:cs="Arial" w:eastAsia="Arial" w:hAnsi="Arial"/>
                <w:sz w:val="16"/>
                <w:szCs w:val="16"/>
                <w:color w:val="auto"/>
              </w:rPr>
              <w:t>Effects of</w:t>
            </w:r>
          </w:p>
        </w:tc>
        <w:tc>
          <w:tcPr>
            <w:tcW w:w="1240" w:type="dxa"/>
            <w:vAlign w:val="bottom"/>
            <w:tcBorders>
              <w:right w:val="single" w:sz="8" w:color="auto"/>
            </w:tcBorders>
            <w:gridSpan w:val="2"/>
          </w:tcPr>
          <w:p>
            <w:pPr>
              <w:ind w:left="220"/>
              <w:spacing w:after="0" w:line="163" w:lineRule="exact"/>
              <w:rPr>
                <w:sz w:val="20"/>
                <w:szCs w:val="20"/>
                <w:color w:val="auto"/>
              </w:rPr>
            </w:pPr>
            <w:r>
              <w:rPr>
                <w:rFonts w:ascii="Arial" w:cs="Arial" w:eastAsia="Arial" w:hAnsi="Arial"/>
                <w:sz w:val="16"/>
                <w:szCs w:val="16"/>
                <w:color w:val="auto"/>
              </w:rPr>
              <w:t>Constant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320"/>
              <w:spacing w:after="0" w:line="163" w:lineRule="exact"/>
              <w:rPr>
                <w:sz w:val="20"/>
                <w:szCs w:val="20"/>
                <w:color w:val="auto"/>
              </w:rPr>
            </w:pPr>
            <w:r>
              <w:rPr>
                <w:rFonts w:ascii="Arial" w:cs="Arial" w:eastAsia="Arial" w:hAnsi="Arial"/>
                <w:sz w:val="16"/>
                <w:szCs w:val="16"/>
                <w:color w:val="auto"/>
              </w:rPr>
              <w:t>Effects of</w:t>
            </w:r>
          </w:p>
        </w:tc>
        <w:tc>
          <w:tcPr>
            <w:tcW w:w="920" w:type="dxa"/>
            <w:vAlign w:val="bottom"/>
          </w:tcPr>
          <w:p>
            <w:pPr>
              <w:jc w:val="right"/>
              <w:ind w:right="15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22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140" w:type="dxa"/>
            <w:vAlign w:val="bottom"/>
            <w:gridSpan w:val="2"/>
            <w:vMerge w:val="restart"/>
          </w:tcPr>
          <w:p>
            <w:pPr>
              <w:ind w:left="80"/>
              <w:spacing w:after="0"/>
              <w:rPr>
                <w:sz w:val="20"/>
                <w:szCs w:val="20"/>
                <w:color w:val="auto"/>
              </w:rPr>
            </w:pPr>
            <w:r>
              <w:rPr>
                <w:rFonts w:ascii="Arial" w:cs="Arial" w:eastAsia="Arial" w:hAnsi="Arial"/>
                <w:sz w:val="16"/>
                <w:szCs w:val="16"/>
                <w:color w:val="auto"/>
              </w:rPr>
              <w:t>As Reported</w:t>
            </w:r>
          </w:p>
        </w:tc>
        <w:tc>
          <w:tcPr>
            <w:tcW w:w="10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9"/>
              </w:rPr>
              <w:t>Foreign</w:t>
            </w:r>
          </w:p>
        </w:tc>
        <w:tc>
          <w:tcPr>
            <w:tcW w:w="1240" w:type="dxa"/>
            <w:vAlign w:val="bottom"/>
            <w:tcBorders>
              <w:right w:val="single" w:sz="8" w:color="auto"/>
            </w:tcBorders>
            <w:gridSpan w:val="2"/>
          </w:tcPr>
          <w:p>
            <w:pPr>
              <w:ind w:left="220"/>
              <w:spacing w:after="0" w:line="162" w:lineRule="exact"/>
              <w:rPr>
                <w:sz w:val="20"/>
                <w:szCs w:val="20"/>
                <w:color w:val="auto"/>
              </w:rPr>
            </w:pPr>
            <w:r>
              <w:rPr>
                <w:rFonts w:ascii="Arial" w:cs="Arial" w:eastAsia="Arial" w:hAnsi="Arial"/>
                <w:sz w:val="16"/>
                <w:szCs w:val="16"/>
                <w:color w:val="auto"/>
              </w:rPr>
              <w:t>Currency</w:t>
            </w:r>
          </w:p>
        </w:tc>
        <w:tc>
          <w:tcPr>
            <w:tcW w:w="12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color w:val="auto"/>
              </w:rPr>
              <w:t>As Reported</w:t>
            </w:r>
          </w:p>
        </w:tc>
        <w:tc>
          <w:tcPr>
            <w:tcW w:w="1280" w:type="dxa"/>
            <w:vAlign w:val="bottom"/>
            <w:gridSpan w:val="3"/>
          </w:tcPr>
          <w:p>
            <w:pPr>
              <w:jc w:val="center"/>
              <w:ind w:right="300"/>
              <w:spacing w:after="0" w:line="162" w:lineRule="exact"/>
              <w:rPr>
                <w:sz w:val="20"/>
                <w:szCs w:val="20"/>
                <w:color w:val="auto"/>
              </w:rPr>
            </w:pPr>
            <w:r>
              <w:rPr>
                <w:rFonts w:ascii="Arial" w:cs="Arial" w:eastAsia="Arial" w:hAnsi="Arial"/>
                <w:sz w:val="16"/>
                <w:szCs w:val="16"/>
                <w:color w:val="auto"/>
                <w:w w:val="99"/>
              </w:rPr>
              <w:t>Foreign</w:t>
            </w:r>
          </w:p>
        </w:tc>
        <w:tc>
          <w:tcPr>
            <w:tcW w:w="92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42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color w:val="auto"/>
              </w:rPr>
              <w:t>Currency</w:t>
            </w:r>
          </w:p>
        </w:tc>
        <w:tc>
          <w:tcPr>
            <w:tcW w:w="124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Amounts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6"/>
                <w:szCs w:val="16"/>
                <w:color w:val="auto"/>
              </w:rPr>
              <w:t>Currency</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3"/>
        </w:trPr>
        <w:tc>
          <w:tcPr>
            <w:tcW w:w="422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Residential Connectivity &amp; Platforms</w:t>
            </w: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160"/>
              <w:spacing w:after="0"/>
              <w:rPr>
                <w:sz w:val="20"/>
                <w:szCs w:val="20"/>
                <w:color w:val="auto"/>
              </w:rPr>
            </w:pPr>
            <w:r>
              <w:rPr>
                <w:rFonts w:ascii="Arial" w:cs="Arial" w:eastAsia="Arial" w:hAnsi="Arial"/>
                <w:sz w:val="16"/>
                <w:szCs w:val="16"/>
                <w:b w:val="1"/>
                <w:bCs w:val="1"/>
                <w:color w:val="auto"/>
              </w:rPr>
              <w:t>Constant Currency</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320"/>
              <w:spacing w:after="0"/>
              <w:rPr>
                <w:sz w:val="20"/>
                <w:szCs w:val="20"/>
                <w:color w:val="auto"/>
              </w:rPr>
            </w:pPr>
            <w:r>
              <w:rPr>
                <w:rFonts w:ascii="Arial" w:cs="Arial" w:eastAsia="Arial" w:hAnsi="Arial"/>
                <w:sz w:val="16"/>
                <w:szCs w:val="16"/>
                <w:color w:val="auto"/>
              </w:rPr>
              <w:t>Domestic broadband</w:t>
            </w:r>
          </w:p>
        </w:tc>
        <w:tc>
          <w:tcPr>
            <w:tcW w:w="1040" w:type="dxa"/>
            <w:vAlign w:val="bottom"/>
          </w:tcPr>
          <w:p>
            <w:pPr>
              <w:jc w:val="right"/>
              <w:spacing w:after="0"/>
              <w:rPr>
                <w:sz w:val="20"/>
                <w:szCs w:val="20"/>
                <w:color w:val="auto"/>
              </w:rPr>
            </w:pPr>
            <w:r>
              <w:rPr>
                <w:rFonts w:ascii="Arial" w:cs="Arial" w:eastAsia="Arial" w:hAnsi="Arial"/>
                <w:sz w:val="16"/>
                <w:szCs w:val="16"/>
                <w:color w:val="auto"/>
              </w:rPr>
              <w:t>$6,366</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$6,366</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$19,086</w:t>
            </w:r>
          </w:p>
        </w:tc>
        <w:tc>
          <w:tcPr>
            <w:tcW w:w="120" w:type="dxa"/>
            <w:vAlign w:val="bottom"/>
          </w:tcPr>
          <w:p>
            <w:pPr>
              <w:spacing w:after="0"/>
              <w:rPr>
                <w:sz w:val="18"/>
                <w:szCs w:val="18"/>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$19,086</w:t>
            </w:r>
          </w:p>
        </w:tc>
        <w:tc>
          <w:tcPr>
            <w:tcW w:w="0" w:type="dxa"/>
            <w:vAlign w:val="bottom"/>
          </w:tcPr>
          <w:p>
            <w:pPr>
              <w:spacing w:after="0"/>
              <w:rPr>
                <w:sz w:val="1"/>
                <w:szCs w:val="1"/>
                <w:color w:val="auto"/>
              </w:rPr>
            </w:pPr>
          </w:p>
        </w:tc>
      </w:tr>
      <w:tr>
        <w:trPr>
          <w:trHeight w:val="216"/>
        </w:trPr>
        <w:tc>
          <w:tcPr>
            <w:tcW w:w="4220" w:type="dxa"/>
            <w:vAlign w:val="bottom"/>
          </w:tcPr>
          <w:p>
            <w:pPr>
              <w:ind w:left="320"/>
              <w:spacing w:after="0"/>
              <w:rPr>
                <w:sz w:val="20"/>
                <w:szCs w:val="20"/>
                <w:color w:val="auto"/>
              </w:rPr>
            </w:pPr>
            <w:r>
              <w:rPr>
                <w:rFonts w:ascii="Arial" w:cs="Arial" w:eastAsia="Arial" w:hAnsi="Arial"/>
                <w:sz w:val="16"/>
                <w:szCs w:val="16"/>
                <w:color w:val="auto"/>
              </w:rPr>
              <w:t>Domestic wireless</w:t>
            </w:r>
          </w:p>
        </w:tc>
        <w:tc>
          <w:tcPr>
            <w:tcW w:w="1040" w:type="dxa"/>
            <w:vAlign w:val="bottom"/>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917</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2,644</w:t>
            </w:r>
          </w:p>
        </w:tc>
        <w:tc>
          <w:tcPr>
            <w:tcW w:w="120" w:type="dxa"/>
            <w:vAlign w:val="bottom"/>
          </w:tcPr>
          <w:p>
            <w:pPr>
              <w:spacing w:after="0"/>
              <w:rPr>
                <w:sz w:val="18"/>
                <w:szCs w:val="18"/>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2,644</w:t>
            </w:r>
          </w:p>
        </w:tc>
        <w:tc>
          <w:tcPr>
            <w:tcW w:w="0" w:type="dxa"/>
            <w:vAlign w:val="bottom"/>
          </w:tcPr>
          <w:p>
            <w:pPr>
              <w:spacing w:after="0"/>
              <w:rPr>
                <w:sz w:val="1"/>
                <w:szCs w:val="1"/>
                <w:color w:val="auto"/>
              </w:rPr>
            </w:pPr>
          </w:p>
        </w:tc>
      </w:tr>
      <w:tr>
        <w:trPr>
          <w:trHeight w:val="216"/>
        </w:trPr>
        <w:tc>
          <w:tcPr>
            <w:tcW w:w="4220" w:type="dxa"/>
            <w:vAlign w:val="bottom"/>
          </w:tcPr>
          <w:p>
            <w:pPr>
              <w:ind w:left="320"/>
              <w:spacing w:after="0"/>
              <w:rPr>
                <w:sz w:val="20"/>
                <w:szCs w:val="20"/>
                <w:color w:val="auto"/>
              </w:rPr>
            </w:pPr>
            <w:r>
              <w:rPr>
                <w:rFonts w:ascii="Arial" w:cs="Arial" w:eastAsia="Arial" w:hAnsi="Arial"/>
                <w:sz w:val="16"/>
                <w:szCs w:val="16"/>
                <w:color w:val="auto"/>
              </w:rPr>
              <w:t>International connectivity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w:t>
            </w:r>
          </w:p>
        </w:tc>
        <w:tc>
          <w:tcPr>
            <w:tcW w:w="0" w:type="dxa"/>
            <w:vAlign w:val="bottom"/>
          </w:tcPr>
          <w:p>
            <w:pPr>
              <w:spacing w:after="0"/>
              <w:rPr>
                <w:sz w:val="1"/>
                <w:szCs w:val="1"/>
                <w:color w:val="auto"/>
              </w:rPr>
            </w:pPr>
          </w:p>
        </w:tc>
      </w:tr>
      <w:tr>
        <w:trPr>
          <w:trHeight w:val="211"/>
        </w:trPr>
        <w:tc>
          <w:tcPr>
            <w:tcW w:w="4220" w:type="dxa"/>
            <w:vAlign w:val="bottom"/>
          </w:tcPr>
          <w:p>
            <w:pPr>
              <w:ind w:left="200"/>
              <w:spacing w:after="0"/>
              <w:rPr>
                <w:sz w:val="20"/>
                <w:szCs w:val="20"/>
                <w:color w:val="auto"/>
              </w:rPr>
            </w:pPr>
            <w:r>
              <w:rPr>
                <w:rFonts w:ascii="Arial" w:cs="Arial" w:eastAsia="Arial" w:hAnsi="Arial"/>
                <w:sz w:val="16"/>
                <w:szCs w:val="16"/>
                <w:color w:val="auto"/>
              </w:rPr>
              <w:t>Total residential connectivity</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$8,393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$8,424</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$24,739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$24,816</w:t>
            </w:r>
          </w:p>
        </w:tc>
        <w:tc>
          <w:tcPr>
            <w:tcW w:w="0" w:type="dxa"/>
            <w:vAlign w:val="bottom"/>
          </w:tcPr>
          <w:p>
            <w:pPr>
              <w:spacing w:after="0"/>
              <w:rPr>
                <w:sz w:val="1"/>
                <w:szCs w:val="1"/>
                <w:color w:val="auto"/>
              </w:rPr>
            </w:pPr>
          </w:p>
        </w:tc>
      </w:tr>
      <w:tr>
        <w:trPr>
          <w:trHeight w:val="215"/>
        </w:trPr>
        <w:tc>
          <w:tcPr>
            <w:tcW w:w="4220" w:type="dxa"/>
            <w:vAlign w:val="bottom"/>
          </w:tcPr>
          <w:p>
            <w:pPr>
              <w:ind w:left="200"/>
              <w:spacing w:after="0"/>
              <w:rPr>
                <w:sz w:val="20"/>
                <w:szCs w:val="20"/>
                <w:color w:val="auto"/>
              </w:rPr>
            </w:pPr>
            <w:r>
              <w:rPr>
                <w:rFonts w:ascii="Arial" w:cs="Arial" w:eastAsia="Arial" w:hAnsi="Arial"/>
                <w:sz w:val="16"/>
                <w:szCs w:val="16"/>
                <w:color w:val="auto"/>
              </w:rPr>
              <w:t>Video</w:t>
            </w:r>
          </w:p>
        </w:tc>
        <w:tc>
          <w:tcPr>
            <w:tcW w:w="1040" w:type="dxa"/>
            <w:vAlign w:val="bottom"/>
          </w:tcPr>
          <w:p>
            <w:pPr>
              <w:jc w:val="right"/>
              <w:spacing w:after="0"/>
              <w:rPr>
                <w:sz w:val="20"/>
                <w:szCs w:val="20"/>
                <w:color w:val="auto"/>
              </w:rPr>
            </w:pPr>
            <w:r>
              <w:rPr>
                <w:rFonts w:ascii="Arial" w:cs="Arial" w:eastAsia="Arial" w:hAnsi="Arial"/>
                <w:sz w:val="16"/>
                <w:szCs w:val="16"/>
                <w:color w:val="auto"/>
              </w:rPr>
              <w:t>7,154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7,201</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21,895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22,018</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Advertising</w:t>
            </w:r>
          </w:p>
        </w:tc>
        <w:tc>
          <w:tcPr>
            <w:tcW w:w="104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971</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2,860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2,885</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4,422</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$17,951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$18,050</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$53,888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$54,141</w:t>
            </w:r>
          </w:p>
        </w:tc>
        <w:tc>
          <w:tcPr>
            <w:tcW w:w="0" w:type="dxa"/>
            <w:vAlign w:val="bottom"/>
          </w:tcPr>
          <w:p>
            <w:pPr>
              <w:spacing w:after="0"/>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00"/>
              <w:spacing w:after="0"/>
              <w:rPr>
                <w:sz w:val="20"/>
                <w:szCs w:val="20"/>
                <w:color w:val="auto"/>
              </w:rPr>
            </w:pPr>
            <w:r>
              <w:rPr>
                <w:rFonts w:ascii="Arial" w:cs="Arial" w:eastAsia="Arial" w:hAnsi="Arial"/>
                <w:sz w:val="16"/>
                <w:szCs w:val="16"/>
                <w:color w:val="auto"/>
              </w:rPr>
              <w:t>Programming</w:t>
            </w:r>
          </w:p>
        </w:tc>
        <w:tc>
          <w:tcPr>
            <w:tcW w:w="1040" w:type="dxa"/>
            <w:vAlign w:val="bottom"/>
          </w:tcPr>
          <w:p>
            <w:pPr>
              <w:jc w:val="right"/>
              <w:spacing w:after="0"/>
              <w:rPr>
                <w:sz w:val="20"/>
                <w:szCs w:val="20"/>
                <w:color w:val="auto"/>
              </w:rPr>
            </w:pPr>
            <w:r>
              <w:rPr>
                <w:rFonts w:ascii="Arial" w:cs="Arial" w:eastAsia="Arial" w:hAnsi="Arial"/>
                <w:sz w:val="16"/>
                <w:szCs w:val="16"/>
                <w:color w:val="auto"/>
              </w:rPr>
              <w:t>$4,460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$4,488</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$13,638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$13,712</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Non-Programming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6,605</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6,659</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19,578</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19,718</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$11,065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$11,148</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$33,216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$33,430</w:t>
            </w:r>
          </w:p>
        </w:tc>
        <w:tc>
          <w:tcPr>
            <w:tcW w:w="0" w:type="dxa"/>
            <w:vAlign w:val="bottom"/>
          </w:tcPr>
          <w:p>
            <w:pPr>
              <w:spacing w:after="0"/>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$6,886</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$6,902</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$20,672</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$20,711</w:t>
            </w:r>
          </w:p>
        </w:tc>
        <w:tc>
          <w:tcPr>
            <w:tcW w:w="0" w:type="dxa"/>
            <w:vAlign w:val="bottom"/>
          </w:tcPr>
          <w:p>
            <w:pPr>
              <w:spacing w:after="0"/>
              <w:rPr>
                <w:sz w:val="1"/>
                <w:szCs w:val="1"/>
                <w:color w:val="auto"/>
              </w:rPr>
            </w:pPr>
          </w:p>
        </w:tc>
      </w:tr>
      <w:tr>
        <w:trPr>
          <w:trHeight w:val="217"/>
        </w:trPr>
        <w:tc>
          <w:tcPr>
            <w:tcW w:w="4220" w:type="dxa"/>
            <w:vAlign w:val="bottom"/>
          </w:tcPr>
          <w:p>
            <w:pPr>
              <w:ind w:left="200"/>
              <w:spacing w:after="0"/>
              <w:rPr>
                <w:sz w:val="20"/>
                <w:szCs w:val="20"/>
                <w:color w:val="auto"/>
              </w:rPr>
            </w:pPr>
            <w:r>
              <w:rPr>
                <w:rFonts w:ascii="Arial" w:cs="Arial" w:eastAsia="Arial" w:hAnsi="Arial"/>
                <w:sz w:val="16"/>
                <w:szCs w:val="16"/>
                <w:i w:val="1"/>
                <w:iCs w:val="1"/>
                <w:color w:val="auto"/>
              </w:rPr>
              <w:t>Adjusted EBITDA Margin</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38.4 %</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 bps</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38.2 %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38.4 %</w:t>
            </w:r>
          </w:p>
        </w:tc>
        <w:tc>
          <w:tcPr>
            <w:tcW w:w="120" w:type="dxa"/>
            <w:vAlign w:val="bottom"/>
          </w:tcPr>
          <w:p>
            <w:pPr>
              <w:spacing w:after="0"/>
              <w:rPr>
                <w:sz w:val="18"/>
                <w:szCs w:val="18"/>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(10) bps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38.3 %</w:t>
            </w:r>
          </w:p>
        </w:tc>
        <w:tc>
          <w:tcPr>
            <w:tcW w:w="0" w:type="dxa"/>
            <w:vAlign w:val="bottom"/>
          </w:tcPr>
          <w:p>
            <w:pPr>
              <w:spacing w:after="0"/>
              <w:rPr>
                <w:sz w:val="1"/>
                <w:szCs w:val="1"/>
                <w:color w:val="auto"/>
              </w:rPr>
            </w:pPr>
          </w:p>
        </w:tc>
      </w:tr>
      <w:tr>
        <w:trPr>
          <w:trHeight w:val="910"/>
        </w:trPr>
        <w:tc>
          <w:tcPr>
            <w:tcW w:w="4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53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80" w:top="1006" w:right="359" w:bottom="1440" w:gutter="0" w:footer="0" w:header="0"/>
        </w:sectPr>
      </w:pPr>
    </w:p>
    <w:bookmarkStart w:id="18" w:name="page19"/>
    <w:bookmarkEnd w:id="18"/>
    <w:p>
      <w:pPr>
        <w:ind w:left="20"/>
        <w:spacing w:after="0"/>
        <w:rPr>
          <w:sz w:val="20"/>
          <w:szCs w:val="20"/>
          <w:color w:val="auto"/>
        </w:rPr>
      </w:pPr>
      <w:r>
        <w:rPr>
          <w:rFonts w:ascii="Arial" w:cs="Arial" w:eastAsia="Arial" w:hAnsi="Arial"/>
          <w:sz w:val="25"/>
          <w:szCs w:val="25"/>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-71755</wp:posOffset>
            </wp:positionV>
            <wp:extent cx="102870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Media Revenue Excluding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062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324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300" w:type="dxa"/>
            <w:vAlign w:val="bottom"/>
            <w:gridSpan w:val="5"/>
          </w:tcPr>
          <w:p>
            <w:pPr>
              <w:jc w:val="center"/>
              <w:ind w:left="699"/>
              <w:spacing w:after="0"/>
              <w:rPr>
                <w:sz w:val="20"/>
                <w:szCs w:val="20"/>
                <w:color w:val="auto"/>
              </w:rPr>
            </w:pPr>
            <w:r>
              <w:rPr>
                <w:rFonts w:ascii="Arial" w:cs="Arial" w:eastAsia="Arial" w:hAnsi="Arial"/>
                <w:sz w:val="16"/>
                <w:szCs w:val="16"/>
                <w:b w:val="1"/>
                <w:bCs w:val="1"/>
                <w:color w:val="auto"/>
              </w:rPr>
              <w:t>Nine Months Ended</w:t>
            </w:r>
          </w:p>
        </w:tc>
        <w:tc>
          <w:tcPr>
            <w:tcW w:w="840" w:type="dxa"/>
            <w:vAlign w:val="bottom"/>
          </w:tcPr>
          <w:p>
            <w:pPr>
              <w:spacing w:after="0"/>
              <w:rPr>
                <w:sz w:val="16"/>
                <w:szCs w:val="16"/>
                <w:color w:val="auto"/>
              </w:rPr>
            </w:pPr>
          </w:p>
        </w:tc>
      </w:tr>
      <w:tr>
        <w:trPr>
          <w:trHeight w:val="215"/>
        </w:trPr>
        <w:tc>
          <w:tcPr>
            <w:tcW w:w="4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8"/>
                <w:szCs w:val="18"/>
                <w:color w:val="auto"/>
              </w:rPr>
            </w:pPr>
          </w:p>
        </w:tc>
      </w:tr>
      <w:tr>
        <w:trPr>
          <w:trHeight w:val="217"/>
        </w:trPr>
        <w:tc>
          <w:tcPr>
            <w:tcW w:w="4720" w:type="dxa"/>
            <w:vAlign w:val="bottom"/>
          </w:tcPr>
          <w:p>
            <w:pPr>
              <w:spacing w:after="0"/>
              <w:rPr>
                <w:sz w:val="20"/>
                <w:szCs w:val="20"/>
                <w:color w:val="auto"/>
              </w:rPr>
            </w:pPr>
            <w:r>
              <w:rPr>
                <w:rFonts w:ascii="Arial" w:cs="Arial" w:eastAsia="Arial" w:hAnsi="Arial"/>
                <w:sz w:val="16"/>
                <w:szCs w:val="16"/>
                <w:color w:val="auto"/>
              </w:rPr>
              <w:t>(in millions)</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Change</w:t>
            </w:r>
          </w:p>
        </w:tc>
      </w:tr>
      <w:tr>
        <w:trPr>
          <w:trHeight w:val="310"/>
        </w:trPr>
        <w:tc>
          <w:tcPr>
            <w:tcW w:w="4720" w:type="dxa"/>
            <w:vAlign w:val="bottom"/>
          </w:tcPr>
          <w:p>
            <w:pPr>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$8,231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$6,029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36.5 %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$20,926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$18,376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13.9 %</w:t>
            </w:r>
          </w:p>
        </w:tc>
      </w:tr>
      <w:tr>
        <w:trPr>
          <w:trHeight w:val="264"/>
        </w:trPr>
        <w:tc>
          <w:tcPr>
            <w:tcW w:w="4720" w:type="dxa"/>
            <w:vAlign w:val="bottom"/>
          </w:tcPr>
          <w:p>
            <w:pPr>
              <w:spacing w:after="0"/>
              <w:rPr>
                <w:sz w:val="20"/>
                <w:szCs w:val="20"/>
                <w:color w:val="auto"/>
              </w:rPr>
            </w:pPr>
            <w:r>
              <w:rPr>
                <w:rFonts w:ascii="Arial" w:cs="Arial" w:eastAsia="Arial" w:hAnsi="Arial"/>
                <w:sz w:val="16"/>
                <w:szCs w:val="16"/>
                <w:color w:val="auto"/>
              </w:rPr>
              <w:t>Paris Olympics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1,906</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1,906</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spacing w:after="0"/>
              <w:rPr>
                <w:sz w:val="22"/>
                <w:szCs w:val="22"/>
                <w:color w:val="auto"/>
              </w:rPr>
            </w:pPr>
          </w:p>
        </w:tc>
        <w:tc>
          <w:tcPr>
            <w:tcW w:w="840" w:type="dxa"/>
            <w:vAlign w:val="bottom"/>
          </w:tcPr>
          <w:p>
            <w:pPr>
              <w:spacing w:after="0"/>
              <w:rPr>
                <w:sz w:val="22"/>
                <w:szCs w:val="22"/>
                <w:color w:val="auto"/>
              </w:rPr>
            </w:pPr>
          </w:p>
        </w:tc>
      </w:tr>
      <w:tr>
        <w:trPr>
          <w:trHeight w:val="290"/>
        </w:trPr>
        <w:tc>
          <w:tcPr>
            <w:tcW w:w="4720" w:type="dxa"/>
            <w:vAlign w:val="bottom"/>
          </w:tcPr>
          <w:p>
            <w:pPr>
              <w:spacing w:after="0"/>
              <w:rPr>
                <w:sz w:val="20"/>
                <w:szCs w:val="20"/>
                <w:color w:val="auto"/>
              </w:rPr>
            </w:pPr>
            <w:r>
              <w:rPr>
                <w:rFonts w:ascii="Arial" w:cs="Arial" w:eastAsia="Arial" w:hAnsi="Arial"/>
                <w:sz w:val="16"/>
                <w:szCs w:val="16"/>
                <w:color w:val="auto"/>
              </w:rPr>
              <w:t>Revenue excluding Olympics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$6,325</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$19,020</w:t>
            </w:r>
          </w:p>
        </w:tc>
        <w:tc>
          <w:tcPr>
            <w:tcW w:w="1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3.5 %</w:t>
            </w:r>
          </w:p>
        </w:tc>
      </w:tr>
    </w:tbl>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Media Domestic Advertising Revenue Excluding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40" w:type="dxa"/>
            <w:vAlign w:val="bottom"/>
          </w:tcPr>
          <w:p>
            <w:pPr>
              <w:spacing w:after="0"/>
              <w:rPr>
                <w:sz w:val="21"/>
                <w:szCs w:val="21"/>
                <w:color w:val="auto"/>
              </w:rPr>
            </w:pPr>
          </w:p>
        </w:tc>
        <w:tc>
          <w:tcPr>
            <w:tcW w:w="3220" w:type="dxa"/>
            <w:vAlign w:val="bottom"/>
            <w:gridSpan w:val="7"/>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left w:val="single" w:sz="8" w:color="auto"/>
            </w:tcBorders>
          </w:tcPr>
          <w:p>
            <w:pPr>
              <w:spacing w:after="0"/>
              <w:rPr>
                <w:sz w:val="21"/>
                <w:szCs w:val="21"/>
                <w:color w:val="auto"/>
              </w:rPr>
            </w:pPr>
          </w:p>
        </w:tc>
        <w:tc>
          <w:tcPr>
            <w:tcW w:w="2300" w:type="dxa"/>
            <w:vAlign w:val="bottom"/>
            <w:gridSpan w:val="5"/>
          </w:tcPr>
          <w:p>
            <w:pPr>
              <w:jc w:val="center"/>
              <w:ind w:left="699"/>
              <w:spacing w:after="0"/>
              <w:rPr>
                <w:sz w:val="20"/>
                <w:szCs w:val="20"/>
                <w:color w:val="auto"/>
              </w:rPr>
            </w:pPr>
            <w:r>
              <w:rPr>
                <w:rFonts w:ascii="Arial" w:cs="Arial" w:eastAsia="Arial" w:hAnsi="Arial"/>
                <w:sz w:val="16"/>
                <w:szCs w:val="16"/>
                <w:b w:val="1"/>
                <w:bCs w:val="1"/>
                <w:color w:val="auto"/>
              </w:rPr>
              <w:t>Nine Months Ended</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8"/>
                <w:szCs w:val="18"/>
                <w:color w:val="auto"/>
              </w:rPr>
            </w:pPr>
          </w:p>
        </w:tc>
        <w:tc>
          <w:tcPr>
            <w:tcW w:w="140" w:type="dxa"/>
            <w:vAlign w:val="bottom"/>
            <w:tcBorders>
              <w:left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310"/>
        </w:trPr>
        <w:tc>
          <w:tcPr>
            <w:tcW w:w="4740" w:type="dxa"/>
            <w:vAlign w:val="bottom"/>
          </w:tcPr>
          <w:p>
            <w:pPr>
              <w:ind w:left="2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$3,347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74.9 %</w:t>
            </w:r>
          </w:p>
        </w:tc>
        <w:tc>
          <w:tcPr>
            <w:tcW w:w="140" w:type="dxa"/>
            <w:vAlign w:val="bottom"/>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$7,363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$5,965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23.4 %</w:t>
            </w:r>
          </w:p>
        </w:tc>
        <w:tc>
          <w:tcPr>
            <w:tcW w:w="0" w:type="dxa"/>
            <w:vAlign w:val="bottom"/>
          </w:tcPr>
          <w:p>
            <w:pPr>
              <w:spacing w:after="0"/>
              <w:rPr>
                <w:sz w:val="1"/>
                <w:szCs w:val="1"/>
                <w:color w:val="auto"/>
              </w:rPr>
            </w:pPr>
          </w:p>
        </w:tc>
      </w:tr>
      <w:tr>
        <w:trPr>
          <w:trHeight w:val="318"/>
        </w:trPr>
        <w:tc>
          <w:tcPr>
            <w:tcW w:w="4740" w:type="dxa"/>
            <w:vAlign w:val="bottom"/>
          </w:tcPr>
          <w:p>
            <w:pPr>
              <w:ind w:left="20"/>
              <w:spacing w:after="0"/>
              <w:rPr>
                <w:sz w:val="20"/>
                <w:szCs w:val="20"/>
                <w:color w:val="auto"/>
              </w:rPr>
            </w:pPr>
            <w:r>
              <w:rPr>
                <w:rFonts w:ascii="Arial" w:cs="Arial" w:eastAsia="Arial" w:hAnsi="Arial"/>
                <w:sz w:val="16"/>
                <w:szCs w:val="16"/>
                <w:color w:val="auto"/>
              </w:rPr>
              <w:t>Paris Olympics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1,432</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1,432</w:t>
            </w:r>
          </w:p>
        </w:tc>
        <w:tc>
          <w:tcPr>
            <w:tcW w:w="1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740" w:type="dxa"/>
            <w:vAlign w:val="bottom"/>
          </w:tcPr>
          <w:p>
            <w:pPr>
              <w:ind w:left="20"/>
              <w:spacing w:after="0"/>
              <w:rPr>
                <w:sz w:val="20"/>
                <w:szCs w:val="20"/>
                <w:color w:val="auto"/>
              </w:rPr>
            </w:pPr>
            <w:r>
              <w:rPr>
                <w:rFonts w:ascii="Arial" w:cs="Arial" w:eastAsia="Arial" w:hAnsi="Arial"/>
                <w:sz w:val="16"/>
                <w:szCs w:val="16"/>
                <w:color w:val="auto"/>
              </w:rPr>
              <w:t>Revenue excluding Olympics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$1,915</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0.1 %</w:t>
            </w:r>
          </w:p>
        </w:tc>
        <w:tc>
          <w:tcPr>
            <w:tcW w:w="140" w:type="dxa"/>
            <w:vAlign w:val="bottom"/>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$5,931</w:t>
            </w:r>
          </w:p>
        </w:tc>
        <w:tc>
          <w:tcPr>
            <w:tcW w:w="1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004EA8"/>
            </w:tcBorders>
            <w:gridSpan w:val="3"/>
          </w:tcPr>
          <w:p>
            <w:pPr>
              <w:ind w:left="20"/>
              <w:spacing w:after="0"/>
              <w:rPr>
                <w:sz w:val="20"/>
                <w:szCs w:val="20"/>
                <w:color w:val="auto"/>
              </w:rPr>
            </w:pPr>
            <w:r>
              <w:rPr>
                <w:rFonts w:ascii="Arial" w:cs="Arial" w:eastAsia="Arial" w:hAnsi="Arial"/>
                <w:sz w:val="19"/>
                <w:szCs w:val="19"/>
                <w:b w:val="1"/>
                <w:bCs w:val="1"/>
                <w:color w:val="828282"/>
                <w:w w:val="95"/>
              </w:rPr>
              <w:t>Reconciliation of Media Domestic Distribution Revenue Excluding</w:t>
            </w:r>
          </w:p>
        </w:tc>
        <w:tc>
          <w:tcPr>
            <w:tcW w:w="900" w:type="dxa"/>
            <w:vAlign w:val="bottom"/>
            <w:tcBorders>
              <w:bottom w:val="single" w:sz="8" w:color="004EA8"/>
            </w:tcBorders>
          </w:tcPr>
          <w:p>
            <w:pPr>
              <w:jc w:val="right"/>
              <w:spacing w:after="0"/>
              <w:rPr>
                <w:sz w:val="20"/>
                <w:szCs w:val="20"/>
                <w:color w:val="auto"/>
              </w:rPr>
            </w:pPr>
            <w:r>
              <w:rPr>
                <w:rFonts w:ascii="Arial" w:cs="Arial" w:eastAsia="Arial" w:hAnsi="Arial"/>
                <w:sz w:val="19"/>
                <w:szCs w:val="19"/>
                <w:b w:val="1"/>
                <w:bCs w:val="1"/>
                <w:color w:val="828282"/>
              </w:rPr>
              <w:t>Olympics</w:t>
            </w:r>
          </w:p>
        </w:tc>
        <w:tc>
          <w:tcPr>
            <w:tcW w:w="1460" w:type="dxa"/>
            <w:vAlign w:val="bottom"/>
            <w:tcBorders>
              <w:bottom w:val="single" w:sz="8" w:color="004EA8"/>
            </w:tcBorders>
            <w:gridSpan w:val="5"/>
          </w:tcPr>
          <w:p>
            <w:pPr>
              <w:ind w:left="260"/>
              <w:spacing w:after="0"/>
              <w:rPr>
                <w:sz w:val="20"/>
                <w:szCs w:val="20"/>
                <w:color w:val="auto"/>
              </w:rPr>
            </w:pPr>
            <w:r>
              <w:rPr>
                <w:rFonts w:ascii="Arial" w:cs="Arial" w:eastAsia="Arial" w:hAnsi="Arial"/>
                <w:sz w:val="19"/>
                <w:szCs w:val="19"/>
                <w:b w:val="1"/>
                <w:bCs w:val="1"/>
                <w:color w:val="828282"/>
              </w:rPr>
              <w:t>(Unaudited)</w:t>
            </w:r>
          </w:p>
        </w:tc>
        <w:tc>
          <w:tcPr>
            <w:tcW w:w="920" w:type="dxa"/>
            <w:vAlign w:val="bottom"/>
            <w:tcBorders>
              <w:bottom w:val="single" w:sz="8" w:color="004EA8"/>
            </w:tcBorders>
          </w:tcPr>
          <w:p>
            <w:pPr>
              <w:spacing w:after="0"/>
              <w:rPr>
                <w:sz w:val="20"/>
                <w:szCs w:val="20"/>
                <w:color w:val="auto"/>
              </w:rPr>
            </w:pPr>
          </w:p>
        </w:tc>
        <w:tc>
          <w:tcPr>
            <w:tcW w:w="120" w:type="dxa"/>
            <w:vAlign w:val="bottom"/>
            <w:tcBorders>
              <w:bottom w:val="single" w:sz="8" w:color="004EA8"/>
            </w:tcBorders>
          </w:tcPr>
          <w:p>
            <w:pPr>
              <w:spacing w:after="0"/>
              <w:rPr>
                <w:sz w:val="20"/>
                <w:szCs w:val="20"/>
                <w:color w:val="auto"/>
              </w:rPr>
            </w:pPr>
          </w:p>
        </w:tc>
        <w:tc>
          <w:tcPr>
            <w:tcW w:w="920" w:type="dxa"/>
            <w:vAlign w:val="bottom"/>
            <w:tcBorders>
              <w:bottom w:val="single" w:sz="8" w:color="004EA8"/>
            </w:tcBorders>
          </w:tcPr>
          <w:p>
            <w:pPr>
              <w:spacing w:after="0"/>
              <w:rPr>
                <w:sz w:val="20"/>
                <w:szCs w:val="20"/>
                <w:color w:val="auto"/>
              </w:rPr>
            </w:pPr>
          </w:p>
        </w:tc>
        <w:tc>
          <w:tcPr>
            <w:tcW w:w="120" w:type="dxa"/>
            <w:vAlign w:val="bottom"/>
            <w:tcBorders>
              <w:bottom w:val="single" w:sz="8" w:color="004EA8"/>
            </w:tcBorders>
          </w:tcPr>
          <w:p>
            <w:pPr>
              <w:spacing w:after="0"/>
              <w:rPr>
                <w:sz w:val="20"/>
                <w:szCs w:val="20"/>
                <w:color w:val="auto"/>
              </w:rPr>
            </w:pPr>
          </w:p>
        </w:tc>
        <w:tc>
          <w:tcPr>
            <w:tcW w:w="220" w:type="dxa"/>
            <w:vAlign w:val="bottom"/>
            <w:tcBorders>
              <w:bottom w:val="single" w:sz="8" w:color="004EA8"/>
            </w:tcBorders>
          </w:tcPr>
          <w:p>
            <w:pPr>
              <w:spacing w:after="0"/>
              <w:rPr>
                <w:sz w:val="20"/>
                <w:szCs w:val="20"/>
                <w:color w:val="auto"/>
              </w:rPr>
            </w:pPr>
          </w:p>
        </w:tc>
        <w:tc>
          <w:tcPr>
            <w:tcW w:w="840" w:type="dxa"/>
            <w:vAlign w:val="bottom"/>
            <w:tcBorders>
              <w:bottom w:val="single" w:sz="8" w:color="004EA8"/>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3220" w:type="dxa"/>
            <w:vAlign w:val="bottom"/>
            <w:gridSpan w:val="7"/>
            <w:vMerge w:val="restart"/>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0"/>
                <w:szCs w:val="20"/>
                <w:color w:val="auto"/>
              </w:rPr>
            </w:pPr>
          </w:p>
        </w:tc>
        <w:tc>
          <w:tcPr>
            <w:tcW w:w="2300" w:type="dxa"/>
            <w:vAlign w:val="bottom"/>
            <w:gridSpan w:val="5"/>
            <w:vMerge w:val="restart"/>
          </w:tcPr>
          <w:p>
            <w:pPr>
              <w:jc w:val="center"/>
              <w:ind w:left="699"/>
              <w:spacing w:after="0"/>
              <w:rPr>
                <w:sz w:val="20"/>
                <w:szCs w:val="20"/>
                <w:color w:val="auto"/>
              </w:rPr>
            </w:pPr>
            <w:r>
              <w:rPr>
                <w:rFonts w:ascii="Arial" w:cs="Arial" w:eastAsia="Arial" w:hAnsi="Arial"/>
                <w:sz w:val="16"/>
                <w:szCs w:val="16"/>
                <w:b w:val="1"/>
                <w:bCs w:val="1"/>
                <w:color w:val="auto"/>
              </w:rPr>
              <w:t>Nine Months Ended</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740" w:type="dxa"/>
            <w:vAlign w:val="bottom"/>
          </w:tcPr>
          <w:p>
            <w:pPr>
              <w:spacing w:after="0"/>
              <w:rPr>
                <w:sz w:val="24"/>
                <w:szCs w:val="24"/>
                <w:color w:val="auto"/>
              </w:rPr>
            </w:pPr>
          </w:p>
        </w:tc>
        <w:tc>
          <w:tcPr>
            <w:tcW w:w="3220" w:type="dxa"/>
            <w:vAlign w:val="bottom"/>
            <w:gridSpan w:val="7"/>
            <w:vMerge w:val="continue"/>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2300" w:type="dxa"/>
            <w:vAlign w:val="bottom"/>
            <w:gridSpan w:val="5"/>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8"/>
                <w:szCs w:val="18"/>
                <w:color w:val="auto"/>
              </w:rPr>
            </w:pPr>
          </w:p>
        </w:tc>
        <w:tc>
          <w:tcPr>
            <w:tcW w:w="140" w:type="dxa"/>
            <w:vAlign w:val="bottom"/>
            <w:tcBorders>
              <w:left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459"/>
        </w:trPr>
        <w:tc>
          <w:tcPr>
            <w:tcW w:w="4740" w:type="dxa"/>
            <w:vAlign w:val="bottom"/>
          </w:tcPr>
          <w:p>
            <w:pPr>
              <w:ind w:left="2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$3,272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26.3 %</w:t>
            </w:r>
          </w:p>
        </w:tc>
        <w:tc>
          <w:tcPr>
            <w:tcW w:w="140" w:type="dxa"/>
            <w:vAlign w:val="bottom"/>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$8,942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$7,916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318"/>
        </w:trPr>
        <w:tc>
          <w:tcPr>
            <w:tcW w:w="4740" w:type="dxa"/>
            <w:vAlign w:val="bottom"/>
          </w:tcPr>
          <w:p>
            <w:pPr>
              <w:ind w:left="20"/>
              <w:spacing w:after="0"/>
              <w:rPr>
                <w:sz w:val="20"/>
                <w:szCs w:val="20"/>
                <w:color w:val="auto"/>
              </w:rPr>
            </w:pPr>
            <w:r>
              <w:rPr>
                <w:rFonts w:ascii="Arial" w:cs="Arial" w:eastAsia="Arial" w:hAnsi="Arial"/>
                <w:sz w:val="16"/>
                <w:szCs w:val="16"/>
                <w:color w:val="auto"/>
              </w:rPr>
              <w:t>Paris Olympics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473</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473</w:t>
            </w:r>
          </w:p>
        </w:tc>
        <w:tc>
          <w:tcPr>
            <w:tcW w:w="1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740" w:type="dxa"/>
            <w:vAlign w:val="bottom"/>
          </w:tcPr>
          <w:p>
            <w:pPr>
              <w:ind w:left="20"/>
              <w:spacing w:after="0"/>
              <w:rPr>
                <w:sz w:val="20"/>
                <w:szCs w:val="20"/>
                <w:color w:val="auto"/>
              </w:rPr>
            </w:pPr>
            <w:r>
              <w:rPr>
                <w:rFonts w:ascii="Arial" w:cs="Arial" w:eastAsia="Arial" w:hAnsi="Arial"/>
                <w:sz w:val="16"/>
                <w:szCs w:val="16"/>
                <w:color w:val="auto"/>
              </w:rPr>
              <w:t>Revenue excluding Olympics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$2,798</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8.0 %</w:t>
            </w:r>
          </w:p>
        </w:tc>
        <w:tc>
          <w:tcPr>
            <w:tcW w:w="140" w:type="dxa"/>
            <w:vAlign w:val="bottom"/>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$8,468</w:t>
            </w:r>
          </w:p>
        </w:tc>
        <w:tc>
          <w:tcPr>
            <w:tcW w:w="1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979"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9"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Statements of Cash Flows and are therefore excluded from capital expenditures and cash paid for intangible assets for 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20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62"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2024-10-31T06:13:02Z</dcterms:created>
  <dcterms:modified xsi:type="dcterms:W3CDTF">2024-10-31T06:13:02Z</dcterms:modified>
</cp:coreProperties>
</file>