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2"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138430</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139700</wp:posOffset>
            </wp:positionV>
            <wp:extent cx="14662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SCHEDULE 13G</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13d-102)</w:t>
      </w:r>
    </w:p>
    <w:p>
      <w:pPr>
        <w:spacing w:after="0" w:line="205" w:lineRule="exact"/>
        <w:rPr>
          <w:sz w:val="24"/>
          <w:szCs w:val="24"/>
          <w:color w:val="auto"/>
        </w:rPr>
      </w:pPr>
    </w:p>
    <w:p>
      <w:pPr>
        <w:ind w:left="2620"/>
        <w:spacing w:after="0"/>
        <w:rPr>
          <w:sz w:val="20"/>
          <w:szCs w:val="20"/>
          <w:color w:val="auto"/>
        </w:rPr>
      </w:pPr>
      <w:r>
        <w:rPr>
          <w:rFonts w:ascii="Arial" w:cs="Arial" w:eastAsia="Arial" w:hAnsi="Arial"/>
          <w:sz w:val="18"/>
          <w:szCs w:val="18"/>
          <w:b w:val="1"/>
          <w:bCs w:val="1"/>
          <w:color w:val="auto"/>
        </w:rPr>
        <w:t>INFORMATION TO BE INCLUDED IN STATEMENTS FILED PURSUANT TO</w:t>
      </w:r>
    </w:p>
    <w:p>
      <w:pPr>
        <w:spacing w:after="0" w:line="21" w:lineRule="exact"/>
        <w:rPr>
          <w:sz w:val="24"/>
          <w:szCs w:val="24"/>
          <w:color w:val="auto"/>
        </w:rPr>
      </w:pPr>
    </w:p>
    <w:p>
      <w:pPr>
        <w:ind w:left="2300"/>
        <w:spacing w:after="0"/>
        <w:rPr>
          <w:sz w:val="20"/>
          <w:szCs w:val="20"/>
          <w:color w:val="auto"/>
        </w:rPr>
      </w:pPr>
      <w:r>
        <w:rPr>
          <w:rFonts w:ascii="Arial" w:cs="Arial" w:eastAsia="Arial" w:hAnsi="Arial"/>
          <w:sz w:val="18"/>
          <w:szCs w:val="18"/>
          <w:b w:val="1"/>
          <w:bCs w:val="1"/>
          <w:color w:val="auto"/>
        </w:rPr>
        <w:t>RULE 13D-1(B), (C) AND (D) AND AMENDMENTS THERETO FILED PURSUANT TO</w:t>
      </w:r>
    </w:p>
    <w:p>
      <w:pPr>
        <w:spacing w:after="0" w:line="9" w:lineRule="exact"/>
        <w:rPr>
          <w:sz w:val="24"/>
          <w:szCs w:val="24"/>
          <w:color w:val="auto"/>
        </w:rPr>
      </w:pPr>
    </w:p>
    <w:p>
      <w:pPr>
        <w:ind w:left="5100"/>
        <w:spacing w:after="0"/>
        <w:rPr>
          <w:sz w:val="20"/>
          <w:szCs w:val="20"/>
          <w:color w:val="auto"/>
        </w:rPr>
      </w:pPr>
      <w:r>
        <w:rPr>
          <w:rFonts w:ascii="Arial" w:cs="Arial" w:eastAsia="Arial" w:hAnsi="Arial"/>
          <w:sz w:val="18"/>
          <w:szCs w:val="18"/>
          <w:b w:val="1"/>
          <w:bCs w:val="1"/>
          <w:color w:val="auto"/>
        </w:rPr>
        <w:t>RULE 13d-2(b)</w:t>
      </w:r>
    </w:p>
    <w:p>
      <w:pPr>
        <w:spacing w:after="0" w:line="213"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(Amendment No. 2) *</w:t>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The Knot,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(Name of Issuer)</w:t>
      </w:r>
    </w:p>
    <w:p>
      <w:pPr>
        <w:spacing w:after="0" w:line="2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(Title of Class of Securities)</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499184109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(CUSIP Number)</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(Date of Event Which Requires Filing of This Statement)</w:t>
      </w:r>
    </w:p>
    <w:p>
      <w:pPr>
        <w:spacing w:after="0" w:line="233" w:lineRule="exact"/>
        <w:rPr>
          <w:sz w:val="24"/>
          <w:szCs w:val="24"/>
          <w:color w:val="auto"/>
        </w:rPr>
      </w:pPr>
    </w:p>
    <w:p>
      <w:pPr>
        <w:ind w:left="58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79" w:lineRule="exact"/>
        <w:rPr>
          <w:sz w:val="24"/>
          <w:szCs w:val="24"/>
          <w:color w:val="auto"/>
        </w:rPr>
      </w:pPr>
    </w:p>
    <w:p>
      <w:pPr>
        <w:ind w:left="1260" w:hanging="67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1(b)</w:t>
      </w:r>
    </w:p>
    <w:p>
      <w:pPr>
        <w:spacing w:after="0" w:line="279" w:lineRule="exact"/>
        <w:rPr>
          <w:rFonts w:ascii="Arial" w:cs="Arial" w:eastAsia="Arial" w:hAnsi="Arial"/>
          <w:sz w:val="18"/>
          <w:szCs w:val="18"/>
          <w:color w:val="auto"/>
        </w:rPr>
      </w:pPr>
    </w:p>
    <w:p>
      <w:pPr>
        <w:ind w:left="1260" w:hanging="678"/>
        <w:spacing w:after="0"/>
        <w:tabs>
          <w:tab w:leader="none" w:pos="1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Rule 13d – 1(c)</w:t>
      </w:r>
    </w:p>
    <w:p>
      <w:pPr>
        <w:spacing w:after="0" w:line="279" w:lineRule="exact"/>
        <w:rPr>
          <w:sz w:val="24"/>
          <w:szCs w:val="24"/>
          <w:color w:val="auto"/>
        </w:rPr>
      </w:pPr>
    </w:p>
    <w:p>
      <w:pPr>
        <w:ind w:left="1260" w:hanging="678"/>
        <w:spacing w:after="0"/>
        <w:tabs>
          <w:tab w:leader="none" w:pos="1260" w:val="left"/>
        </w:tabs>
        <w:numPr>
          <w:ilvl w:val="1"/>
          <w:numId w:val="2"/>
        </w:numPr>
        <w:rPr>
          <w:rFonts w:ascii="Arial" w:cs="Arial" w:eastAsia="Arial" w:hAnsi="Arial"/>
          <w:sz w:val="18"/>
          <w:szCs w:val="18"/>
          <w:color w:val="auto"/>
        </w:rPr>
      </w:pPr>
      <w:r>
        <w:rPr>
          <w:rFonts w:ascii="Arial" w:cs="Arial" w:eastAsia="Arial" w:hAnsi="Arial"/>
          <w:sz w:val="18"/>
          <w:szCs w:val="18"/>
          <w:color w:val="auto"/>
        </w:rPr>
        <w:t>Rule 13d – 1(d)</w:t>
      </w:r>
    </w:p>
    <w:p>
      <w:pPr>
        <w:spacing w:after="0" w:line="236" w:lineRule="exact"/>
        <w:rPr>
          <w:rFonts w:ascii="Arial" w:cs="Arial" w:eastAsia="Arial" w:hAnsi="Arial"/>
          <w:sz w:val="18"/>
          <w:szCs w:val="18"/>
          <w:color w:val="auto"/>
        </w:rPr>
      </w:pPr>
    </w:p>
    <w:p>
      <w:pPr>
        <w:ind w:right="660" w:firstLine="203"/>
        <w:spacing w:after="0" w:line="239" w:lineRule="auto"/>
        <w:rPr>
          <w:rFonts w:ascii="Arial" w:cs="Arial" w:eastAsia="Arial" w:hAnsi="Arial"/>
          <w:sz w:val="18"/>
          <w:szCs w:val="18"/>
          <w:color w:val="auto"/>
        </w:rPr>
      </w:pPr>
      <w:r>
        <w:rPr>
          <w:rFonts w:ascii="Arial" w:cs="Arial" w:eastAsia="Arial" w:hAnsi="Arial"/>
          <w:sz w:val="14"/>
          <w:szCs w:val="14"/>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73" w:lineRule="exact"/>
        <w:rPr>
          <w:sz w:val="24"/>
          <w:szCs w:val="24"/>
          <w:color w:val="auto"/>
        </w:rPr>
      </w:pPr>
    </w:p>
    <w:p>
      <w:pPr>
        <w:ind w:firstLine="169"/>
        <w:spacing w:after="0" w:line="239" w:lineRule="auto"/>
        <w:rPr>
          <w:sz w:val="20"/>
          <w:szCs w:val="20"/>
          <w:color w:val="auto"/>
        </w:rPr>
      </w:pPr>
      <w:r>
        <w:rPr>
          <w:rFonts w:ascii="Arial" w:cs="Arial" w:eastAsia="Arial" w:hAnsi="Arial"/>
          <w:sz w:val="14"/>
          <w:szCs w:val="14"/>
          <w:color w:val="auto"/>
        </w:rPr>
        <w:t xml:space="preserve">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w:t>
      </w:r>
      <w:r>
        <w:rPr>
          <w:rFonts w:ascii="Arial" w:cs="Arial" w:eastAsia="Arial" w:hAnsi="Arial"/>
          <w:sz w:val="14"/>
          <w:szCs w:val="14"/>
          <w:i w:val="1"/>
          <w:iCs w:val="1"/>
          <w:color w:val="auto"/>
        </w:rPr>
        <w:t>see</w:t>
      </w:r>
      <w:r>
        <w:rPr>
          <w:rFonts w:ascii="Arial" w:cs="Arial" w:eastAsia="Arial" w:hAnsi="Arial"/>
          <w:sz w:val="14"/>
          <w:szCs w:val="14"/>
          <w:color w:val="auto"/>
        </w:rPr>
        <w:t xml:space="preserve"> the </w:t>
      </w:r>
      <w:r>
        <w:rPr>
          <w:rFonts w:ascii="Arial" w:cs="Arial" w:eastAsia="Arial" w:hAnsi="Arial"/>
          <w:sz w:val="14"/>
          <w:szCs w:val="14"/>
          <w:i w:val="1"/>
          <w:iCs w:val="1"/>
          <w:color w:val="auto"/>
        </w:rPr>
        <w:t>Notes</w:t>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Page 1 of 9</w:t>
      </w:r>
    </w:p>
    <w:p>
      <w:pPr>
        <w:spacing w:after="0" w:line="237" w:lineRule="exact"/>
        <w:rPr>
          <w:sz w:val="24"/>
          <w:szCs w:val="24"/>
          <w:color w:val="auto"/>
        </w:rPr>
      </w:pPr>
    </w:p>
    <w:tbl>
      <w:tblPr>
        <w:tblLayout w:type="fixed"/>
        <w:tblInd w:w="590" w:type="dxa"/>
        <w:tblCellMar>
          <w:top w:w="0" w:type="dxa"/>
          <w:left w:w="0" w:type="dxa"/>
          <w:bottom w:w="0" w:type="dxa"/>
          <w:right w:w="0" w:type="dxa"/>
        </w:tblCellMar>
      </w:tblPr>
      <w:tr>
        <w:trPr>
          <w:trHeight w:val="391"/>
        </w:trPr>
        <w:tc>
          <w:tcPr>
            <w:tcW w:w="2880" w:type="dxa"/>
            <w:vAlign w:val="bottom"/>
            <w:tcBorders>
              <w:top w:val="single" w:sz="8" w:color="auto"/>
              <w:left w:val="single" w:sz="8" w:color="auto"/>
              <w:right w:val="single" w:sz="8" w:color="auto"/>
            </w:tcBorders>
          </w:tcPr>
          <w:p>
            <w:pPr>
              <w:ind w:left="160"/>
              <w:spacing w:after="0"/>
              <w:rPr>
                <w:sz w:val="20"/>
                <w:szCs w:val="20"/>
                <w:color w:val="auto"/>
              </w:rPr>
            </w:pPr>
            <w:r>
              <w:rPr>
                <w:rFonts w:ascii="Arial" w:cs="Arial" w:eastAsia="Arial" w:hAnsi="Arial"/>
                <w:sz w:val="18"/>
                <w:szCs w:val="18"/>
                <w:b w:val="1"/>
                <w:bCs w:val="1"/>
                <w:color w:val="auto"/>
              </w:rPr>
              <w:t>CUSIP No. 499184109</w:t>
            </w:r>
          </w:p>
        </w:tc>
        <w:tc>
          <w:tcPr>
            <w:tcW w:w="3340" w:type="dxa"/>
            <w:vAlign w:val="bottom"/>
          </w:tcPr>
          <w:p>
            <w:pPr>
              <w:ind w:left="2960"/>
              <w:spacing w:after="0"/>
              <w:rPr>
                <w:sz w:val="20"/>
                <w:szCs w:val="20"/>
                <w:color w:val="auto"/>
              </w:rPr>
            </w:pPr>
            <w:r>
              <w:rPr>
                <w:rFonts w:ascii="Arial" w:cs="Arial" w:eastAsia="Arial" w:hAnsi="Arial"/>
                <w:sz w:val="22"/>
                <w:szCs w:val="22"/>
                <w:b w:val="1"/>
                <w:bCs w:val="1"/>
                <w:color w:val="auto"/>
                <w:w w:val="86"/>
              </w:rPr>
              <w:t>13G</w:t>
            </w:r>
          </w:p>
        </w:tc>
      </w:tr>
      <w:tr>
        <w:trPr>
          <w:trHeight w:val="122"/>
        </w:trPr>
        <w:tc>
          <w:tcPr>
            <w:tcW w:w="2880" w:type="dxa"/>
            <w:vAlign w:val="bottom"/>
            <w:tcBorders>
              <w:left w:val="single" w:sz="8" w:color="auto"/>
              <w:bottom w:val="single" w:sz="8" w:color="auto"/>
              <w:right w:val="single" w:sz="8" w:color="auto"/>
            </w:tcBorders>
          </w:tcPr>
          <w:p>
            <w:pPr>
              <w:spacing w:after="0"/>
              <w:rPr>
                <w:sz w:val="10"/>
                <w:szCs w:val="10"/>
                <w:color w:val="auto"/>
              </w:rPr>
            </w:pPr>
          </w:p>
        </w:tc>
        <w:tc>
          <w:tcPr>
            <w:tcW w:w="3340" w:type="dxa"/>
            <w:vAlign w:val="bottom"/>
          </w:tcPr>
          <w:p>
            <w:pPr>
              <w:spacing w:after="0"/>
              <w:rPr>
                <w:sz w:val="10"/>
                <w:szCs w:val="1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372110</wp:posOffset>
            </wp:positionH>
            <wp:positionV relativeFrom="paragraph">
              <wp:posOffset>150495</wp:posOffset>
            </wp:positionV>
            <wp:extent cx="6521450" cy="3982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21450" cy="3982720"/>
                    </a:xfrm>
                    <a:prstGeom prst="rect">
                      <a:avLst/>
                    </a:prstGeom>
                    <a:noFill/>
                  </pic:spPr>
                </pic:pic>
              </a:graphicData>
            </a:graphic>
          </wp:anchor>
        </w:drawing>
      </w:r>
    </w:p>
    <w:p>
      <w:pPr>
        <w:spacing w:after="0" w:line="306" w:lineRule="exact"/>
        <w:rPr>
          <w:sz w:val="24"/>
          <w:szCs w:val="24"/>
          <w:color w:val="auto"/>
        </w:rPr>
      </w:pPr>
    </w:p>
    <w:p>
      <w:pPr>
        <w:ind w:left="2020" w:hanging="793"/>
        <w:spacing w:after="0"/>
        <w:tabs>
          <w:tab w:leader="none" w:pos="20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NAME OF REPORTING PERSONS</w:t>
      </w:r>
    </w:p>
    <w:p>
      <w:pPr>
        <w:spacing w:after="0" w:line="15" w:lineRule="exact"/>
        <w:rPr>
          <w:rFonts w:ascii="Arial" w:cs="Arial" w:eastAsia="Arial" w:hAnsi="Arial"/>
          <w:sz w:val="18"/>
          <w:szCs w:val="18"/>
          <w:color w:val="auto"/>
        </w:rPr>
      </w:pPr>
    </w:p>
    <w:p>
      <w:pPr>
        <w:ind w:left="2020"/>
        <w:spacing w:after="0"/>
        <w:rPr>
          <w:rFonts w:ascii="Arial" w:cs="Arial" w:eastAsia="Arial" w:hAnsi="Arial"/>
          <w:sz w:val="18"/>
          <w:szCs w:val="18"/>
          <w:color w:val="auto"/>
        </w:rPr>
      </w:pPr>
      <w:r>
        <w:rPr>
          <w:rFonts w:ascii="Arial" w:cs="Arial" w:eastAsia="Arial" w:hAnsi="Arial"/>
          <w:sz w:val="18"/>
          <w:szCs w:val="18"/>
          <w:color w:val="auto"/>
        </w:rPr>
        <w:t>I.R.S. IDENTIFICATION NO. OF ABOVE PERSON</w:t>
      </w:r>
    </w:p>
    <w:p>
      <w:pPr>
        <w:spacing w:after="0" w:line="219"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Comcast Holdings Corporation (formerly known as Comcast Corporation)</w:t>
      </w:r>
    </w:p>
    <w:p>
      <w:pPr>
        <w:spacing w:after="0" w:line="15"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23-1709202</w:t>
      </w:r>
    </w:p>
    <w:p>
      <w:pPr>
        <w:spacing w:after="0" w:line="165" w:lineRule="exact"/>
        <w:rPr>
          <w:sz w:val="24"/>
          <w:szCs w:val="24"/>
          <w:color w:val="auto"/>
        </w:rPr>
      </w:pPr>
    </w:p>
    <w:p>
      <w:pPr>
        <w:ind w:left="2020" w:hanging="793"/>
        <w:spacing w:after="0"/>
        <w:tabs>
          <w:tab w:leader="none" w:pos="2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sz w:val="24"/>
          <w:szCs w:val="24"/>
          <w:color w:val="auto"/>
        </w:rPr>
      </w:pPr>
    </w:p>
    <w:p>
      <w:pPr>
        <w:ind w:left="10380"/>
        <w:spacing w:after="0"/>
        <w:rPr>
          <w:sz w:val="20"/>
          <w:szCs w:val="20"/>
          <w:color w:val="auto"/>
        </w:rPr>
      </w:pPr>
      <w:r>
        <w:rPr>
          <w:rFonts w:ascii="Arial" w:cs="Arial" w:eastAsia="Arial" w:hAnsi="Arial"/>
          <w:sz w:val="18"/>
          <w:szCs w:val="18"/>
          <w:color w:val="auto"/>
        </w:rPr>
        <w:t>(a) o</w:t>
      </w:r>
    </w:p>
    <w:p>
      <w:pPr>
        <w:spacing w:after="0" w:line="36" w:lineRule="exact"/>
        <w:rPr>
          <w:sz w:val="24"/>
          <w:szCs w:val="24"/>
          <w:color w:val="auto"/>
        </w:rPr>
      </w:pPr>
    </w:p>
    <w:p>
      <w:pPr>
        <w:ind w:left="10360"/>
        <w:spacing w:after="0"/>
        <w:rPr>
          <w:sz w:val="20"/>
          <w:szCs w:val="20"/>
          <w:color w:val="auto"/>
        </w:rPr>
      </w:pPr>
      <w:r>
        <w:rPr>
          <w:rFonts w:ascii="Arial" w:cs="Arial" w:eastAsia="Arial" w:hAnsi="Arial"/>
          <w:sz w:val="18"/>
          <w:szCs w:val="18"/>
          <w:color w:val="auto"/>
        </w:rPr>
        <w:t>(b) o</w:t>
      </w:r>
    </w:p>
    <w:p>
      <w:pPr>
        <w:spacing w:after="0" w:line="171" w:lineRule="exact"/>
        <w:rPr>
          <w:sz w:val="24"/>
          <w:szCs w:val="24"/>
          <w:color w:val="auto"/>
        </w:rPr>
      </w:pPr>
    </w:p>
    <w:p>
      <w:pPr>
        <w:ind w:left="2020" w:hanging="793"/>
        <w:spacing w:after="0"/>
        <w:tabs>
          <w:tab w:leader="none" w:pos="2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sz w:val="24"/>
          <w:szCs w:val="24"/>
          <w:color w:val="auto"/>
        </w:rPr>
      </w:pPr>
    </w:p>
    <w:p>
      <w:pPr>
        <w:spacing w:after="0" w:line="214" w:lineRule="exact"/>
        <w:rPr>
          <w:sz w:val="24"/>
          <w:szCs w:val="24"/>
          <w:color w:val="auto"/>
        </w:rPr>
      </w:pPr>
    </w:p>
    <w:p>
      <w:pPr>
        <w:ind w:left="2020" w:hanging="793"/>
        <w:spacing w:after="0"/>
        <w:tabs>
          <w:tab w:leader="none" w:pos="2020" w:val="left"/>
        </w:tabs>
        <w:numPr>
          <w:ilvl w:val="0"/>
          <w:numId w:val="6"/>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25" w:lineRule="exact"/>
        <w:rPr>
          <w:sz w:val="24"/>
          <w:szCs w:val="24"/>
          <w:color w:val="auto"/>
        </w:rPr>
      </w:pPr>
    </w:p>
    <w:p>
      <w:pPr>
        <w:ind w:left="2020"/>
        <w:spacing w:after="0"/>
        <w:rPr>
          <w:sz w:val="20"/>
          <w:szCs w:val="20"/>
          <w:color w:val="auto"/>
        </w:rPr>
      </w:pPr>
      <w:r>
        <w:rPr>
          <w:rFonts w:ascii="Arial" w:cs="Arial" w:eastAsia="Arial" w:hAnsi="Arial"/>
          <w:sz w:val="18"/>
          <w:szCs w:val="18"/>
          <w:color w:val="auto"/>
        </w:rPr>
        <w:t>Pennsylvania</w:t>
      </w:r>
    </w:p>
    <w:p>
      <w:pPr>
        <w:spacing w:after="0" w:line="62" w:lineRule="exact"/>
        <w:rPr>
          <w:sz w:val="24"/>
          <w:szCs w:val="24"/>
          <w:color w:val="auto"/>
        </w:rPr>
      </w:pPr>
    </w:p>
    <w:tbl>
      <w:tblPr>
        <w:tblLayout w:type="fixed"/>
        <w:tblInd w:w="580" w:type="dxa"/>
        <w:tblCellMar>
          <w:top w:w="0" w:type="dxa"/>
          <w:left w:w="0" w:type="dxa"/>
          <w:bottom w:w="0" w:type="dxa"/>
          <w:right w:w="0" w:type="dxa"/>
        </w:tblCellMar>
      </w:tblPr>
      <w:tr>
        <w:trPr>
          <w:trHeight w:val="305"/>
        </w:trPr>
        <w:tc>
          <w:tcPr>
            <w:tcW w:w="39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NUMBER OF SHARES</w:t>
            </w:r>
          </w:p>
        </w:tc>
        <w:tc>
          <w:tcPr>
            <w:tcW w:w="440" w:type="dxa"/>
            <w:vAlign w:val="bottom"/>
            <w:tcBorders>
              <w:top w:val="single" w:sz="8" w:color="auto"/>
            </w:tcBorders>
          </w:tcPr>
          <w:p>
            <w:pPr>
              <w:jc w:val="right"/>
              <w:ind w:right="52"/>
              <w:spacing w:after="0"/>
              <w:rPr>
                <w:sz w:val="20"/>
                <w:szCs w:val="20"/>
                <w:color w:val="auto"/>
              </w:rPr>
            </w:pPr>
            <w:r>
              <w:rPr>
                <w:rFonts w:ascii="Arial" w:cs="Arial" w:eastAsia="Arial" w:hAnsi="Arial"/>
                <w:sz w:val="18"/>
                <w:szCs w:val="18"/>
                <w:color w:val="auto"/>
              </w:rPr>
              <w:t>5</w:t>
            </w:r>
          </w:p>
        </w:tc>
        <w:tc>
          <w:tcPr>
            <w:tcW w:w="592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BENEFICIALLY OWNED BY</w:t>
            </w:r>
          </w:p>
        </w:tc>
        <w:tc>
          <w:tcPr>
            <w:tcW w:w="440" w:type="dxa"/>
            <w:vAlign w:val="bottom"/>
          </w:tcPr>
          <w:p>
            <w:pPr>
              <w:spacing w:after="0"/>
              <w:rPr>
                <w:sz w:val="18"/>
                <w:szCs w:val="18"/>
                <w:color w:val="auto"/>
              </w:rPr>
            </w:pPr>
          </w:p>
        </w:tc>
        <w:tc>
          <w:tcPr>
            <w:tcW w:w="5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1"/>
              </w:rPr>
              <w:t>EACH REPORTING PERSON</w:t>
            </w:r>
          </w:p>
        </w:tc>
        <w:tc>
          <w:tcPr>
            <w:tcW w:w="440" w:type="dxa"/>
            <w:vAlign w:val="bottom"/>
          </w:tcPr>
          <w:p>
            <w:pPr>
              <w:spacing w:after="0"/>
              <w:rPr>
                <w:sz w:val="18"/>
                <w:szCs w:val="18"/>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6"/>
        </w:trPr>
        <w:tc>
          <w:tcPr>
            <w:tcW w:w="3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WITH</w:t>
            </w:r>
          </w:p>
        </w:tc>
        <w:tc>
          <w:tcPr>
            <w:tcW w:w="440" w:type="dxa"/>
            <w:vAlign w:val="bottom"/>
            <w:tcBorders>
              <w:bottom w:val="single" w:sz="8" w:color="auto"/>
            </w:tcBorders>
          </w:tcPr>
          <w:p>
            <w:pPr>
              <w:spacing w:after="0"/>
              <w:rPr>
                <w:sz w:val="7"/>
                <w:szCs w:val="7"/>
                <w:color w:val="auto"/>
              </w:rPr>
            </w:pPr>
          </w:p>
        </w:tc>
        <w:tc>
          <w:tcPr>
            <w:tcW w:w="59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920" w:type="dxa"/>
            <w:vAlign w:val="bottom"/>
            <w:tcBorders>
              <w:right w:val="single" w:sz="8" w:color="auto"/>
            </w:tcBorders>
            <w:vMerge w:val="continue"/>
          </w:tcPr>
          <w:p>
            <w:pPr>
              <w:spacing w:after="0"/>
              <w:rPr>
                <w:sz w:val="10"/>
                <w:szCs w:val="10"/>
                <w:color w:val="auto"/>
              </w:rPr>
            </w:pPr>
          </w:p>
        </w:tc>
        <w:tc>
          <w:tcPr>
            <w:tcW w:w="440" w:type="dxa"/>
            <w:vAlign w:val="bottom"/>
            <w:vMerge w:val="restart"/>
          </w:tcPr>
          <w:p>
            <w:pPr>
              <w:jc w:val="right"/>
              <w:ind w:right="52"/>
              <w:spacing w:after="0"/>
              <w:rPr>
                <w:sz w:val="20"/>
                <w:szCs w:val="20"/>
                <w:color w:val="auto"/>
              </w:rPr>
            </w:pPr>
            <w:r>
              <w:rPr>
                <w:rFonts w:ascii="Arial" w:cs="Arial" w:eastAsia="Arial" w:hAnsi="Arial"/>
                <w:sz w:val="18"/>
                <w:szCs w:val="18"/>
                <w:color w:val="auto"/>
              </w:rPr>
              <w:t>6</w:t>
            </w:r>
          </w:p>
        </w:tc>
        <w:tc>
          <w:tcPr>
            <w:tcW w:w="5920" w:type="dxa"/>
            <w:vAlign w:val="bottom"/>
            <w:vMerge w:val="restart"/>
          </w:tcPr>
          <w:p>
            <w:pPr>
              <w:ind w:left="14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162"/>
        </w:trPr>
        <w:tc>
          <w:tcPr>
            <w:tcW w:w="3920" w:type="dxa"/>
            <w:vAlign w:val="bottom"/>
            <w:tcBorders>
              <w:right w:val="single" w:sz="8" w:color="auto"/>
            </w:tcBorders>
          </w:tcPr>
          <w:p>
            <w:pPr>
              <w:spacing w:after="0"/>
              <w:rPr>
                <w:sz w:val="14"/>
                <w:szCs w:val="14"/>
                <w:color w:val="auto"/>
              </w:rPr>
            </w:pPr>
          </w:p>
        </w:tc>
        <w:tc>
          <w:tcPr>
            <w:tcW w:w="440" w:type="dxa"/>
            <w:vAlign w:val="bottom"/>
            <w:vMerge w:val="continue"/>
          </w:tcPr>
          <w:p>
            <w:pPr>
              <w:spacing w:after="0"/>
              <w:rPr>
                <w:sz w:val="14"/>
                <w:szCs w:val="14"/>
                <w:color w:val="auto"/>
              </w:rPr>
            </w:pPr>
          </w:p>
        </w:tc>
        <w:tc>
          <w:tcPr>
            <w:tcW w:w="59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3920" w:type="dxa"/>
            <w:vAlign w:val="bottom"/>
            <w:tcBorders>
              <w:right w:val="single" w:sz="8" w:color="auto"/>
            </w:tcBorders>
          </w:tcPr>
          <w:p>
            <w:pPr>
              <w:spacing w:after="0"/>
              <w:rPr>
                <w:sz w:val="24"/>
                <w:szCs w:val="24"/>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7</w:t>
            </w:r>
          </w:p>
        </w:tc>
        <w:tc>
          <w:tcPr>
            <w:tcW w:w="5920" w:type="dxa"/>
            <w:vAlign w:val="bottom"/>
          </w:tcPr>
          <w:p>
            <w:pPr>
              <w:ind w:left="14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432"/>
        </w:trPr>
        <w:tc>
          <w:tcPr>
            <w:tcW w:w="3920" w:type="dxa"/>
            <w:vAlign w:val="bottom"/>
            <w:tcBorders>
              <w:right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5920" w:type="dxa"/>
            <w:vAlign w:val="bottom"/>
          </w:tcPr>
          <w:p>
            <w:pPr>
              <w:ind w:left="1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3920" w:type="dxa"/>
            <w:vAlign w:val="bottom"/>
            <w:tcBorders>
              <w:right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592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3920" w:type="dxa"/>
            <w:vAlign w:val="bottom"/>
            <w:tcBorders>
              <w:right w:val="single" w:sz="8" w:color="auto"/>
            </w:tcBorders>
          </w:tcPr>
          <w:p>
            <w:pPr>
              <w:spacing w:after="0"/>
              <w:rPr>
                <w:sz w:val="23"/>
                <w:szCs w:val="23"/>
                <w:color w:val="auto"/>
              </w:rPr>
            </w:pPr>
          </w:p>
        </w:tc>
        <w:tc>
          <w:tcPr>
            <w:tcW w:w="440" w:type="dxa"/>
            <w:vAlign w:val="bottom"/>
          </w:tcPr>
          <w:p>
            <w:pPr>
              <w:jc w:val="right"/>
              <w:ind w:right="52"/>
              <w:spacing w:after="0"/>
              <w:rPr>
                <w:sz w:val="20"/>
                <w:szCs w:val="20"/>
                <w:color w:val="auto"/>
              </w:rPr>
            </w:pPr>
            <w:r>
              <w:rPr>
                <w:rFonts w:ascii="Arial" w:cs="Arial" w:eastAsia="Arial" w:hAnsi="Arial"/>
                <w:sz w:val="18"/>
                <w:szCs w:val="18"/>
                <w:color w:val="auto"/>
              </w:rPr>
              <w:t>8</w:t>
            </w:r>
          </w:p>
        </w:tc>
        <w:tc>
          <w:tcPr>
            <w:tcW w:w="5920" w:type="dxa"/>
            <w:vAlign w:val="bottom"/>
          </w:tcPr>
          <w:p>
            <w:pPr>
              <w:ind w:left="14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ectPr>
          <w:pgSz w:w="11900" w:h="16900" w:orient="portrait"/>
          <w:cols w:equalWidth="0" w:num="1">
            <w:col w:w="11420"/>
          </w:cols>
          <w:pgMar w:left="240" w:top="450" w:right="239" w:bottom="0" w:gutter="0" w:footer="0" w:header="0"/>
        </w:sectPr>
      </w:pPr>
    </w:p>
    <w:bookmarkStart w:id="1" w:name="page2"/>
    <w:bookmarkEnd w:id="1"/>
    <w:p>
      <w:pPr>
        <w:ind w:left="45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524510</wp:posOffset>
            </wp:positionH>
            <wp:positionV relativeFrom="page">
              <wp:posOffset>88900</wp:posOffset>
            </wp:positionV>
            <wp:extent cx="6521450" cy="23945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21450" cy="2394585"/>
                    </a:xfrm>
                    <a:prstGeom prst="rect">
                      <a:avLst/>
                    </a:prstGeom>
                    <a:noFill/>
                  </pic:spPr>
                </pic:pic>
              </a:graphicData>
            </a:graphic>
          </wp:anchor>
        </w:drawing>
        <w:t>0</w:t>
      </w:r>
    </w:p>
    <w:p>
      <w:pPr>
        <w:spacing w:after="0" w:line="171" w:lineRule="exact"/>
        <w:rPr>
          <w:sz w:val="20"/>
          <w:szCs w:val="20"/>
          <w:color w:val="auto"/>
        </w:rPr>
      </w:pPr>
    </w:p>
    <w:p>
      <w:pPr>
        <w:ind w:left="1440" w:hanging="793"/>
        <w:spacing w:after="0"/>
        <w:tabs>
          <w:tab w:leader="none" w:pos="1440" w:val="left"/>
        </w:tabs>
        <w:numPr>
          <w:ilvl w:val="0"/>
          <w:numId w:val="7"/>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0</w:t>
      </w:r>
    </w:p>
    <w:p>
      <w:pPr>
        <w:spacing w:after="0" w:line="171" w:lineRule="exact"/>
        <w:rPr>
          <w:sz w:val="20"/>
          <w:szCs w:val="20"/>
          <w:color w:val="auto"/>
        </w:rPr>
      </w:pPr>
    </w:p>
    <w:p>
      <w:pPr>
        <w:ind w:left="600"/>
        <w:spacing w:after="0"/>
        <w:tabs>
          <w:tab w:leader="none" w:pos="142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8"/>
          <w:szCs w:val="18"/>
          <w:color w:val="auto"/>
        </w:rPr>
        <w:t>CHECK BOX IF THE AGGREGATE AMOUNT IN ROW (9) EXCLUDES CERTAIN SHARES</w:t>
      </w:r>
    </w:p>
    <w:p>
      <w:pPr>
        <w:spacing w:after="0" w:line="15" w:lineRule="exact"/>
        <w:rPr>
          <w:sz w:val="20"/>
          <w:szCs w:val="20"/>
          <w:color w:val="auto"/>
        </w:rPr>
      </w:pPr>
    </w:p>
    <w:p>
      <w:pPr>
        <w:ind w:left="10040"/>
        <w:spacing w:after="0"/>
        <w:rPr>
          <w:sz w:val="20"/>
          <w:szCs w:val="20"/>
          <w:color w:val="auto"/>
        </w:rPr>
      </w:pPr>
      <w:r>
        <w:rPr>
          <w:rFonts w:ascii="Arial" w:cs="Arial" w:eastAsia="Arial" w:hAnsi="Arial"/>
          <w:sz w:val="18"/>
          <w:szCs w:val="18"/>
          <w:color w:val="auto"/>
        </w:rPr>
        <w:t>o</w:t>
      </w:r>
    </w:p>
    <w:p>
      <w:pPr>
        <w:spacing w:after="0" w:line="381" w:lineRule="exact"/>
        <w:rPr>
          <w:sz w:val="20"/>
          <w:szCs w:val="20"/>
          <w:color w:val="auto"/>
        </w:rPr>
      </w:pPr>
    </w:p>
    <w:p>
      <w:pPr>
        <w:ind w:left="1440" w:right="4020" w:hanging="834"/>
        <w:spacing w:after="0" w:line="469" w:lineRule="auto"/>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9 0%</w:t>
      </w:r>
    </w:p>
    <w:p>
      <w:pPr>
        <w:spacing w:after="0" w:line="1" w:lineRule="exact"/>
        <w:rPr>
          <w:rFonts w:ascii="Arial" w:cs="Arial" w:eastAsia="Arial" w:hAnsi="Arial"/>
          <w:sz w:val="18"/>
          <w:szCs w:val="18"/>
          <w:color w:val="auto"/>
        </w:rPr>
      </w:pPr>
    </w:p>
    <w:p>
      <w:pPr>
        <w:ind w:left="1440" w:right="6400" w:hanging="837"/>
        <w:spacing w:after="0" w:line="519" w:lineRule="auto"/>
        <w:tabs>
          <w:tab w:leader="none" w:pos="14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TYPE OF REPORTING PERSON CO</w:t>
      </w:r>
    </w:p>
    <w:p>
      <w:pPr>
        <w:spacing w:after="0" w:line="30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368935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10" w:type="dxa"/>
        <w:tblCellMar>
          <w:top w:w="0" w:type="dxa"/>
          <w:left w:w="0" w:type="dxa"/>
          <w:bottom w:w="0" w:type="dxa"/>
          <w:right w:w="0" w:type="dxa"/>
        </w:tblCellMar>
      </w:tblPr>
      <w:tr>
        <w:trPr>
          <w:trHeight w:val="391"/>
        </w:trPr>
        <w:tc>
          <w:tcPr>
            <w:tcW w:w="2880" w:type="dxa"/>
            <w:vAlign w:val="bottom"/>
            <w:tcBorders>
              <w:top w:val="single" w:sz="8" w:color="auto"/>
              <w:right w:val="single" w:sz="8" w:color="auto"/>
            </w:tcBorders>
            <w:gridSpan w:val="3"/>
          </w:tcPr>
          <w:p>
            <w:pPr>
              <w:ind w:left="160"/>
              <w:spacing w:after="0"/>
              <w:rPr>
                <w:sz w:val="20"/>
                <w:szCs w:val="20"/>
                <w:color w:val="auto"/>
              </w:rPr>
            </w:pPr>
            <w:r>
              <w:rPr>
                <w:rFonts w:ascii="Arial" w:cs="Arial" w:eastAsia="Arial" w:hAnsi="Arial"/>
                <w:sz w:val="18"/>
                <w:szCs w:val="18"/>
                <w:b w:val="1"/>
                <w:bCs w:val="1"/>
                <w:color w:val="auto"/>
              </w:rPr>
              <w:t>CUSIP No. 499184109</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Pr>
          <w:p>
            <w:pPr>
              <w:ind w:left="1400"/>
              <w:spacing w:after="0"/>
              <w:rPr>
                <w:sz w:val="20"/>
                <w:szCs w:val="20"/>
                <w:color w:val="auto"/>
              </w:rPr>
            </w:pPr>
            <w:r>
              <w:rPr>
                <w:rFonts w:ascii="Arial" w:cs="Arial" w:eastAsia="Arial" w:hAnsi="Arial"/>
                <w:sz w:val="22"/>
                <w:szCs w:val="22"/>
                <w:b w:val="1"/>
                <w:bCs w:val="1"/>
                <w:color w:val="auto"/>
              </w:rPr>
              <w:t>13G</w:t>
            </w:r>
          </w:p>
        </w:tc>
        <w:tc>
          <w:tcPr>
            <w:tcW w:w="0" w:type="dxa"/>
            <w:vAlign w:val="bottom"/>
          </w:tcPr>
          <w:p>
            <w:pPr>
              <w:spacing w:after="0"/>
              <w:rPr>
                <w:sz w:val="1"/>
                <w:szCs w:val="1"/>
                <w:color w:val="auto"/>
              </w:rPr>
            </w:pPr>
          </w:p>
        </w:tc>
      </w:tr>
      <w:tr>
        <w:trPr>
          <w:trHeight w:val="122"/>
        </w:trPr>
        <w:tc>
          <w:tcPr>
            <w:tcW w:w="8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500" w:type="dxa"/>
            <w:vAlign w:val="bottom"/>
            <w:tcBorders>
              <w:bottom w:val="single" w:sz="8" w:color="auto"/>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2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2560" w:type="dxa"/>
            <w:vAlign w:val="bottom"/>
            <w:tcBorders>
              <w:bottom w:val="single" w:sz="8" w:color="auto"/>
            </w:tcBorders>
            <w:gridSpan w:val="2"/>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58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1</w:t>
            </w:r>
          </w:p>
        </w:tc>
        <w:tc>
          <w:tcPr>
            <w:tcW w:w="560" w:type="dxa"/>
            <w:vAlign w:val="bottom"/>
            <w:tcBorders>
              <w:right w:val="single" w:sz="8" w:color="auto"/>
            </w:tcBorders>
          </w:tcPr>
          <w:p>
            <w:pPr>
              <w:spacing w:after="0"/>
              <w:rPr>
                <w:sz w:val="23"/>
                <w:szCs w:val="23"/>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1"/>
              </w:rPr>
              <w:t>NAME OF REPORTING PERSONS</w:t>
            </w:r>
          </w:p>
        </w:tc>
        <w:tc>
          <w:tcPr>
            <w:tcW w:w="340" w:type="dxa"/>
            <w:vAlign w:val="bottom"/>
          </w:tcPr>
          <w:p>
            <w:pPr>
              <w:spacing w:after="0"/>
              <w:rPr>
                <w:sz w:val="23"/>
                <w:szCs w:val="23"/>
                <w:color w:val="auto"/>
              </w:rPr>
            </w:pPr>
          </w:p>
        </w:tc>
        <w:tc>
          <w:tcPr>
            <w:tcW w:w="58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I.R.S. IDENTIFICATION NO. OF ABOVE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Comcast QIH, Inc.</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500" w:type="dxa"/>
            <w:vAlign w:val="bottom"/>
            <w:tcBorders>
              <w:bottom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2</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(a) o</w:t>
            </w:r>
          </w:p>
        </w:tc>
        <w:tc>
          <w:tcPr>
            <w:tcW w:w="0" w:type="dxa"/>
            <w:vAlign w:val="bottom"/>
          </w:tcPr>
          <w:p>
            <w:pPr>
              <w:spacing w:after="0"/>
              <w:rPr>
                <w:sz w:val="1"/>
                <w:szCs w:val="1"/>
                <w:color w:val="auto"/>
              </w:rPr>
            </w:pPr>
          </w:p>
        </w:tc>
      </w:tr>
      <w:tr>
        <w:trPr>
          <w:trHeight w:val="243"/>
        </w:trPr>
        <w:tc>
          <w:tcPr>
            <w:tcW w:w="820" w:type="dxa"/>
            <w:vAlign w:val="bottom"/>
            <w:tcBorders>
              <w:left w:val="single" w:sz="8" w:color="auto"/>
            </w:tcBorders>
          </w:tcPr>
          <w:p>
            <w:pPr>
              <w:spacing w:after="0"/>
              <w:rPr>
                <w:sz w:val="21"/>
                <w:szCs w:val="21"/>
                <w:color w:val="auto"/>
              </w:rPr>
            </w:pPr>
          </w:p>
        </w:tc>
        <w:tc>
          <w:tcPr>
            <w:tcW w:w="560" w:type="dxa"/>
            <w:vAlign w:val="bottom"/>
            <w:tcBorders>
              <w:right w:val="single" w:sz="8" w:color="auto"/>
            </w:tcBorders>
          </w:tcPr>
          <w:p>
            <w:pPr>
              <w:spacing w:after="0"/>
              <w:rPr>
                <w:sz w:val="21"/>
                <w:szCs w:val="21"/>
                <w:color w:val="auto"/>
              </w:rPr>
            </w:pPr>
          </w:p>
        </w:tc>
        <w:tc>
          <w:tcPr>
            <w:tcW w:w="15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(b) o</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560" w:type="dxa"/>
            <w:vAlign w:val="bottom"/>
            <w:tcBorders>
              <w:bottom w:val="single" w:sz="8" w:color="auto"/>
            </w:tcBorders>
            <w:gridSpan w:val="2"/>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3</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SEC USE ONLY</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2560" w:type="dxa"/>
            <w:vAlign w:val="bottom"/>
            <w:tcBorders>
              <w:bottom w:val="single" w:sz="8" w:color="auto"/>
            </w:tcBorders>
            <w:gridSpan w:val="2"/>
          </w:tcPr>
          <w:p>
            <w:pPr>
              <w:spacing w:after="0"/>
              <w:rPr>
                <w:sz w:val="24"/>
                <w:szCs w:val="24"/>
                <w:color w:val="auto"/>
              </w:rPr>
            </w:pPr>
          </w:p>
        </w:tc>
        <w:tc>
          <w:tcPr>
            <w:tcW w:w="500" w:type="dxa"/>
            <w:vAlign w:val="bottom"/>
            <w:tcBorders>
              <w:bottom w:val="single" w:sz="8" w:color="auto"/>
            </w:tcBorders>
            <w:gridSpan w:val="2"/>
          </w:tcPr>
          <w:p>
            <w:pPr>
              <w:spacing w:after="0"/>
              <w:rPr>
                <w:sz w:val="24"/>
                <w:szCs w:val="24"/>
                <w:color w:val="auto"/>
              </w:rPr>
            </w:pPr>
          </w:p>
        </w:tc>
        <w:tc>
          <w:tcPr>
            <w:tcW w:w="58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4</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Delaware</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5</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6</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91"/>
        </w:trPr>
        <w:tc>
          <w:tcPr>
            <w:tcW w:w="820" w:type="dxa"/>
            <w:vAlign w:val="bottom"/>
            <w:tcBorders>
              <w:left w:val="single" w:sz="8" w:color="auto"/>
            </w:tcBorders>
          </w:tcPr>
          <w:p>
            <w:pPr>
              <w:spacing w:after="0"/>
              <w:rPr>
                <w:sz w:val="24"/>
                <w:szCs w:val="24"/>
                <w:color w:val="auto"/>
              </w:rPr>
            </w:pPr>
          </w:p>
        </w:tc>
        <w:tc>
          <w:tcPr>
            <w:tcW w:w="3120" w:type="dxa"/>
            <w:vAlign w:val="bottom"/>
            <w:tcBorders>
              <w:right w:val="single" w:sz="8" w:color="auto"/>
            </w:tcBorders>
            <w:gridSpan w:val="3"/>
          </w:tcPr>
          <w:p>
            <w:pPr>
              <w:jc w:val="center"/>
              <w:ind w:right="820"/>
              <w:spacing w:after="0"/>
              <w:rPr>
                <w:sz w:val="20"/>
                <w:szCs w:val="20"/>
                <w:color w:val="auto"/>
              </w:rPr>
            </w:pPr>
            <w:r>
              <w:rPr>
                <w:rFonts w:ascii="Arial" w:cs="Arial" w:eastAsia="Arial" w:hAnsi="Arial"/>
                <w:sz w:val="18"/>
                <w:szCs w:val="18"/>
                <w:color w:val="auto"/>
                <w:w w:val="93"/>
              </w:rPr>
              <w:t>NUMBER OF SHARES</w:t>
            </w: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41"/>
        </w:trPr>
        <w:tc>
          <w:tcPr>
            <w:tcW w:w="820" w:type="dxa"/>
            <w:vAlign w:val="bottom"/>
            <w:tcBorders>
              <w:left w:val="single" w:sz="8" w:color="auto"/>
            </w:tcBorders>
          </w:tcPr>
          <w:p>
            <w:pPr>
              <w:spacing w:after="0"/>
              <w:rPr>
                <w:sz w:val="12"/>
                <w:szCs w:val="12"/>
                <w:color w:val="auto"/>
              </w:rPr>
            </w:pPr>
          </w:p>
        </w:tc>
        <w:tc>
          <w:tcPr>
            <w:tcW w:w="3120" w:type="dxa"/>
            <w:vAlign w:val="bottom"/>
            <w:tcBorders>
              <w:right w:val="single" w:sz="8" w:color="auto"/>
            </w:tcBorders>
            <w:gridSpan w:val="3"/>
            <w:vMerge w:val="restart"/>
          </w:tcPr>
          <w:p>
            <w:pPr>
              <w:jc w:val="center"/>
              <w:ind w:right="820"/>
              <w:spacing w:after="0"/>
              <w:rPr>
                <w:sz w:val="20"/>
                <w:szCs w:val="20"/>
                <w:color w:val="auto"/>
              </w:rPr>
            </w:pPr>
            <w:r>
              <w:rPr>
                <w:rFonts w:ascii="Arial" w:cs="Arial" w:eastAsia="Arial" w:hAnsi="Arial"/>
                <w:sz w:val="18"/>
                <w:szCs w:val="18"/>
                <w:color w:val="auto"/>
                <w:w w:val="96"/>
              </w:rPr>
              <w:t>BENEFICIALLY OWNED BY</w:t>
            </w:r>
          </w:p>
        </w:tc>
        <w:tc>
          <w:tcPr>
            <w:tcW w:w="160" w:type="dxa"/>
            <w:vAlign w:val="bottom"/>
          </w:tcPr>
          <w:p>
            <w:pPr>
              <w:spacing w:after="0"/>
              <w:rPr>
                <w:sz w:val="12"/>
                <w:szCs w:val="12"/>
                <w:color w:val="auto"/>
              </w:rPr>
            </w:pPr>
          </w:p>
        </w:tc>
        <w:tc>
          <w:tcPr>
            <w:tcW w:w="340" w:type="dxa"/>
            <w:vAlign w:val="bottom"/>
            <w:tcBorders>
              <w:right w:val="single" w:sz="8" w:color="auto"/>
            </w:tcBorders>
          </w:tcPr>
          <w:p>
            <w:pPr>
              <w:spacing w:after="0"/>
              <w:rPr>
                <w:sz w:val="12"/>
                <w:szCs w:val="12"/>
                <w:color w:val="auto"/>
              </w:rPr>
            </w:pPr>
          </w:p>
        </w:tc>
        <w:tc>
          <w:tcPr>
            <w:tcW w:w="5840" w:type="dxa"/>
            <w:vAlign w:val="bottom"/>
            <w:tcBorders>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3120" w:type="dxa"/>
            <w:vAlign w:val="bottom"/>
            <w:tcBorders>
              <w:right w:val="single" w:sz="8" w:color="auto"/>
            </w:tcBorders>
            <w:gridSpan w:val="3"/>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91"/>
        </w:trPr>
        <w:tc>
          <w:tcPr>
            <w:tcW w:w="820" w:type="dxa"/>
            <w:vAlign w:val="bottom"/>
            <w:tcBorders>
              <w:left w:val="single" w:sz="8" w:color="auto"/>
            </w:tcBorders>
          </w:tcPr>
          <w:p>
            <w:pPr>
              <w:spacing w:after="0"/>
              <w:rPr>
                <w:sz w:val="16"/>
                <w:szCs w:val="16"/>
                <w:color w:val="auto"/>
              </w:rPr>
            </w:pPr>
          </w:p>
        </w:tc>
        <w:tc>
          <w:tcPr>
            <w:tcW w:w="3120" w:type="dxa"/>
            <w:vAlign w:val="bottom"/>
            <w:tcBorders>
              <w:right w:val="single" w:sz="8" w:color="auto"/>
            </w:tcBorders>
            <w:gridSpan w:val="3"/>
          </w:tcPr>
          <w:p>
            <w:pPr>
              <w:jc w:val="center"/>
              <w:ind w:right="820"/>
              <w:spacing w:after="0" w:line="191" w:lineRule="exact"/>
              <w:rPr>
                <w:sz w:val="20"/>
                <w:szCs w:val="20"/>
                <w:color w:val="auto"/>
              </w:rPr>
            </w:pPr>
            <w:r>
              <w:rPr>
                <w:rFonts w:ascii="Arial" w:cs="Arial" w:eastAsia="Arial" w:hAnsi="Arial"/>
                <w:sz w:val="18"/>
                <w:szCs w:val="18"/>
                <w:color w:val="auto"/>
                <w:w w:val="91"/>
              </w:rPr>
              <w:t>EACH REPORTING PERSON</w:t>
            </w:r>
          </w:p>
        </w:tc>
        <w:tc>
          <w:tcPr>
            <w:tcW w:w="160" w:type="dxa"/>
            <w:vAlign w:val="bottom"/>
          </w:tcPr>
          <w:p>
            <w:pPr>
              <w:spacing w:after="0"/>
              <w:rPr>
                <w:sz w:val="16"/>
                <w:szCs w:val="16"/>
                <w:color w:val="auto"/>
              </w:rPr>
            </w:pPr>
          </w:p>
        </w:tc>
        <w:tc>
          <w:tcPr>
            <w:tcW w:w="340" w:type="dxa"/>
            <w:vAlign w:val="bottom"/>
            <w:tcBorders>
              <w:right w:val="single" w:sz="8" w:color="auto"/>
            </w:tcBorders>
            <w:vMerge w:val="restart"/>
          </w:tcPr>
          <w:p>
            <w:pPr>
              <w:jc w:val="right"/>
              <w:ind w:right="132"/>
              <w:spacing w:after="0"/>
              <w:rPr>
                <w:sz w:val="20"/>
                <w:szCs w:val="20"/>
                <w:color w:val="auto"/>
              </w:rPr>
            </w:pPr>
            <w:r>
              <w:rPr>
                <w:rFonts w:ascii="Arial" w:cs="Arial" w:eastAsia="Arial" w:hAnsi="Arial"/>
                <w:sz w:val="18"/>
                <w:szCs w:val="18"/>
                <w:color w:val="auto"/>
                <w:w w:val="99"/>
              </w:rPr>
              <w:t>7</w:t>
            </w:r>
          </w:p>
        </w:tc>
        <w:tc>
          <w:tcPr>
            <w:tcW w:w="584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87"/>
        </w:trPr>
        <w:tc>
          <w:tcPr>
            <w:tcW w:w="820" w:type="dxa"/>
            <w:vAlign w:val="bottom"/>
            <w:tcBorders>
              <w:left w:val="single" w:sz="8" w:color="auto"/>
            </w:tcBorders>
          </w:tcPr>
          <w:p>
            <w:pPr>
              <w:spacing w:after="0"/>
              <w:rPr>
                <w:sz w:val="7"/>
                <w:szCs w:val="7"/>
                <w:color w:val="auto"/>
              </w:rPr>
            </w:pPr>
          </w:p>
        </w:tc>
        <w:tc>
          <w:tcPr>
            <w:tcW w:w="560" w:type="dxa"/>
            <w:vAlign w:val="bottom"/>
          </w:tcPr>
          <w:p>
            <w:pPr>
              <w:spacing w:after="0"/>
              <w:rPr>
                <w:sz w:val="7"/>
                <w:szCs w:val="7"/>
                <w:color w:val="auto"/>
              </w:rPr>
            </w:pPr>
          </w:p>
        </w:tc>
        <w:tc>
          <w:tcPr>
            <w:tcW w:w="2560" w:type="dxa"/>
            <w:vAlign w:val="bottom"/>
            <w:tcBorders>
              <w:right w:val="single" w:sz="8" w:color="auto"/>
            </w:tcBorders>
            <w:gridSpan w:val="2"/>
            <w:vMerge w:val="restart"/>
          </w:tcPr>
          <w:p>
            <w:pPr>
              <w:jc w:val="center"/>
              <w:ind w:right="1380"/>
              <w:spacing w:after="0"/>
              <w:rPr>
                <w:sz w:val="20"/>
                <w:szCs w:val="20"/>
                <w:color w:val="auto"/>
              </w:rPr>
            </w:pPr>
            <w:r>
              <w:rPr>
                <w:rFonts w:ascii="Arial" w:cs="Arial" w:eastAsia="Arial" w:hAnsi="Arial"/>
                <w:sz w:val="18"/>
                <w:szCs w:val="18"/>
                <w:color w:val="auto"/>
                <w:w w:val="99"/>
              </w:rPr>
              <w:t>WITH</w:t>
            </w:r>
          </w:p>
        </w:tc>
        <w:tc>
          <w:tcPr>
            <w:tcW w:w="160" w:type="dxa"/>
            <w:vAlign w:val="bottom"/>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58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20" w:type="dxa"/>
            <w:vAlign w:val="bottom"/>
            <w:tcBorders>
              <w:left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560" w:type="dxa"/>
            <w:vAlign w:val="bottom"/>
            <w:tcBorders>
              <w:right w:val="single" w:sz="8" w:color="auto"/>
            </w:tcBorders>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Borders>
              <w:right w:val="single" w:sz="8" w:color="auto"/>
            </w:tcBorders>
          </w:tcPr>
          <w:p>
            <w:pPr>
              <w:spacing w:after="0"/>
              <w:rPr>
                <w:sz w:val="11"/>
                <w:szCs w:val="11"/>
                <w:color w:val="auto"/>
              </w:rPr>
            </w:pPr>
          </w:p>
        </w:tc>
        <w:tc>
          <w:tcPr>
            <w:tcW w:w="58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97"/>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tcBorders>
          </w:tcPr>
          <w:p>
            <w:pPr>
              <w:spacing w:after="0"/>
              <w:rPr>
                <w:sz w:val="6"/>
                <w:szCs w:val="6"/>
                <w:color w:val="auto"/>
              </w:rPr>
            </w:pPr>
          </w:p>
        </w:tc>
        <w:tc>
          <w:tcPr>
            <w:tcW w:w="5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1060" w:type="dxa"/>
            <w:vAlign w:val="bottom"/>
            <w:tcBorders>
              <w:right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right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jc w:val="right"/>
              <w:ind w:right="132"/>
              <w:spacing w:after="0"/>
              <w:rPr>
                <w:sz w:val="20"/>
                <w:szCs w:val="20"/>
                <w:color w:val="auto"/>
              </w:rPr>
            </w:pPr>
            <w:r>
              <w:rPr>
                <w:rFonts w:ascii="Arial" w:cs="Arial" w:eastAsia="Arial" w:hAnsi="Arial"/>
                <w:sz w:val="18"/>
                <w:szCs w:val="18"/>
                <w:color w:val="auto"/>
                <w:w w:val="99"/>
              </w:rPr>
              <w:t>8</w:t>
            </w: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60" w:type="dxa"/>
            <w:vAlign w:val="bottom"/>
            <w:tcBorders>
              <w:righ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Borders>
              <w:right w:val="single" w:sz="8" w:color="auto"/>
            </w:tcBorders>
          </w:tcPr>
          <w:p>
            <w:pPr>
              <w:spacing w:after="0"/>
              <w:rPr>
                <w:sz w:val="24"/>
                <w:szCs w:val="24"/>
                <w:color w:val="auto"/>
              </w:rPr>
            </w:pPr>
          </w:p>
        </w:tc>
        <w:tc>
          <w:tcPr>
            <w:tcW w:w="584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2560" w:type="dxa"/>
            <w:vAlign w:val="bottom"/>
            <w:tcBorders>
              <w:bottom w:val="single" w:sz="8" w:color="auto"/>
              <w:right w:val="single" w:sz="8" w:color="auto"/>
            </w:tcBorders>
            <w:gridSpan w:val="2"/>
          </w:tcPr>
          <w:p>
            <w:pPr>
              <w:spacing w:after="0"/>
              <w:rPr>
                <w:sz w:val="6"/>
                <w:szCs w:val="6"/>
                <w:color w:val="auto"/>
              </w:rPr>
            </w:pPr>
          </w:p>
        </w:tc>
        <w:tc>
          <w:tcPr>
            <w:tcW w:w="500" w:type="dxa"/>
            <w:vAlign w:val="bottom"/>
            <w:tcBorders>
              <w:bottom w:val="single" w:sz="8" w:color="auto"/>
              <w:right w:val="single" w:sz="8" w:color="auto"/>
            </w:tcBorders>
            <w:gridSpan w:val="2"/>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99"/>
              </w:rPr>
              <w:t>9</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0</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8900" w:type="dxa"/>
            <w:vAlign w:val="bottom"/>
            <w:tcBorders>
              <w:bottom w:val="single" w:sz="8" w:color="auto"/>
              <w:right w:val="single" w:sz="8" w:color="auto"/>
            </w:tcBorders>
            <w:gridSpan w:val="5"/>
          </w:tcPr>
          <w:p>
            <w:pPr>
              <w:spacing w:after="0"/>
              <w:rPr>
                <w:sz w:val="6"/>
                <w:szCs w:val="6"/>
                <w:color w:val="auto"/>
              </w:rPr>
            </w:pPr>
          </w:p>
        </w:tc>
        <w:tc>
          <w:tcPr>
            <w:tcW w:w="0" w:type="dxa"/>
            <w:vAlign w:val="bottom"/>
          </w:tcPr>
          <w:p>
            <w:pPr>
              <w:spacing w:after="0"/>
              <w:rPr>
                <w:sz w:val="1"/>
                <w:szCs w:val="1"/>
                <w:color w:val="auto"/>
              </w:rPr>
            </w:pPr>
          </w:p>
        </w:tc>
      </w:tr>
      <w:tr>
        <w:trPr>
          <w:trHeight w:val="272"/>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10</w:t>
            </w:r>
          </w:p>
        </w:tc>
        <w:tc>
          <w:tcPr>
            <w:tcW w:w="560" w:type="dxa"/>
            <w:vAlign w:val="bottom"/>
            <w:tcBorders>
              <w:right w:val="single" w:sz="8" w:color="auto"/>
            </w:tcBorders>
          </w:tcPr>
          <w:p>
            <w:pPr>
              <w:spacing w:after="0"/>
              <w:rPr>
                <w:sz w:val="23"/>
                <w:szCs w:val="23"/>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222"/>
        </w:trPr>
        <w:tc>
          <w:tcPr>
            <w:tcW w:w="820" w:type="dxa"/>
            <w:vAlign w:val="bottom"/>
            <w:tcBorders>
              <w:left w:val="single" w:sz="8" w:color="auto"/>
            </w:tcBorders>
          </w:tcPr>
          <w:p>
            <w:pPr>
              <w:spacing w:after="0"/>
              <w:rPr>
                <w:sz w:val="19"/>
                <w:szCs w:val="19"/>
                <w:color w:val="auto"/>
              </w:rPr>
            </w:pPr>
          </w:p>
        </w:tc>
        <w:tc>
          <w:tcPr>
            <w:tcW w:w="560" w:type="dxa"/>
            <w:vAlign w:val="bottom"/>
            <w:tcBorders>
              <w:right w:val="single" w:sz="8" w:color="auto"/>
            </w:tcBorders>
          </w:tcPr>
          <w:p>
            <w:pPr>
              <w:spacing w:after="0"/>
              <w:rPr>
                <w:sz w:val="19"/>
                <w:szCs w:val="19"/>
                <w:color w:val="auto"/>
              </w:rPr>
            </w:pPr>
          </w:p>
        </w:tc>
        <w:tc>
          <w:tcPr>
            <w:tcW w:w="1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40" w:type="dxa"/>
            <w:vAlign w:val="bottom"/>
            <w:tcBorders>
              <w:right w:val="single" w:sz="8" w:color="auto"/>
            </w:tcBorders>
          </w:tcPr>
          <w:p>
            <w:pPr>
              <w:jc w:val="right"/>
              <w:ind w:right="71"/>
              <w:spacing w:after="0"/>
              <w:rPr>
                <w:sz w:val="20"/>
                <w:szCs w:val="20"/>
                <w:color w:val="auto"/>
              </w:rPr>
            </w:pPr>
            <w:r>
              <w:rPr>
                <w:rFonts w:ascii="Arial" w:cs="Arial" w:eastAsia="Arial" w:hAnsi="Arial"/>
                <w:sz w:val="18"/>
                <w:szCs w:val="18"/>
                <w:color w:val="auto"/>
              </w:rPr>
              <w:t>o</w:t>
            </w:r>
          </w:p>
        </w:tc>
        <w:tc>
          <w:tcPr>
            <w:tcW w:w="0" w:type="dxa"/>
            <w:vAlign w:val="bottom"/>
          </w:tcPr>
          <w:p>
            <w:pPr>
              <w:spacing w:after="0"/>
              <w:rPr>
                <w:sz w:val="1"/>
                <w:szCs w:val="1"/>
                <w:color w:val="auto"/>
              </w:rPr>
            </w:pPr>
          </w:p>
        </w:tc>
      </w:tr>
      <w:tr>
        <w:trPr>
          <w:trHeight w:val="296"/>
        </w:trPr>
        <w:tc>
          <w:tcPr>
            <w:tcW w:w="820" w:type="dxa"/>
            <w:vAlign w:val="bottom"/>
            <w:tcBorders>
              <w:left w:val="single" w:sz="8" w:color="auto"/>
              <w:bottom w:val="single" w:sz="8" w:color="auto"/>
            </w:tcBorders>
          </w:tcPr>
          <w:p>
            <w:pPr>
              <w:spacing w:after="0"/>
              <w:rPr>
                <w:sz w:val="24"/>
                <w:szCs w:val="24"/>
                <w:color w:val="auto"/>
              </w:rPr>
            </w:pPr>
          </w:p>
        </w:tc>
        <w:tc>
          <w:tcPr>
            <w:tcW w:w="560" w:type="dxa"/>
            <w:vAlign w:val="bottom"/>
            <w:tcBorders>
              <w:bottom w:val="single" w:sz="8" w:color="auto"/>
              <w:right w:val="single" w:sz="8" w:color="auto"/>
            </w:tcBorders>
          </w:tcPr>
          <w:p>
            <w:pPr>
              <w:spacing w:after="0"/>
              <w:rPr>
                <w:sz w:val="24"/>
                <w:szCs w:val="24"/>
                <w:color w:val="auto"/>
              </w:rPr>
            </w:pPr>
          </w:p>
        </w:tc>
        <w:tc>
          <w:tcPr>
            <w:tcW w:w="8900" w:type="dxa"/>
            <w:vAlign w:val="bottom"/>
            <w:tcBorders>
              <w:bottom w:val="single" w:sz="8" w:color="auto"/>
              <w:right w:val="single" w:sz="8" w:color="auto"/>
            </w:tcBorders>
            <w:gridSpan w:val="5"/>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11</w:t>
            </w:r>
          </w:p>
        </w:tc>
        <w:tc>
          <w:tcPr>
            <w:tcW w:w="560" w:type="dxa"/>
            <w:vAlign w:val="bottom"/>
            <w:tcBorders>
              <w:right w:val="single" w:sz="8" w:color="auto"/>
            </w:tcBorders>
          </w:tcPr>
          <w:p>
            <w:pPr>
              <w:spacing w:after="0"/>
              <w:rPr>
                <w:sz w:val="24"/>
                <w:szCs w:val="24"/>
                <w:color w:val="auto"/>
              </w:rPr>
            </w:pPr>
          </w:p>
        </w:tc>
        <w:tc>
          <w:tcPr>
            <w:tcW w:w="8900" w:type="dxa"/>
            <w:vAlign w:val="bottom"/>
            <w:tcBorders>
              <w:right w:val="single" w:sz="8" w:color="auto"/>
            </w:tcBorders>
            <w:gridSpan w:val="5"/>
          </w:tcPr>
          <w:p>
            <w:pPr>
              <w:ind w:left="6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1500" w:type="dxa"/>
            <w:vAlign w:val="bottom"/>
          </w:tcPr>
          <w:p>
            <w:pPr>
              <w:ind w:left="60"/>
              <w:spacing w:after="0"/>
              <w:rPr>
                <w:sz w:val="20"/>
                <w:szCs w:val="20"/>
                <w:color w:val="auto"/>
              </w:rPr>
            </w:pPr>
            <w:r>
              <w:rPr>
                <w:rFonts w:ascii="Arial" w:cs="Arial" w:eastAsia="Arial" w:hAnsi="Arial"/>
                <w:sz w:val="18"/>
                <w:szCs w:val="18"/>
                <w:color w:val="auto"/>
              </w:rPr>
              <w:t>0%</w:t>
            </w: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2720" w:type="dxa"/>
            <w:vAlign w:val="bottom"/>
            <w:tcBorders>
              <w:bottom w:val="single" w:sz="8" w:color="auto"/>
            </w:tcBorders>
            <w:gridSpan w:val="3"/>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8"/>
        </w:trPr>
        <w:tc>
          <w:tcPr>
            <w:tcW w:w="820" w:type="dxa"/>
            <w:vAlign w:val="bottom"/>
            <w:tcBorders>
              <w:left w:val="single" w:sz="8" w:color="auto"/>
            </w:tcBorders>
          </w:tcPr>
          <w:p>
            <w:pPr>
              <w:jc w:val="center"/>
              <w:ind w:left="472"/>
              <w:spacing w:after="0"/>
              <w:rPr>
                <w:sz w:val="20"/>
                <w:szCs w:val="20"/>
                <w:color w:val="auto"/>
              </w:rPr>
            </w:pPr>
            <w:r>
              <w:rPr>
                <w:rFonts w:ascii="Arial" w:cs="Arial" w:eastAsia="Arial" w:hAnsi="Arial"/>
                <w:sz w:val="18"/>
                <w:szCs w:val="18"/>
                <w:color w:val="auto"/>
                <w:w w:val="89"/>
              </w:rPr>
              <w:t>12</w:t>
            </w: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w w:val="97"/>
              </w:rPr>
              <w:t>TYPE OF REPORTING PERSON</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Borders>
              <w:left w:val="single" w:sz="8" w:color="auto"/>
            </w:tcBorders>
          </w:tcPr>
          <w:p>
            <w:pPr>
              <w:spacing w:after="0"/>
              <w:rPr>
                <w:sz w:val="24"/>
                <w:szCs w:val="24"/>
                <w:color w:val="auto"/>
              </w:rPr>
            </w:pPr>
          </w:p>
        </w:tc>
        <w:tc>
          <w:tcPr>
            <w:tcW w:w="560" w:type="dxa"/>
            <w:vAlign w:val="bottom"/>
            <w:tcBorders>
              <w:right w:val="single" w:sz="8" w:color="auto"/>
            </w:tcBorders>
          </w:tcPr>
          <w:p>
            <w:pPr>
              <w:spacing w:after="0"/>
              <w:rPr>
                <w:sz w:val="24"/>
                <w:szCs w:val="24"/>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color w:val="auto"/>
              </w:rPr>
              <w:t>CO</w:t>
            </w:r>
          </w:p>
        </w:tc>
        <w:tc>
          <w:tcPr>
            <w:tcW w:w="340" w:type="dxa"/>
            <w:vAlign w:val="bottom"/>
          </w:tcPr>
          <w:p>
            <w:pPr>
              <w:spacing w:after="0"/>
              <w:rPr>
                <w:sz w:val="24"/>
                <w:szCs w:val="24"/>
                <w:color w:val="auto"/>
              </w:rPr>
            </w:pPr>
          </w:p>
        </w:tc>
        <w:tc>
          <w:tcPr>
            <w:tcW w:w="58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820" w:type="dxa"/>
            <w:vAlign w:val="bottom"/>
            <w:tcBorders>
              <w:left w:val="single" w:sz="8" w:color="auto"/>
              <w:bottom w:val="single" w:sz="8" w:color="auto"/>
            </w:tcBorders>
          </w:tcPr>
          <w:p>
            <w:pPr>
              <w:spacing w:after="0"/>
              <w:rPr>
                <w:sz w:val="6"/>
                <w:szCs w:val="6"/>
                <w:color w:val="auto"/>
              </w:rPr>
            </w:pPr>
          </w:p>
        </w:tc>
        <w:tc>
          <w:tcPr>
            <w:tcW w:w="560" w:type="dxa"/>
            <w:vAlign w:val="bottom"/>
            <w:tcBorders>
              <w:bottom w:val="single" w:sz="8" w:color="auto"/>
              <w:right w:val="single" w:sz="8" w:color="auto"/>
            </w:tcBorders>
          </w:tcPr>
          <w:p>
            <w:pPr>
              <w:spacing w:after="0"/>
              <w:rPr>
                <w:sz w:val="6"/>
                <w:szCs w:val="6"/>
                <w:color w:val="auto"/>
              </w:rPr>
            </w:pPr>
          </w:p>
        </w:tc>
        <w:tc>
          <w:tcPr>
            <w:tcW w:w="1500" w:type="dxa"/>
            <w:vAlign w:val="bottom"/>
            <w:tcBorders>
              <w:bottom w:val="single" w:sz="8" w:color="auto"/>
            </w:tcBorders>
          </w:tcPr>
          <w:p>
            <w:pPr>
              <w:spacing w:after="0"/>
              <w:rPr>
                <w:sz w:val="6"/>
                <w:szCs w:val="6"/>
                <w:color w:val="auto"/>
              </w:rPr>
            </w:pPr>
          </w:p>
        </w:tc>
        <w:tc>
          <w:tcPr>
            <w:tcW w:w="10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340" w:type="dxa"/>
            <w:vAlign w:val="bottom"/>
            <w:tcBorders>
              <w:bottom w:val="single" w:sz="8" w:color="auto"/>
            </w:tcBorders>
          </w:tcPr>
          <w:p>
            <w:pPr>
              <w:spacing w:after="0"/>
              <w:rPr>
                <w:sz w:val="6"/>
                <w:szCs w:val="6"/>
                <w:color w:val="auto"/>
              </w:rPr>
            </w:pPr>
          </w:p>
        </w:tc>
        <w:tc>
          <w:tcPr>
            <w:tcW w:w="584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280"/>
          </w:cols>
          <w:pgMar w:left="820" w:top="347" w:right="799" w:bottom="0" w:gutter="0" w:footer="0" w:header="0"/>
        </w:sect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Page 3 of 9</w:t>
      </w:r>
    </w:p>
    <w:p>
      <w:pPr>
        <w:sectPr>
          <w:pgSz w:w="11900" w:h="16838" w:orient="portrait"/>
          <w:cols w:equalWidth="0" w:num="1">
            <w:col w:w="10280"/>
          </w:cols>
          <w:pgMar w:left="820" w:top="347" w:right="799" w:bottom="0" w:gutter="0" w:footer="0" w:header="0"/>
          <w:type w:val="continuous"/>
        </w:sectPr>
      </w:pPr>
    </w:p>
    <w:bookmarkStart w:id="2" w:name="page3"/>
    <w:bookmarkEnd w:id="2"/>
    <w:p>
      <w:pPr>
        <w:spacing w:after="0" w:line="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309880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Item 1(a). Name of Issuer:</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The Knot,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Address of Issuer’s Principal Executive Offices:</w:t>
      </w:r>
    </w:p>
    <w:p>
      <w:pPr>
        <w:spacing w:after="0" w:line="19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462 Broadway, 6</w:t>
      </w:r>
      <w:r>
        <w:rPr>
          <w:rFonts w:ascii="Arial" w:cs="Arial" w:eastAsia="Arial" w:hAnsi="Arial"/>
          <w:sz w:val="29"/>
          <w:szCs w:val="29"/>
          <w:color w:val="auto"/>
          <w:vertAlign w:val="superscript"/>
        </w:rPr>
        <w:t>th</w:t>
      </w:r>
      <w:r>
        <w:rPr>
          <w:rFonts w:ascii="Arial" w:cs="Arial" w:eastAsia="Arial" w:hAnsi="Arial"/>
          <w:sz w:val="18"/>
          <w:szCs w:val="18"/>
          <w:color w:val="auto"/>
        </w:rPr>
        <w:t>Floor</w:t>
      </w:r>
    </w:p>
    <w:p>
      <w:pPr>
        <w:ind w:left="220"/>
        <w:spacing w:after="0"/>
        <w:rPr>
          <w:sz w:val="20"/>
          <w:szCs w:val="20"/>
          <w:color w:val="auto"/>
        </w:rPr>
      </w:pPr>
      <w:r>
        <w:rPr>
          <w:rFonts w:ascii="Arial" w:cs="Arial" w:eastAsia="Arial" w:hAnsi="Arial"/>
          <w:sz w:val="18"/>
          <w:szCs w:val="18"/>
          <w:color w:val="auto"/>
        </w:rPr>
        <w:t>New York, NY 10013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2(a). Names of Persons Filing:</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This statement is filed on behalf of the persons identified below (the “Reporting Persons”).</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Holdings Corporation</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QIH, Inc. (successor in interest to Comcast QIH, LP, Comcast QIH, LP, Inc., and Comcast QIH GP, Inc.)</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2(b). Address of Principal Business Office or, if None, Residence: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address of the principal business office of Comcast Holdings Corporation is 1500 Market Street, Philadelphia, PA 19102-2148.</w:t>
      </w:r>
    </w:p>
    <w:p>
      <w:pPr>
        <w:spacing w:after="0" w:line="252"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address of the principal business office of Comcast QIH, Inc. is 1201 North Market Street, Suite 1405, Wilmington, Delaware 19801.</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2(c). Citizenship:</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Holdings Corporation was organized in the state of Pennsylvania.</w:t>
      </w:r>
    </w:p>
    <w:p>
      <w:pPr>
        <w:spacing w:after="0" w:line="225"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Comcast QIH, Inc. was organized in the state of Delaware.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2(d). Title of Class of Securities:</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Common Stock, par value $.001 per share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2(e). CUSIP Number:</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499184109</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Rule 13d-1(b), or 13d-2(b) or (c), Check Whether the Person Filing is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152400</wp:posOffset>
            </wp:positionV>
            <wp:extent cx="15430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38" w:lineRule="exact"/>
        <w:rPr>
          <w:sz w:val="20"/>
          <w:szCs w:val="20"/>
          <w:color w:val="auto"/>
        </w:rPr>
      </w:pPr>
    </w:p>
    <w:tbl>
      <w:tblPr>
        <w:tblLayout w:type="fixed"/>
        <w:tblInd w:w="200" w:type="dxa"/>
        <w:tblCellMar>
          <w:top w:w="0" w:type="dxa"/>
          <w:left w:w="0" w:type="dxa"/>
          <w:bottom w:w="0" w:type="dxa"/>
          <w:right w:w="0" w:type="dxa"/>
        </w:tblCellMar>
      </w:tblP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(a)</w:t>
            </w:r>
          </w:p>
        </w:tc>
        <w:tc>
          <w:tcPr>
            <w:tcW w:w="6700" w:type="dxa"/>
            <w:vAlign w:val="bottom"/>
          </w:tcPr>
          <w:p>
            <w:pPr>
              <w:ind w:left="380"/>
              <w:spacing w:after="0"/>
              <w:rPr>
                <w:sz w:val="20"/>
                <w:szCs w:val="20"/>
                <w:color w:val="auto"/>
              </w:rPr>
            </w:pPr>
            <w:r>
              <w:rPr>
                <w:rFonts w:ascii="Arial" w:cs="Arial" w:eastAsia="Arial" w:hAnsi="Arial"/>
                <w:sz w:val="18"/>
                <w:szCs w:val="18"/>
                <w:color w:val="auto"/>
              </w:rPr>
              <w:t>Broker or dealer registered under Section 15 of the Exchange Act;</w:t>
            </w:r>
          </w:p>
        </w:tc>
      </w:tr>
      <w:tr>
        <w:trPr>
          <w:trHeight w:val="513"/>
        </w:trPr>
        <w:tc>
          <w:tcPr>
            <w:tcW w:w="580" w:type="dxa"/>
            <w:vAlign w:val="bottom"/>
          </w:tcPr>
          <w:p>
            <w:pPr>
              <w:spacing w:after="0"/>
              <w:rPr>
                <w:sz w:val="20"/>
                <w:szCs w:val="20"/>
                <w:color w:val="auto"/>
              </w:rPr>
            </w:pPr>
            <w:r>
              <w:rPr>
                <w:rFonts w:ascii="Arial" w:cs="Arial" w:eastAsia="Arial" w:hAnsi="Arial"/>
                <w:sz w:val="18"/>
                <w:szCs w:val="18"/>
                <w:color w:val="auto"/>
              </w:rPr>
              <w:t>(b)</w:t>
            </w:r>
          </w:p>
        </w:tc>
        <w:tc>
          <w:tcPr>
            <w:tcW w:w="6700" w:type="dxa"/>
            <w:vAlign w:val="bottom"/>
          </w:tcPr>
          <w:p>
            <w:pPr>
              <w:ind w:left="380"/>
              <w:spacing w:after="0"/>
              <w:rPr>
                <w:sz w:val="20"/>
                <w:szCs w:val="20"/>
                <w:color w:val="auto"/>
              </w:rPr>
            </w:pPr>
            <w:r>
              <w:rPr>
                <w:rFonts w:ascii="Arial" w:cs="Arial" w:eastAsia="Arial" w:hAnsi="Arial"/>
                <w:sz w:val="18"/>
                <w:szCs w:val="18"/>
                <w:color w:val="auto"/>
              </w:rPr>
              <w:t>Bank as defined in Section 3(a)(6) of the Exchange Act;</w:t>
            </w:r>
          </w:p>
        </w:tc>
      </w:tr>
      <w:tr>
        <w:trPr>
          <w:trHeight w:val="513"/>
        </w:trPr>
        <w:tc>
          <w:tcPr>
            <w:tcW w:w="580" w:type="dxa"/>
            <w:vAlign w:val="bottom"/>
          </w:tcPr>
          <w:p>
            <w:pPr>
              <w:spacing w:after="0"/>
              <w:rPr>
                <w:sz w:val="20"/>
                <w:szCs w:val="20"/>
                <w:color w:val="auto"/>
              </w:rPr>
            </w:pPr>
            <w:r>
              <w:rPr>
                <w:rFonts w:ascii="Arial" w:cs="Arial" w:eastAsia="Arial" w:hAnsi="Arial"/>
                <w:sz w:val="18"/>
                <w:szCs w:val="18"/>
                <w:color w:val="auto"/>
              </w:rPr>
              <w:t>(c)</w:t>
            </w:r>
          </w:p>
        </w:tc>
        <w:tc>
          <w:tcPr>
            <w:tcW w:w="6700" w:type="dxa"/>
            <w:vAlign w:val="bottom"/>
          </w:tcPr>
          <w:p>
            <w:pPr>
              <w:ind w:left="380"/>
              <w:spacing w:after="0"/>
              <w:rPr>
                <w:sz w:val="20"/>
                <w:szCs w:val="20"/>
                <w:color w:val="auto"/>
              </w:rPr>
            </w:pPr>
            <w:r>
              <w:rPr>
                <w:rFonts w:ascii="Arial" w:cs="Arial" w:eastAsia="Arial" w:hAnsi="Arial"/>
                <w:sz w:val="18"/>
                <w:szCs w:val="18"/>
                <w:color w:val="auto"/>
              </w:rPr>
              <w:t>Insurance company as defined in Section 3(a)(19) of the Exchange Act;</w:t>
            </w:r>
          </w:p>
        </w:tc>
      </w:tr>
      <w:tr>
        <w:trPr>
          <w:trHeight w:val="513"/>
        </w:trPr>
        <w:tc>
          <w:tcPr>
            <w:tcW w:w="580" w:type="dxa"/>
            <w:vAlign w:val="bottom"/>
          </w:tcPr>
          <w:p>
            <w:pPr>
              <w:spacing w:after="0"/>
              <w:rPr>
                <w:sz w:val="20"/>
                <w:szCs w:val="20"/>
                <w:color w:val="auto"/>
              </w:rPr>
            </w:pPr>
            <w:r>
              <w:rPr>
                <w:rFonts w:ascii="Arial" w:cs="Arial" w:eastAsia="Arial" w:hAnsi="Arial"/>
                <w:sz w:val="18"/>
                <w:szCs w:val="18"/>
                <w:color w:val="auto"/>
              </w:rPr>
              <w:t>(d)</w:t>
            </w:r>
          </w:p>
        </w:tc>
        <w:tc>
          <w:tcPr>
            <w:tcW w:w="6700" w:type="dxa"/>
            <w:vAlign w:val="bottom"/>
          </w:tcPr>
          <w:p>
            <w:pPr>
              <w:ind w:left="380"/>
              <w:spacing w:after="0"/>
              <w:rPr>
                <w:sz w:val="20"/>
                <w:szCs w:val="20"/>
                <w:color w:val="auto"/>
              </w:rPr>
            </w:pPr>
            <w:r>
              <w:rPr>
                <w:rFonts w:ascii="Arial" w:cs="Arial" w:eastAsia="Arial" w:hAnsi="Arial"/>
                <w:sz w:val="18"/>
                <w:szCs w:val="18"/>
                <w:color w:val="auto"/>
                <w:w w:val="97"/>
              </w:rPr>
              <w:t>Investment company registered under Section 8 of the Investment Company Act;</w:t>
            </w:r>
          </w:p>
        </w:tc>
      </w:tr>
      <w:tr>
        <w:trPr>
          <w:trHeight w:val="513"/>
        </w:trPr>
        <w:tc>
          <w:tcPr>
            <w:tcW w:w="580" w:type="dxa"/>
            <w:vAlign w:val="bottom"/>
          </w:tcPr>
          <w:p>
            <w:pPr>
              <w:spacing w:after="0"/>
              <w:rPr>
                <w:sz w:val="20"/>
                <w:szCs w:val="20"/>
                <w:color w:val="auto"/>
              </w:rPr>
            </w:pPr>
            <w:r>
              <w:rPr>
                <w:rFonts w:ascii="Arial" w:cs="Arial" w:eastAsia="Arial" w:hAnsi="Arial"/>
                <w:sz w:val="18"/>
                <w:szCs w:val="18"/>
                <w:color w:val="auto"/>
              </w:rPr>
              <w:t>(e)</w:t>
            </w:r>
          </w:p>
        </w:tc>
        <w:tc>
          <w:tcPr>
            <w:tcW w:w="6700" w:type="dxa"/>
            <w:vAlign w:val="bottom"/>
          </w:tcPr>
          <w:p>
            <w:pPr>
              <w:ind w:left="380"/>
              <w:spacing w:after="0"/>
              <w:rPr>
                <w:sz w:val="20"/>
                <w:szCs w:val="20"/>
                <w:color w:val="auto"/>
              </w:rPr>
            </w:pPr>
            <w:r>
              <w:rPr>
                <w:rFonts w:ascii="Arial" w:cs="Arial" w:eastAsia="Arial" w:hAnsi="Arial"/>
                <w:sz w:val="18"/>
                <w:szCs w:val="18"/>
                <w:color w:val="auto"/>
              </w:rPr>
              <w:t>An investment adviser in accordance with Rule 13d-1(b)(1)(ii)(E);</w:t>
            </w:r>
          </w:p>
        </w:tc>
      </w:tr>
      <w:tr>
        <w:trPr>
          <w:trHeight w:val="513"/>
        </w:trPr>
        <w:tc>
          <w:tcPr>
            <w:tcW w:w="580" w:type="dxa"/>
            <w:vAlign w:val="bottom"/>
          </w:tcPr>
          <w:p>
            <w:pPr>
              <w:ind w:left="20"/>
              <w:spacing w:after="0"/>
              <w:rPr>
                <w:sz w:val="20"/>
                <w:szCs w:val="20"/>
                <w:color w:val="auto"/>
              </w:rPr>
            </w:pPr>
            <w:r>
              <w:rPr>
                <w:rFonts w:ascii="Arial" w:cs="Arial" w:eastAsia="Arial" w:hAnsi="Arial"/>
                <w:sz w:val="18"/>
                <w:szCs w:val="18"/>
                <w:color w:val="auto"/>
              </w:rPr>
              <w:t>(f)</w:t>
            </w:r>
          </w:p>
        </w:tc>
        <w:tc>
          <w:tcPr>
            <w:tcW w:w="6700" w:type="dxa"/>
            <w:vAlign w:val="bottom"/>
          </w:tcPr>
          <w:p>
            <w:pPr>
              <w:ind w:left="380"/>
              <w:spacing w:after="0"/>
              <w:rPr>
                <w:sz w:val="20"/>
                <w:szCs w:val="20"/>
                <w:color w:val="auto"/>
              </w:rPr>
            </w:pPr>
            <w:r>
              <w:rPr>
                <w:rFonts w:ascii="Arial" w:cs="Arial" w:eastAsia="Arial" w:hAnsi="Arial"/>
                <w:sz w:val="18"/>
                <w:szCs w:val="18"/>
                <w:color w:val="auto"/>
                <w:w w:val="89"/>
              </w:rPr>
              <w:t>An employee benefit plan or endowment fund in accordance with Rule 13d-1(b)(1)(ii)(F);</w:t>
            </w:r>
          </w:p>
        </w:tc>
      </w:tr>
      <w:tr>
        <w:trPr>
          <w:trHeight w:val="513"/>
        </w:trPr>
        <w:tc>
          <w:tcPr>
            <w:tcW w:w="580" w:type="dxa"/>
            <w:vAlign w:val="bottom"/>
          </w:tcPr>
          <w:p>
            <w:pPr>
              <w:spacing w:after="0"/>
              <w:rPr>
                <w:sz w:val="20"/>
                <w:szCs w:val="20"/>
                <w:color w:val="auto"/>
              </w:rPr>
            </w:pPr>
            <w:r>
              <w:rPr>
                <w:rFonts w:ascii="Arial" w:cs="Arial" w:eastAsia="Arial" w:hAnsi="Arial"/>
                <w:sz w:val="18"/>
                <w:szCs w:val="18"/>
                <w:color w:val="auto"/>
              </w:rPr>
              <w:t>(g)</w:t>
            </w:r>
          </w:p>
        </w:tc>
        <w:tc>
          <w:tcPr>
            <w:tcW w:w="6700" w:type="dxa"/>
            <w:vAlign w:val="bottom"/>
          </w:tcPr>
          <w:p>
            <w:pPr>
              <w:ind w:left="380"/>
              <w:spacing w:after="0"/>
              <w:rPr>
                <w:sz w:val="20"/>
                <w:szCs w:val="20"/>
                <w:color w:val="auto"/>
              </w:rPr>
            </w:pPr>
            <w:r>
              <w:rPr>
                <w:rFonts w:ascii="Arial" w:cs="Arial" w:eastAsia="Arial" w:hAnsi="Arial"/>
                <w:sz w:val="18"/>
                <w:szCs w:val="18"/>
                <w:color w:val="auto"/>
                <w:w w:val="91"/>
              </w:rPr>
              <w:t>A parent holding company or control person in accordance with Rule 13d-1(b)(1)(ii)(G);</w:t>
            </w:r>
          </w:p>
        </w:tc>
      </w:tr>
      <w:tr>
        <w:trPr>
          <w:trHeight w:val="513"/>
        </w:trPr>
        <w:tc>
          <w:tcPr>
            <w:tcW w:w="580" w:type="dxa"/>
            <w:vAlign w:val="bottom"/>
          </w:tcPr>
          <w:p>
            <w:pPr>
              <w:spacing w:after="0"/>
              <w:rPr>
                <w:sz w:val="20"/>
                <w:szCs w:val="20"/>
                <w:color w:val="auto"/>
              </w:rPr>
            </w:pPr>
            <w:r>
              <w:rPr>
                <w:rFonts w:ascii="Arial" w:cs="Arial" w:eastAsia="Arial" w:hAnsi="Arial"/>
                <w:sz w:val="18"/>
                <w:szCs w:val="18"/>
                <w:color w:val="auto"/>
              </w:rPr>
              <w:t>(h)</w:t>
            </w:r>
          </w:p>
        </w:tc>
        <w:tc>
          <w:tcPr>
            <w:tcW w:w="6700" w:type="dxa"/>
            <w:vAlign w:val="bottom"/>
          </w:tcPr>
          <w:p>
            <w:pPr>
              <w:ind w:left="380"/>
              <w:spacing w:after="0"/>
              <w:rPr>
                <w:sz w:val="20"/>
                <w:szCs w:val="20"/>
                <w:color w:val="auto"/>
              </w:rPr>
            </w:pPr>
            <w:r>
              <w:rPr>
                <w:rFonts w:ascii="Arial" w:cs="Arial" w:eastAsia="Arial" w:hAnsi="Arial"/>
                <w:sz w:val="18"/>
                <w:szCs w:val="18"/>
                <w:color w:val="auto"/>
                <w:w w:val="92"/>
              </w:rPr>
              <w:t>A savings association as defined in Section 3(b) of the Federal Deposit Insurance Act;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476885</wp:posOffset>
            </wp:positionH>
            <wp:positionV relativeFrom="paragraph">
              <wp:posOffset>-2107565</wp:posOffset>
            </wp:positionV>
            <wp:extent cx="15430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-1781810</wp:posOffset>
            </wp:positionV>
            <wp:extent cx="154305"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-1456055</wp:posOffset>
            </wp:positionV>
            <wp:extent cx="154305"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-1130300</wp:posOffset>
            </wp:positionV>
            <wp:extent cx="154305" cy="1714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-803910</wp:posOffset>
            </wp:positionV>
            <wp:extent cx="15430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-478155</wp:posOffset>
            </wp:positionV>
            <wp:extent cx="154305"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476885</wp:posOffset>
            </wp:positionH>
            <wp:positionV relativeFrom="paragraph">
              <wp:posOffset>-152400</wp:posOffset>
            </wp:positionV>
            <wp:extent cx="154305" cy="1714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20" w:type="dxa"/>
            <w:vAlign w:val="bottom"/>
          </w:tcPr>
          <w:p>
            <w:pPr>
              <w:spacing w:after="0"/>
              <w:rPr>
                <w:sz w:val="19"/>
                <w:szCs w:val="19"/>
                <w:color w:val="auto"/>
              </w:rPr>
            </w:pPr>
          </w:p>
        </w:tc>
        <w:tc>
          <w:tcPr>
            <w:tcW w:w="10740" w:type="dxa"/>
            <w:vAlign w:val="bottom"/>
          </w:tcPr>
          <w:p>
            <w:pPr>
              <w:ind w:left="4600"/>
              <w:spacing w:after="0"/>
              <w:rPr>
                <w:sz w:val="20"/>
                <w:szCs w:val="20"/>
                <w:color w:val="auto"/>
              </w:rPr>
            </w:pPr>
            <w:r>
              <w:rPr>
                <w:rFonts w:ascii="Arial" w:cs="Arial" w:eastAsia="Arial" w:hAnsi="Arial"/>
                <w:sz w:val="18"/>
                <w:szCs w:val="18"/>
                <w:color w:val="auto"/>
              </w:rPr>
              <w:t>Page 4 of 9</w:t>
            </w:r>
          </w:p>
        </w:tc>
      </w:tr>
      <w:tr>
        <w:trPr>
          <w:trHeight w:val="134"/>
        </w:trPr>
        <w:tc>
          <w:tcPr>
            <w:tcW w:w="720" w:type="dxa"/>
            <w:vAlign w:val="bottom"/>
            <w:tcBorders>
              <w:bottom w:val="single" w:sz="8" w:color="808080"/>
            </w:tcBorders>
          </w:tcPr>
          <w:p>
            <w:pPr>
              <w:spacing w:after="0"/>
              <w:rPr>
                <w:sz w:val="11"/>
                <w:szCs w:val="11"/>
                <w:color w:val="auto"/>
              </w:rPr>
            </w:pPr>
          </w:p>
        </w:tc>
        <w:tc>
          <w:tcPr>
            <w:tcW w:w="10740" w:type="dxa"/>
            <w:vAlign w:val="bottom"/>
            <w:tcBorders>
              <w:bottom w:val="single" w:sz="8" w:color="808080"/>
            </w:tcBorders>
          </w:tcPr>
          <w:p>
            <w:pPr>
              <w:spacing w:after="0"/>
              <w:rPr>
                <w:sz w:val="11"/>
                <w:szCs w:val="11"/>
                <w:color w:val="auto"/>
              </w:rPr>
            </w:pPr>
          </w:p>
        </w:tc>
      </w:tr>
      <w:tr>
        <w:trPr>
          <w:trHeight w:val="589"/>
        </w:trPr>
        <w:tc>
          <w:tcPr>
            <w:tcW w:w="720" w:type="dxa"/>
            <w:vAlign w:val="bottom"/>
          </w:tcPr>
          <w:p>
            <w:pPr>
              <w:ind w:left="200"/>
              <w:spacing w:after="0"/>
              <w:rPr>
                <w:sz w:val="20"/>
                <w:szCs w:val="20"/>
                <w:color w:val="auto"/>
              </w:rPr>
            </w:pPr>
            <w:r>
              <w:rPr>
                <w:rFonts w:ascii="Arial" w:cs="Arial" w:eastAsia="Arial" w:hAnsi="Arial"/>
                <w:sz w:val="18"/>
                <w:szCs w:val="18"/>
                <w:color w:val="auto"/>
              </w:rPr>
              <w:t>(i)</w:t>
            </w:r>
          </w:p>
        </w:tc>
        <w:tc>
          <w:tcPr>
            <w:tcW w:w="10740" w:type="dxa"/>
            <w:vAlign w:val="bottom"/>
          </w:tcPr>
          <w:p>
            <w:pPr>
              <w:ind w:left="360"/>
              <w:spacing w:after="0"/>
              <w:rPr>
                <w:sz w:val="20"/>
                <w:szCs w:val="20"/>
                <w:color w:val="auto"/>
              </w:rPr>
            </w:pPr>
            <w:r>
              <w:rPr>
                <w:rFonts w:ascii="Arial" w:cs="Arial" w:eastAsia="Arial" w:hAnsi="Arial"/>
                <w:sz w:val="18"/>
                <w:szCs w:val="18"/>
                <w:color w:val="auto"/>
                <w:w w:val="98"/>
              </w:rPr>
              <w:t>A church plan that is excluded from the definition of an investment company under Section 3(c)(14) of the Investment Company Act;</w:t>
            </w:r>
          </w:p>
        </w:tc>
      </w:tr>
      <w:tr>
        <w:trPr>
          <w:trHeight w:val="513"/>
        </w:trPr>
        <w:tc>
          <w:tcPr>
            <w:tcW w:w="720" w:type="dxa"/>
            <w:vAlign w:val="bottom"/>
          </w:tcPr>
          <w:p>
            <w:pPr>
              <w:ind w:left="200"/>
              <w:spacing w:after="0"/>
              <w:rPr>
                <w:sz w:val="20"/>
                <w:szCs w:val="20"/>
                <w:color w:val="auto"/>
              </w:rPr>
            </w:pPr>
            <w:r>
              <w:rPr>
                <w:rFonts w:ascii="Arial" w:cs="Arial" w:eastAsia="Arial" w:hAnsi="Arial"/>
                <w:sz w:val="18"/>
                <w:szCs w:val="18"/>
                <w:color w:val="auto"/>
              </w:rPr>
              <w:t>(j)</w:t>
            </w:r>
          </w:p>
        </w:tc>
        <w:tc>
          <w:tcPr>
            <w:tcW w:w="10740" w:type="dxa"/>
            <w:vAlign w:val="bottom"/>
          </w:tcPr>
          <w:p>
            <w:pPr>
              <w:ind w:left="360"/>
              <w:spacing w:after="0"/>
              <w:rPr>
                <w:sz w:val="20"/>
                <w:szCs w:val="20"/>
                <w:color w:val="auto"/>
              </w:rPr>
            </w:pPr>
            <w:r>
              <w:rPr>
                <w:rFonts w:ascii="Arial" w:cs="Arial" w:eastAsia="Arial" w:hAnsi="Arial"/>
                <w:sz w:val="18"/>
                <w:szCs w:val="18"/>
                <w:color w:val="auto"/>
              </w:rPr>
              <w:t>Group, in accordance with Rule 13d-1(b)(1)(ii)(J).</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-728980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-728980</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-478155</wp:posOffset>
            </wp:positionV>
            <wp:extent cx="154305"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4305" cy="171450"/>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-152400</wp:posOffset>
            </wp:positionV>
            <wp:extent cx="154305"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54305" cy="17145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Ownership.</w:t>
      </w:r>
    </w:p>
    <w:p>
      <w:pPr>
        <w:spacing w:after="0" w:line="231" w:lineRule="exact"/>
        <w:rPr>
          <w:sz w:val="20"/>
          <w:szCs w:val="20"/>
          <w:color w:val="auto"/>
        </w:rPr>
      </w:pPr>
    </w:p>
    <w:p>
      <w:pPr>
        <w:ind w:left="580" w:hanging="386"/>
        <w:spacing w:after="0"/>
        <w:tabs>
          <w:tab w:leader="none" w:pos="5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w:t>
      </w:r>
    </w:p>
    <w:p>
      <w:pPr>
        <w:spacing w:after="0" w:line="252" w:lineRule="exact"/>
        <w:rPr>
          <w:sz w:val="20"/>
          <w:szCs w:val="20"/>
          <w:color w:val="auto"/>
        </w:rPr>
      </w:pPr>
    </w:p>
    <w:p>
      <w:pPr>
        <w:jc w:val="both"/>
        <w:ind w:right="140" w:firstLine="263"/>
        <w:spacing w:after="0" w:line="335" w:lineRule="auto"/>
        <w:rPr>
          <w:sz w:val="20"/>
          <w:szCs w:val="20"/>
          <w:color w:val="auto"/>
        </w:rPr>
      </w:pPr>
      <w:r>
        <w:rPr>
          <w:rFonts w:ascii="Arial" w:cs="Arial" w:eastAsia="Arial" w:hAnsi="Arial"/>
          <w:sz w:val="15"/>
          <w:szCs w:val="15"/>
          <w:color w:val="auto"/>
        </w:rPr>
        <w:t>This is an exit filing with respect to each Reporting Person listed in Item 2(a) above. As of September 17, 2003, the Reporting Persons ceased to beneficially own any shares of Common Stock. The reporting persons named in the original filing dated February 14, 2000 (the “Original Filing”) have terminated their Joint Filing Agreement with respect to the Original Filing as of the date hereof. This filing is being made only on behalf of Comcast Holdings Corporation and</w:t>
      </w:r>
    </w:p>
    <w:p>
      <w:pPr>
        <w:sectPr>
          <w:pgSz w:w="11900" w:h="16923" w:orient="portrait"/>
          <w:cols w:equalWidth="0" w:num="1">
            <w:col w:w="11460"/>
          </w:cols>
          <w:pgMar w:left="240" w:top="733" w:right="199" w:bottom="0" w:gutter="0" w:footer="0" w:header="0"/>
        </w:sectPr>
      </w:pPr>
    </w:p>
    <w:bookmarkStart w:id="3" w:name="page4"/>
    <w:bookmarkEnd w:id="3"/>
    <w:p>
      <w:pPr>
        <w:ind w:right="80"/>
        <w:spacing w:after="0" w:line="259" w:lineRule="auto"/>
        <w:rPr>
          <w:sz w:val="20"/>
          <w:szCs w:val="20"/>
          <w:color w:val="auto"/>
        </w:rPr>
      </w:pPr>
      <w:r>
        <w:rPr>
          <w:rFonts w:ascii="Arial" w:cs="Arial" w:eastAsia="Arial" w:hAnsi="Arial"/>
          <w:sz w:val="18"/>
          <w:szCs w:val="18"/>
          <w:color w:val="auto"/>
        </w:rPr>
        <w:t>Comcast QIH, Inc. (the “Comcast Reporting Persons”). Accordingly, this Amendment serves only to amend the Original Filing to the extent the same was filed by and relates to the Comcast Reporting Persons and is not intended to amend or otherwise affect the Original Filing to the extent the same was filed by and relates to other reporting persons named in the Original Filing.</w:t>
      </w:r>
    </w:p>
    <w:p>
      <w:pPr>
        <w:spacing w:after="0" w:line="221" w:lineRule="exact"/>
        <w:rPr>
          <w:sz w:val="20"/>
          <w:szCs w:val="20"/>
          <w:color w:val="auto"/>
        </w:rPr>
      </w:pPr>
    </w:p>
    <w:p>
      <w:pPr>
        <w:ind w:left="580" w:hanging="391"/>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Percent of class: 0%</w:t>
      </w:r>
    </w:p>
    <w:p>
      <w:pPr>
        <w:spacing w:after="0" w:line="252" w:lineRule="exact"/>
        <w:rPr>
          <w:rFonts w:ascii="Arial" w:cs="Arial" w:eastAsia="Arial" w:hAnsi="Arial"/>
          <w:sz w:val="18"/>
          <w:szCs w:val="18"/>
          <w:color w:val="auto"/>
        </w:rPr>
      </w:pPr>
    </w:p>
    <w:p>
      <w:pPr>
        <w:ind w:left="580" w:hanging="386"/>
        <w:spacing w:after="0"/>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52" w:lineRule="exact"/>
        <w:rPr>
          <w:rFonts w:ascii="Arial" w:cs="Arial" w:eastAsia="Arial" w:hAnsi="Arial"/>
          <w:sz w:val="18"/>
          <w:szCs w:val="18"/>
          <w:color w:val="auto"/>
        </w:rPr>
      </w:pPr>
    </w:p>
    <w:p>
      <w:pPr>
        <w:ind w:left="1140" w:hanging="364"/>
        <w:spacing w:after="0"/>
        <w:tabs>
          <w:tab w:leader="none" w:pos="11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Sole power to vote or to direct the vote: 0</w:t>
      </w:r>
    </w:p>
    <w:p>
      <w:pPr>
        <w:spacing w:after="0" w:line="279" w:lineRule="exact"/>
        <w:rPr>
          <w:sz w:val="20"/>
          <w:szCs w:val="20"/>
          <w:color w:val="auto"/>
        </w:rPr>
      </w:pPr>
    </w:p>
    <w:p>
      <w:pPr>
        <w:ind w:left="1140" w:hanging="388"/>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79" w:lineRule="exact"/>
        <w:rPr>
          <w:sz w:val="20"/>
          <w:szCs w:val="20"/>
          <w:color w:val="auto"/>
        </w:rPr>
      </w:pPr>
    </w:p>
    <w:p>
      <w:pPr>
        <w:ind w:left="1140" w:hanging="413"/>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0</w:t>
      </w:r>
    </w:p>
    <w:p>
      <w:pPr>
        <w:spacing w:after="0" w:line="279" w:lineRule="exact"/>
        <w:rPr>
          <w:rFonts w:ascii="Arial" w:cs="Arial" w:eastAsia="Arial" w:hAnsi="Arial"/>
          <w:sz w:val="18"/>
          <w:szCs w:val="18"/>
          <w:color w:val="auto"/>
        </w:rPr>
      </w:pPr>
    </w:p>
    <w:p>
      <w:pPr>
        <w:ind w:left="1140" w:hanging="408"/>
        <w:spacing w:after="0"/>
        <w:tabs>
          <w:tab w:leader="none" w:pos="11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8" w:lineRule="exact"/>
        <w:rPr>
          <w:sz w:val="20"/>
          <w:szCs w:val="20"/>
          <w:color w:val="auto"/>
        </w:rPr>
      </w:pPr>
    </w:p>
    <w:p>
      <w:pPr>
        <w:ind w:firstLine="27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x</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7. Identification and Classification of the Subsidiaries Which Acquired the Security Being Reported on by the Parent Holding Company.</w:t>
      </w:r>
    </w:p>
    <w:p>
      <w:pPr>
        <w:spacing w:after="0" w:line="254"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31"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Certifications.</w:t>
      </w:r>
    </w:p>
    <w:p>
      <w:pPr>
        <w:spacing w:after="0" w:line="258"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5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w:t>
      </w:r>
    </w:p>
    <w:p>
      <w:pPr>
        <w:spacing w:after="0" w:line="258" w:lineRule="exact"/>
        <w:rPr>
          <w:sz w:val="20"/>
          <w:szCs w:val="20"/>
          <w:color w:val="auto"/>
        </w:rPr>
      </w:pPr>
    </w:p>
    <w:p>
      <w:pPr>
        <w:ind w:left="2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9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COMCAST HOLDINGS CORPORATION</w:t>
      </w:r>
    </w:p>
    <w:p>
      <w:pPr>
        <w:spacing w:after="0" w:line="252"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February 13,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71120</wp:posOffset>
            </wp:positionV>
            <wp:extent cx="32759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275965" cy="8890"/>
                    </a:xfrm>
                    <a:prstGeom prst="rect">
                      <a:avLst/>
                    </a:prstGeom>
                    <a:noFill/>
                  </pic:spPr>
                </pic:pic>
              </a:graphicData>
            </a:graphic>
          </wp:anchor>
        </w:drawing>
      </w:r>
    </w:p>
    <w:p>
      <w:pPr>
        <w:spacing w:after="0" w:line="176" w:lineRule="exact"/>
        <w:rPr>
          <w:sz w:val="20"/>
          <w:szCs w:val="20"/>
          <w:color w:val="auto"/>
        </w:rPr>
      </w:pPr>
    </w:p>
    <w:p>
      <w:pPr>
        <w:ind w:left="7540"/>
        <w:spacing w:after="0"/>
        <w:rPr>
          <w:sz w:val="20"/>
          <w:szCs w:val="20"/>
          <w:color w:val="auto"/>
        </w:rPr>
      </w:pPr>
      <w:r>
        <w:rPr>
          <w:rFonts w:ascii="Arial" w:cs="Arial" w:eastAsia="Arial" w:hAnsi="Arial"/>
          <w:sz w:val="14"/>
          <w:szCs w:val="14"/>
          <w:color w:val="auto"/>
        </w:rPr>
        <w:t>(Date)</w:t>
      </w:r>
    </w:p>
    <w:p>
      <w:pPr>
        <w:spacing w:after="0" w:line="247" w:lineRule="exact"/>
        <w:rPr>
          <w:sz w:val="20"/>
          <w:szCs w:val="20"/>
          <w:color w:val="auto"/>
        </w:rPr>
      </w:pPr>
    </w:p>
    <w:p>
      <w:pPr>
        <w:ind w:left="704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80010</wp:posOffset>
            </wp:positionV>
            <wp:extent cx="32588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89" w:lineRule="exact"/>
        <w:rPr>
          <w:sz w:val="20"/>
          <w:szCs w:val="20"/>
          <w:color w:val="auto"/>
        </w:rPr>
      </w:pPr>
    </w:p>
    <w:p>
      <w:pPr>
        <w:ind w:left="7400"/>
        <w:spacing w:after="0"/>
        <w:rPr>
          <w:sz w:val="20"/>
          <w:szCs w:val="20"/>
          <w:color w:val="auto"/>
        </w:rPr>
      </w:pPr>
      <w:r>
        <w:rPr>
          <w:rFonts w:ascii="Arial" w:cs="Arial" w:eastAsia="Arial" w:hAnsi="Arial"/>
          <w:sz w:val="14"/>
          <w:szCs w:val="14"/>
          <w:color w:val="auto"/>
        </w:rPr>
        <w:t>(Signature)</w:t>
      </w:r>
    </w:p>
    <w:p>
      <w:pPr>
        <w:spacing w:after="0" w:line="233" w:lineRule="exact"/>
        <w:rPr>
          <w:sz w:val="20"/>
          <w:szCs w:val="20"/>
          <w:color w:val="auto"/>
        </w:rPr>
      </w:pPr>
    </w:p>
    <w:p>
      <w:pPr>
        <w:jc w:val="center"/>
        <w:ind w:left="3980"/>
        <w:spacing w:after="0"/>
        <w:rPr>
          <w:sz w:val="20"/>
          <w:szCs w:val="20"/>
          <w:color w:val="auto"/>
        </w:rPr>
      </w:pPr>
      <w:r>
        <w:rPr>
          <w:rFonts w:ascii="Arial" w:cs="Arial" w:eastAsia="Arial" w:hAnsi="Arial"/>
          <w:sz w:val="18"/>
          <w:szCs w:val="18"/>
          <w:color w:val="auto"/>
        </w:rPr>
        <w:t>Arthur R. Block</w:t>
      </w:r>
    </w:p>
    <w:p>
      <w:pPr>
        <w:spacing w:after="0" w:line="15" w:lineRule="exact"/>
        <w:rPr>
          <w:sz w:val="20"/>
          <w:szCs w:val="20"/>
          <w:color w:val="auto"/>
        </w:rPr>
      </w:pPr>
    </w:p>
    <w:p>
      <w:pPr>
        <w:jc w:val="center"/>
        <w:ind w:left="3980"/>
        <w:spacing w:after="0"/>
        <w:rPr>
          <w:sz w:val="20"/>
          <w:szCs w:val="20"/>
          <w:color w:val="auto"/>
        </w:rPr>
      </w:pPr>
      <w:r>
        <w:rPr>
          <w:rFonts w:ascii="Arial" w:cs="Arial" w:eastAsia="Arial" w:hAnsi="Arial"/>
          <w:sz w:val="18"/>
          <w:szCs w:val="18"/>
          <w:color w:val="auto"/>
        </w:rPr>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67310</wp:posOffset>
            </wp:positionV>
            <wp:extent cx="32588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9" w:lineRule="exact"/>
        <w:rPr>
          <w:sz w:val="20"/>
          <w:szCs w:val="20"/>
          <w:color w:val="auto"/>
        </w:rPr>
      </w:pPr>
    </w:p>
    <w:p>
      <w:pPr>
        <w:ind w:left="7360"/>
        <w:spacing w:after="0"/>
        <w:rPr>
          <w:sz w:val="20"/>
          <w:szCs w:val="20"/>
          <w:color w:val="auto"/>
        </w:rPr>
      </w:pPr>
      <w:r>
        <w:rPr>
          <w:rFonts w:ascii="Arial" w:cs="Arial" w:eastAsia="Arial" w:hAnsi="Arial"/>
          <w:sz w:val="14"/>
          <w:szCs w:val="14"/>
          <w:color w:val="auto"/>
        </w:rPr>
        <w:t>(Name/Title)</w:t>
      </w:r>
    </w:p>
    <w:p>
      <w:pPr>
        <w:spacing w:after="0" w:line="260"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COMCAST QIH, INC.</w:t>
      </w:r>
    </w:p>
    <w:p>
      <w:pPr>
        <w:spacing w:after="0" w:line="252"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February 13,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71120</wp:posOffset>
            </wp:positionV>
            <wp:extent cx="32588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6" w:lineRule="exact"/>
        <w:rPr>
          <w:sz w:val="20"/>
          <w:szCs w:val="20"/>
          <w:color w:val="auto"/>
        </w:rPr>
      </w:pPr>
    </w:p>
    <w:p>
      <w:pPr>
        <w:ind w:left="7540"/>
        <w:spacing w:after="0"/>
        <w:rPr>
          <w:sz w:val="20"/>
          <w:szCs w:val="20"/>
          <w:color w:val="auto"/>
        </w:rPr>
      </w:pPr>
      <w:r>
        <w:rPr>
          <w:rFonts w:ascii="Arial" w:cs="Arial" w:eastAsia="Arial" w:hAnsi="Arial"/>
          <w:sz w:val="14"/>
          <w:szCs w:val="14"/>
          <w:color w:val="auto"/>
        </w:rPr>
        <w:t>(Date)</w:t>
      </w:r>
    </w:p>
    <w:p>
      <w:pPr>
        <w:spacing w:after="0" w:line="247" w:lineRule="exact"/>
        <w:rPr>
          <w:sz w:val="20"/>
          <w:szCs w:val="20"/>
          <w:color w:val="auto"/>
        </w:rPr>
      </w:pPr>
    </w:p>
    <w:p>
      <w:pPr>
        <w:ind w:left="6960"/>
        <w:spacing w:after="0"/>
        <w:rPr>
          <w:sz w:val="20"/>
          <w:szCs w:val="20"/>
          <w:color w:val="auto"/>
        </w:rPr>
      </w:pPr>
      <w:r>
        <w:rPr>
          <w:rFonts w:ascii="Arial" w:cs="Arial" w:eastAsia="Arial" w:hAnsi="Arial"/>
          <w:sz w:val="18"/>
          <w:szCs w:val="18"/>
          <w:color w:val="auto"/>
        </w:rPr>
        <w:t>/s/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80010</wp:posOffset>
            </wp:positionV>
            <wp:extent cx="32588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89" w:lineRule="exact"/>
        <w:rPr>
          <w:sz w:val="20"/>
          <w:szCs w:val="20"/>
          <w:color w:val="auto"/>
        </w:rPr>
      </w:pPr>
    </w:p>
    <w:p>
      <w:pPr>
        <w:ind w:left="7400"/>
        <w:spacing w:after="0"/>
        <w:rPr>
          <w:sz w:val="20"/>
          <w:szCs w:val="20"/>
          <w:color w:val="auto"/>
        </w:rPr>
      </w:pPr>
      <w:r>
        <w:rPr>
          <w:rFonts w:ascii="Arial" w:cs="Arial" w:eastAsia="Arial" w:hAnsi="Arial"/>
          <w:sz w:val="14"/>
          <w:szCs w:val="14"/>
          <w:color w:val="auto"/>
        </w:rPr>
        <w:t>(Signature)</w:t>
      </w:r>
    </w:p>
    <w:p>
      <w:pPr>
        <w:spacing w:after="0" w:line="233"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Rosemarie S. Teta</w:t>
      </w:r>
    </w:p>
    <w:p>
      <w:pPr>
        <w:sectPr>
          <w:pgSz w:w="11900" w:h="16838" w:orient="portrait"/>
          <w:cols w:equalWidth="0" w:num="1">
            <w:col w:w="11280"/>
          </w:cols>
          <w:pgMar w:left="240" w:top="131" w:right="379" w:bottom="0" w:gutter="0" w:footer="0" w:header="0"/>
        </w:sectPr>
      </w:pPr>
    </w:p>
    <w:bookmarkStart w:id="4" w:name="page5"/>
    <w:bookmarkEnd w:id="4"/>
    <w:p>
      <w:pPr>
        <w:ind w:left="7200"/>
        <w:spacing w:after="0"/>
        <w:rPr>
          <w:sz w:val="20"/>
          <w:szCs w:val="20"/>
          <w:color w:val="auto"/>
        </w:rPr>
      </w:pPr>
      <w:r>
        <w:rPr>
          <w:rFonts w:ascii="Arial" w:cs="Arial" w:eastAsia="Arial" w:hAnsi="Arial"/>
          <w:sz w:val="18"/>
          <w:szCs w:val="18"/>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3263900</wp:posOffset>
            </wp:positionH>
            <wp:positionV relativeFrom="paragraph">
              <wp:posOffset>71120</wp:posOffset>
            </wp:positionV>
            <wp:extent cx="32588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76" w:lineRule="exact"/>
        <w:rPr>
          <w:sz w:val="20"/>
          <w:szCs w:val="20"/>
          <w:color w:val="auto"/>
        </w:rPr>
      </w:pPr>
    </w:p>
    <w:p>
      <w:pPr>
        <w:ind w:left="7360"/>
        <w:spacing w:after="0"/>
        <w:rPr>
          <w:sz w:val="20"/>
          <w:szCs w:val="20"/>
          <w:color w:val="auto"/>
        </w:rPr>
      </w:pPr>
      <w:r>
        <w:rPr>
          <w:rFonts w:ascii="Arial" w:cs="Arial" w:eastAsia="Arial" w:hAnsi="Arial"/>
          <w:sz w:val="14"/>
          <w:szCs w:val="14"/>
          <w:color w:val="auto"/>
        </w:rPr>
        <w:t>(Name/Title)</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right="240" w:firstLine="270"/>
        <w:spacing w:after="0" w:line="255" w:lineRule="auto"/>
        <w:rPr>
          <w:sz w:val="20"/>
          <w:szCs w:val="20"/>
          <w:color w:val="auto"/>
        </w:rPr>
      </w:pPr>
      <w:r>
        <w:rPr>
          <w:rFonts w:ascii="Arial" w:cs="Arial" w:eastAsia="Arial" w:hAnsi="Arial"/>
          <w:sz w:val="18"/>
          <w:szCs w:val="18"/>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 signs the statement shall be typed or printed beneath his signature.</w:t>
      </w:r>
    </w:p>
    <w:p>
      <w:pPr>
        <w:spacing w:after="0" w:line="224" w:lineRule="exact"/>
        <w:rPr>
          <w:sz w:val="20"/>
          <w:szCs w:val="20"/>
          <w:color w:val="auto"/>
        </w:rPr>
      </w:pPr>
    </w:p>
    <w:p>
      <w:pPr>
        <w:ind w:left="280"/>
        <w:spacing w:after="0"/>
        <w:rPr>
          <w:sz w:val="20"/>
          <w:szCs w:val="20"/>
          <w:color w:val="auto"/>
        </w:rPr>
      </w:pPr>
      <w:r>
        <w:rPr>
          <w:rFonts w:ascii="Arial" w:cs="Arial" w:eastAsia="Arial" w:hAnsi="Arial"/>
          <w:sz w:val="18"/>
          <w:szCs w:val="18"/>
          <w:i w:val="1"/>
          <w:iCs w:val="1"/>
          <w:color w:val="auto"/>
        </w:rPr>
        <w:t>Attention</w:t>
      </w:r>
      <w:r>
        <w:rPr>
          <w:rFonts w:ascii="Arial" w:cs="Arial" w:eastAsia="Arial" w:hAnsi="Arial"/>
          <w:sz w:val="18"/>
          <w:szCs w:val="18"/>
          <w:color w:val="auto"/>
        </w:rPr>
        <w:t>. Intentional misstatements or omissions of fact constitute federal criminal violations (</w:t>
      </w:r>
      <w:r>
        <w:rPr>
          <w:rFonts w:ascii="Arial" w:cs="Arial" w:eastAsia="Arial" w:hAnsi="Arial"/>
          <w:sz w:val="18"/>
          <w:szCs w:val="18"/>
          <w:i w:val="1"/>
          <w:iCs w:val="1"/>
          <w:color w:val="auto"/>
        </w:rPr>
        <w:t xml:space="preserve">see </w:t>
      </w:r>
      <w:r>
        <w:rPr>
          <w:rFonts w:ascii="Arial" w:cs="Arial" w:eastAsia="Arial" w:hAnsi="Arial"/>
          <w:sz w:val="18"/>
          <w:szCs w:val="18"/>
          <w:color w:val="auto"/>
        </w:rPr>
        <w:t>18 U.S.C. 1001).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500" w:type="dxa"/>
            <w:vAlign w:val="bottom"/>
          </w:tcPr>
          <w:p>
            <w:pPr>
              <w:spacing w:after="0"/>
              <w:rPr>
                <w:sz w:val="19"/>
                <w:szCs w:val="19"/>
                <w:color w:val="auto"/>
              </w:rPr>
            </w:pPr>
          </w:p>
        </w:tc>
        <w:tc>
          <w:tcPr>
            <w:tcW w:w="9960" w:type="dxa"/>
            <w:vAlign w:val="bottom"/>
          </w:tcPr>
          <w:p>
            <w:pPr>
              <w:ind w:left="3820"/>
              <w:spacing w:after="0"/>
              <w:rPr>
                <w:sz w:val="20"/>
                <w:szCs w:val="20"/>
                <w:color w:val="auto"/>
              </w:rPr>
            </w:pPr>
            <w:r>
              <w:rPr>
                <w:rFonts w:ascii="Arial" w:cs="Arial" w:eastAsia="Arial" w:hAnsi="Arial"/>
                <w:sz w:val="18"/>
                <w:szCs w:val="18"/>
                <w:color w:val="auto"/>
              </w:rPr>
              <w:t>Page 6 of 9</w:t>
            </w:r>
          </w:p>
        </w:tc>
      </w:tr>
      <w:tr>
        <w:trPr>
          <w:trHeight w:val="242"/>
        </w:trPr>
        <w:tc>
          <w:tcPr>
            <w:tcW w:w="1500" w:type="dxa"/>
            <w:vAlign w:val="bottom"/>
            <w:tcBorders>
              <w:bottom w:val="single" w:sz="8" w:color="808080"/>
            </w:tcBorders>
          </w:tcPr>
          <w:p>
            <w:pPr>
              <w:spacing w:after="0"/>
              <w:rPr>
                <w:sz w:val="21"/>
                <w:szCs w:val="21"/>
                <w:color w:val="auto"/>
              </w:rPr>
            </w:pPr>
          </w:p>
        </w:tc>
        <w:tc>
          <w:tcPr>
            <w:tcW w:w="9960" w:type="dxa"/>
            <w:vAlign w:val="bottom"/>
            <w:tcBorders>
              <w:bottom w:val="single" w:sz="8" w:color="808080"/>
            </w:tcBorders>
          </w:tcPr>
          <w:p>
            <w:pPr>
              <w:spacing w:after="0"/>
              <w:rPr>
                <w:sz w:val="21"/>
                <w:szCs w:val="21"/>
                <w:color w:val="auto"/>
              </w:rPr>
            </w:pPr>
          </w:p>
        </w:tc>
      </w:tr>
      <w:tr>
        <w:trPr>
          <w:trHeight w:val="427"/>
        </w:trPr>
        <w:tc>
          <w:tcPr>
            <w:tcW w:w="1500" w:type="dxa"/>
            <w:vAlign w:val="bottom"/>
          </w:tcPr>
          <w:p>
            <w:pPr>
              <w:spacing w:after="0"/>
              <w:rPr>
                <w:sz w:val="24"/>
                <w:szCs w:val="24"/>
                <w:color w:val="auto"/>
              </w:rPr>
            </w:pPr>
          </w:p>
        </w:tc>
        <w:tc>
          <w:tcPr>
            <w:tcW w:w="9960" w:type="dxa"/>
            <w:vAlign w:val="bottom"/>
          </w:tcPr>
          <w:p>
            <w:pPr>
              <w:ind w:left="3700"/>
              <w:spacing w:after="0"/>
              <w:rPr>
                <w:sz w:val="20"/>
                <w:szCs w:val="20"/>
                <w:color w:val="auto"/>
              </w:rPr>
            </w:pPr>
            <w:r>
              <w:rPr>
                <w:rFonts w:ascii="Arial" w:cs="Arial" w:eastAsia="Arial" w:hAnsi="Arial"/>
                <w:sz w:val="18"/>
                <w:szCs w:val="18"/>
                <w:color w:val="auto"/>
              </w:rPr>
              <w:t>SCHEDULES</w:t>
            </w:r>
          </w:p>
        </w:tc>
      </w:tr>
      <w:tr>
        <w:trPr>
          <w:trHeight w:val="885"/>
        </w:trPr>
        <w:tc>
          <w:tcPr>
            <w:tcW w:w="1500" w:type="dxa"/>
            <w:vAlign w:val="bottom"/>
          </w:tcPr>
          <w:p>
            <w:pPr>
              <w:spacing w:after="0"/>
              <w:rPr>
                <w:sz w:val="20"/>
                <w:szCs w:val="20"/>
                <w:color w:val="auto"/>
              </w:rPr>
            </w:pPr>
            <w:r>
              <w:rPr>
                <w:rFonts w:ascii="Arial" w:cs="Arial" w:eastAsia="Arial" w:hAnsi="Arial"/>
                <w:sz w:val="18"/>
                <w:szCs w:val="18"/>
                <w:color w:val="auto"/>
              </w:rPr>
              <w:t>Schedule I</w:t>
            </w:r>
          </w:p>
        </w:tc>
        <w:tc>
          <w:tcPr>
            <w:tcW w:w="9960" w:type="dxa"/>
            <w:vAlign w:val="bottom"/>
          </w:tcPr>
          <w:p>
            <w:pPr>
              <w:ind w:left="660"/>
              <w:spacing w:after="0"/>
              <w:rPr>
                <w:sz w:val="20"/>
                <w:szCs w:val="20"/>
                <w:color w:val="auto"/>
              </w:rPr>
            </w:pPr>
            <w:r>
              <w:rPr>
                <w:rFonts w:ascii="Arial" w:cs="Arial" w:eastAsia="Arial" w:hAnsi="Arial"/>
                <w:sz w:val="18"/>
                <w:szCs w:val="18"/>
                <w:color w:val="auto"/>
              </w:rPr>
              <w:t>Termination of Joint Filing Agreement dated February 14, 2000 among Interactive Technology Holdings, LLC, QK</w:t>
            </w:r>
          </w:p>
        </w:tc>
      </w:tr>
      <w:tr>
        <w:trPr>
          <w:trHeight w:val="216"/>
        </w:trPr>
        <w:tc>
          <w:tcPr>
            <w:tcW w:w="1500" w:type="dxa"/>
            <w:vAlign w:val="bottom"/>
          </w:tcPr>
          <w:p>
            <w:pPr>
              <w:spacing w:after="0"/>
              <w:rPr>
                <w:sz w:val="18"/>
                <w:szCs w:val="18"/>
                <w:color w:val="auto"/>
              </w:rPr>
            </w:pPr>
          </w:p>
        </w:tc>
        <w:tc>
          <w:tcPr>
            <w:tcW w:w="9960" w:type="dxa"/>
            <w:vAlign w:val="bottom"/>
          </w:tcPr>
          <w:p>
            <w:pPr>
              <w:ind w:left="660"/>
              <w:spacing w:after="0"/>
              <w:rPr>
                <w:sz w:val="20"/>
                <w:szCs w:val="20"/>
                <w:color w:val="auto"/>
              </w:rPr>
            </w:pPr>
            <w:r>
              <w:rPr>
                <w:rFonts w:ascii="Arial" w:cs="Arial" w:eastAsia="Arial" w:hAnsi="Arial"/>
                <w:sz w:val="18"/>
                <w:szCs w:val="18"/>
                <w:color w:val="auto"/>
                <w:w w:val="97"/>
              </w:rPr>
              <w:t>Holdings, Inc., Comcast QIH, Inc. (successor in interest to Comcast QIH, LP, Comcast QIH, LP, Inc., and Comcast QIH</w:t>
            </w:r>
          </w:p>
        </w:tc>
      </w:tr>
      <w:tr>
        <w:trPr>
          <w:trHeight w:val="222"/>
        </w:trPr>
        <w:tc>
          <w:tcPr>
            <w:tcW w:w="1500" w:type="dxa"/>
            <w:vAlign w:val="bottom"/>
          </w:tcPr>
          <w:p>
            <w:pPr>
              <w:spacing w:after="0"/>
              <w:rPr>
                <w:sz w:val="19"/>
                <w:szCs w:val="19"/>
                <w:color w:val="auto"/>
              </w:rPr>
            </w:pPr>
          </w:p>
        </w:tc>
        <w:tc>
          <w:tcPr>
            <w:tcW w:w="9960" w:type="dxa"/>
            <w:vAlign w:val="bottom"/>
          </w:tcPr>
          <w:p>
            <w:pPr>
              <w:ind w:left="660"/>
              <w:spacing w:after="0"/>
              <w:rPr>
                <w:sz w:val="20"/>
                <w:szCs w:val="20"/>
                <w:color w:val="auto"/>
              </w:rPr>
            </w:pPr>
            <w:r>
              <w:rPr>
                <w:rFonts w:ascii="Arial" w:cs="Arial" w:eastAsia="Arial" w:hAnsi="Arial"/>
                <w:sz w:val="18"/>
                <w:szCs w:val="18"/>
                <w:color w:val="auto"/>
              </w:rPr>
              <w:t>GP, Inc.), QVC, Inc., and Comcast Holdings Corporation (formerly known as Comcast Corporation).</w:t>
            </w:r>
          </w:p>
        </w:tc>
      </w:tr>
      <w:tr>
        <w:trPr>
          <w:trHeight w:val="459"/>
        </w:trPr>
        <w:tc>
          <w:tcPr>
            <w:tcW w:w="1500" w:type="dxa"/>
            <w:vAlign w:val="bottom"/>
          </w:tcPr>
          <w:p>
            <w:pPr>
              <w:spacing w:after="0"/>
              <w:rPr>
                <w:sz w:val="20"/>
                <w:szCs w:val="20"/>
                <w:color w:val="auto"/>
              </w:rPr>
            </w:pPr>
            <w:r>
              <w:rPr>
                <w:rFonts w:ascii="Arial" w:cs="Arial" w:eastAsia="Arial" w:hAnsi="Arial"/>
                <w:sz w:val="18"/>
                <w:szCs w:val="18"/>
                <w:color w:val="auto"/>
              </w:rPr>
              <w:t>Schedule II</w:t>
            </w:r>
          </w:p>
        </w:tc>
        <w:tc>
          <w:tcPr>
            <w:tcW w:w="9960" w:type="dxa"/>
            <w:vAlign w:val="bottom"/>
          </w:tcPr>
          <w:p>
            <w:pPr>
              <w:ind w:left="660"/>
              <w:spacing w:after="0"/>
              <w:rPr>
                <w:sz w:val="20"/>
                <w:szCs w:val="20"/>
                <w:color w:val="auto"/>
              </w:rPr>
            </w:pPr>
            <w:r>
              <w:rPr>
                <w:rFonts w:ascii="Arial" w:cs="Arial" w:eastAsia="Arial" w:hAnsi="Arial"/>
                <w:sz w:val="18"/>
                <w:szCs w:val="18"/>
                <w:color w:val="auto"/>
              </w:rPr>
              <w:t>Joint Filing Agreement dated February 13, 2004 among the signatories to this Amendment No. 2 to Schedule 13G.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-1432560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-1432560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Page 7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right"/>
        <w:ind w:right="40"/>
        <w:spacing w:after="0"/>
        <w:rPr>
          <w:sz w:val="20"/>
          <w:szCs w:val="20"/>
          <w:color w:val="auto"/>
        </w:rPr>
      </w:pPr>
      <w:r>
        <w:rPr>
          <w:rFonts w:ascii="Arial" w:cs="Arial" w:eastAsia="Arial" w:hAnsi="Arial"/>
          <w:sz w:val="18"/>
          <w:szCs w:val="18"/>
          <w:color w:val="auto"/>
        </w:rPr>
        <w:t>SCHEDULE I</w:t>
      </w:r>
    </w:p>
    <w:p>
      <w:pPr>
        <w:spacing w:after="0" w:line="252"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TERMINATION OF JOINT FILING AGREEMENT</w:t>
      </w:r>
    </w:p>
    <w:p>
      <w:pPr>
        <w:spacing w:after="0" w:line="15"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EXECUTED PURSUANT TO RULE 13d-1(k)(1)</w:t>
      </w:r>
    </w:p>
    <w:p>
      <w:pPr>
        <w:spacing w:after="0" w:line="246" w:lineRule="exact"/>
        <w:rPr>
          <w:sz w:val="20"/>
          <w:szCs w:val="20"/>
          <w:color w:val="auto"/>
        </w:rPr>
      </w:pPr>
    </w:p>
    <w:p>
      <w:pPr>
        <w:ind w:right="440" w:firstLine="270"/>
        <w:spacing w:after="0" w:line="268" w:lineRule="auto"/>
        <w:rPr>
          <w:sz w:val="20"/>
          <w:szCs w:val="20"/>
          <w:color w:val="auto"/>
        </w:rPr>
      </w:pPr>
      <w:r>
        <w:rPr>
          <w:rFonts w:ascii="Arial" w:cs="Arial" w:eastAsia="Arial" w:hAnsi="Arial"/>
          <w:sz w:val="18"/>
          <w:szCs w:val="18"/>
          <w:color w:val="auto"/>
        </w:rPr>
        <w:t>The undersigned hereby terminate the Joint Filing Agreement among them dated February 14, 2000. This termination may be executed in any number of counterparts and all of such counterparts taken together shall constitute one and the same instrument.</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13, 2004</w:t>
      </w:r>
    </w:p>
    <w:p>
      <w:pPr>
        <w:spacing w:after="0" w:line="2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INTERACTIVE TECHNOLOGY HOLDINGS, LLC</w:t>
      </w:r>
    </w:p>
    <w:p>
      <w:pPr>
        <w:spacing w:after="0" w:line="15"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By: QK Holdings, Inc., its managing member</w:t>
      </w:r>
    </w:p>
    <w:p>
      <w:pPr>
        <w:spacing w:after="0" w:line="259" w:lineRule="exact"/>
        <w:rPr>
          <w:sz w:val="20"/>
          <w:szCs w:val="20"/>
          <w:color w:val="auto"/>
        </w:rPr>
      </w:pPr>
    </w:p>
    <w:tbl>
      <w:tblPr>
        <w:tblLayout w:type="fixed"/>
        <w:tblInd w:w="54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3"/>
          </w:tcPr>
          <w:p>
            <w:pPr>
              <w:spacing w:after="0"/>
              <w:rPr>
                <w:sz w:val="20"/>
                <w:szCs w:val="20"/>
                <w:color w:val="auto"/>
              </w:rPr>
            </w:pPr>
            <w:r>
              <w:rPr>
                <w:rFonts w:ascii="Arial" w:cs="Arial" w:eastAsia="Arial" w:hAnsi="Arial"/>
                <w:sz w:val="18"/>
                <w:szCs w:val="18"/>
                <w:color w:val="auto"/>
              </w:rPr>
              <w:t>/s/ David M. Apostolico</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David M. Apostolico</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President</w:t>
            </w:r>
          </w:p>
        </w:tc>
      </w:tr>
      <w:tr>
        <w:trPr>
          <w:trHeight w:val="486"/>
        </w:trPr>
        <w:tc>
          <w:tcPr>
            <w:tcW w:w="4340" w:type="dxa"/>
            <w:vAlign w:val="bottom"/>
            <w:gridSpan w:val="4"/>
          </w:tcPr>
          <w:p>
            <w:pPr>
              <w:spacing w:after="0"/>
              <w:rPr>
                <w:sz w:val="20"/>
                <w:szCs w:val="20"/>
                <w:color w:val="auto"/>
              </w:rPr>
            </w:pPr>
            <w:r>
              <w:rPr>
                <w:rFonts w:ascii="Arial" w:cs="Arial" w:eastAsia="Arial" w:hAnsi="Arial"/>
                <w:sz w:val="18"/>
                <w:szCs w:val="18"/>
                <w:color w:val="auto"/>
              </w:rPr>
              <w:t>QK HOLDINGS, INC.</w:t>
            </w:r>
          </w:p>
        </w:tc>
      </w:tr>
      <w:tr>
        <w:trPr>
          <w:trHeight w:val="48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3"/>
          </w:tcPr>
          <w:p>
            <w:pPr>
              <w:spacing w:after="0"/>
              <w:rPr>
                <w:sz w:val="20"/>
                <w:szCs w:val="20"/>
                <w:color w:val="auto"/>
              </w:rPr>
            </w:pPr>
            <w:r>
              <w:rPr>
                <w:rFonts w:ascii="Arial" w:cs="Arial" w:eastAsia="Arial" w:hAnsi="Arial"/>
                <w:sz w:val="18"/>
                <w:szCs w:val="18"/>
                <w:color w:val="auto"/>
              </w:rPr>
              <w:t>/s/ David M. Apostolico</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David M. Apostolico</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President</w:t>
            </w:r>
          </w:p>
        </w:tc>
      </w:tr>
      <w:tr>
        <w:trPr>
          <w:trHeight w:val="486"/>
        </w:trPr>
        <w:tc>
          <w:tcPr>
            <w:tcW w:w="1140" w:type="dxa"/>
            <w:vAlign w:val="bottom"/>
            <w:gridSpan w:val="2"/>
          </w:tcPr>
          <w:p>
            <w:pPr>
              <w:spacing w:after="0"/>
              <w:rPr>
                <w:sz w:val="20"/>
                <w:szCs w:val="20"/>
                <w:color w:val="auto"/>
              </w:rPr>
            </w:pPr>
            <w:r>
              <w:rPr>
                <w:rFonts w:ascii="Arial" w:cs="Arial" w:eastAsia="Arial" w:hAnsi="Arial"/>
                <w:sz w:val="18"/>
                <w:szCs w:val="18"/>
                <w:color w:val="auto"/>
              </w:rPr>
              <w:t>QVC, INC.</w:t>
            </w:r>
          </w:p>
        </w:tc>
        <w:tc>
          <w:tcPr>
            <w:tcW w:w="2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8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3"/>
          </w:tcPr>
          <w:p>
            <w:pPr>
              <w:spacing w:after="0"/>
              <w:rPr>
                <w:sz w:val="20"/>
                <w:szCs w:val="20"/>
                <w:color w:val="auto"/>
              </w:rPr>
            </w:pPr>
            <w:r>
              <w:rPr>
                <w:rFonts w:ascii="Arial" w:cs="Arial" w:eastAsia="Arial" w:hAnsi="Arial"/>
                <w:sz w:val="18"/>
                <w:szCs w:val="18"/>
                <w:color w:val="auto"/>
              </w:rPr>
              <w:t>/s/ Neal S. Grabell</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Neal S. Grabell</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w w:val="86"/>
              </w:rPr>
              <w:t>Senior Vice President and General Counsel</w:t>
            </w:r>
          </w:p>
        </w:tc>
      </w:tr>
      <w:tr>
        <w:trPr>
          <w:trHeight w:val="486"/>
        </w:trPr>
        <w:tc>
          <w:tcPr>
            <w:tcW w:w="4340" w:type="dxa"/>
            <w:vAlign w:val="bottom"/>
            <w:gridSpan w:val="4"/>
          </w:tcPr>
          <w:p>
            <w:pPr>
              <w:spacing w:after="0"/>
              <w:rPr>
                <w:sz w:val="20"/>
                <w:szCs w:val="20"/>
                <w:color w:val="auto"/>
              </w:rPr>
            </w:pPr>
            <w:r>
              <w:rPr>
                <w:rFonts w:ascii="Arial" w:cs="Arial" w:eastAsia="Arial" w:hAnsi="Arial"/>
                <w:sz w:val="18"/>
                <w:szCs w:val="18"/>
                <w:color w:val="auto"/>
              </w:rPr>
              <w:t>COMCAST QIH, INC.</w:t>
            </w:r>
          </w:p>
        </w:tc>
      </w:tr>
      <w:tr>
        <w:trPr>
          <w:trHeight w:val="486"/>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800" w:type="dxa"/>
            <w:vAlign w:val="bottom"/>
            <w:gridSpan w:val="3"/>
          </w:tcPr>
          <w:p>
            <w:pPr>
              <w:spacing w:after="0"/>
              <w:rPr>
                <w:sz w:val="20"/>
                <w:szCs w:val="20"/>
                <w:color w:val="auto"/>
              </w:rPr>
            </w:pPr>
            <w:r>
              <w:rPr>
                <w:rFonts w:ascii="Arial" w:cs="Arial" w:eastAsia="Arial" w:hAnsi="Arial"/>
                <w:sz w:val="18"/>
                <w:szCs w:val="18"/>
                <w:color w:val="auto"/>
              </w:rPr>
              <w:t>/s/ Rosemarie S. Teta</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c>
          <w:tcPr>
            <w:tcW w:w="860" w:type="dxa"/>
            <w:vAlign w:val="bottom"/>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Rosemarie S. Teta</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200" w:type="dxa"/>
            <w:vAlign w:val="bottom"/>
            <w:gridSpan w:val="2"/>
          </w:tcPr>
          <w:p>
            <w:pPr>
              <w:ind w:left="160"/>
              <w:spacing w:after="0"/>
              <w:rPr>
                <w:sz w:val="20"/>
                <w:szCs w:val="20"/>
                <w:color w:val="auto"/>
              </w:rPr>
            </w:pPr>
            <w:r>
              <w:rPr>
                <w:rFonts w:ascii="Arial" w:cs="Arial" w:eastAsia="Arial" w:hAnsi="Arial"/>
                <w:sz w:val="18"/>
                <w:szCs w:val="18"/>
                <w:color w:val="auto"/>
              </w:rPr>
              <w:t>Vice President</w:t>
            </w:r>
          </w:p>
        </w:tc>
      </w:tr>
    </w:tbl>
    <w:p>
      <w:pPr>
        <w:sectPr>
          <w:pgSz w:w="11900" w:h="16838" w:orient="portrait"/>
          <w:cols w:equalWidth="0" w:num="1">
            <w:col w:w="11460"/>
          </w:cols>
          <w:pgMar w:left="240" w:top="131" w:right="199" w:bottom="0" w:gutter="0" w:footer="0" w:header="0"/>
        </w:sectPr>
      </w:pPr>
    </w:p>
    <w:bookmarkStart w:id="5" w:name="page6"/>
    <w:bookmarkEnd w:id="5"/>
    <w:p>
      <w:pPr>
        <w:ind w:left="5440"/>
        <w:spacing w:after="0"/>
        <w:rPr>
          <w:sz w:val="20"/>
          <w:szCs w:val="20"/>
          <w:color w:val="auto"/>
        </w:rPr>
      </w:pPr>
      <w:r>
        <w:rPr>
          <w:rFonts w:ascii="Arial" w:cs="Arial" w:eastAsia="Arial" w:hAnsi="Arial"/>
          <w:sz w:val="18"/>
          <w:szCs w:val="18"/>
          <w:color w:val="auto"/>
        </w:rPr>
        <w:t>COMCAST HOLDINGS CORPORATION</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 of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SCHEDULE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JOINT FILING AGREEMENT</w:t>
      </w:r>
    </w:p>
    <w:p>
      <w:pPr>
        <w:spacing w:after="0" w:line="225"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In accordance with Rule 13d-1(k)(1) under the Securities Exchange Act of 1934, as amended, each of the undersigned acknowledges and agrees that Amendment No. 2 to Schedule 13G with respect to the Common Stock, par value $0.001 per share, of The Knot, Inc. shall be filed on behalf of each of the undersigned and acknowledges that as contemplated by Section 13d-1(k)(1)(ii), no person shall be responsible for the completeness or accuracy of the information concerning the other persons making the filing, unless such person knows or has reason to believe that such information is inaccurate. This Agreement may be executed in any number of counterparts and all such counterparts taken together shall constitute one and the same instrument.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Dated as of: February 13, 2004</w:t>
      </w:r>
    </w:p>
    <w:p>
      <w:pPr>
        <w:spacing w:after="0" w:line="279"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QIH, INC.</w:t>
      </w:r>
    </w:p>
    <w:p>
      <w:pPr>
        <w:spacing w:after="0" w:line="279" w:lineRule="exact"/>
        <w:rPr>
          <w:sz w:val="20"/>
          <w:szCs w:val="20"/>
          <w:color w:val="auto"/>
        </w:rPr>
      </w:pPr>
    </w:p>
    <w:p>
      <w:pPr>
        <w:ind w:left="5440"/>
        <w:spacing w:after="0"/>
        <w:tabs>
          <w:tab w:leader="none" w:pos="5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Rosemarie S. Teta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88265</wp:posOffset>
            </wp:positionV>
            <wp:extent cx="186944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246"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Rosemarie S. Teta</w:t>
      </w:r>
    </w:p>
    <w:p>
      <w:pPr>
        <w:spacing w:after="0" w:line="36" w:lineRule="exact"/>
        <w:rPr>
          <w:sz w:val="20"/>
          <w:szCs w:val="20"/>
          <w:color w:val="auto"/>
        </w:rPr>
      </w:pPr>
    </w:p>
    <w:p>
      <w:pPr>
        <w:ind w:left="5980"/>
        <w:spacing w:after="0"/>
        <w:tabs>
          <w:tab w:leader="none" w:pos="67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Vice President</w:t>
      </w:r>
    </w:p>
    <w:p>
      <w:pPr>
        <w:spacing w:after="0" w:line="293" w:lineRule="exact"/>
        <w:rPr>
          <w:sz w:val="20"/>
          <w:szCs w:val="20"/>
          <w:color w:val="auto"/>
        </w:rPr>
      </w:pPr>
    </w:p>
    <w:p>
      <w:pPr>
        <w:ind w:left="5440"/>
        <w:spacing w:after="0"/>
        <w:rPr>
          <w:sz w:val="20"/>
          <w:szCs w:val="20"/>
          <w:color w:val="auto"/>
        </w:rPr>
      </w:pPr>
      <w:r>
        <w:rPr>
          <w:rFonts w:ascii="Arial" w:cs="Arial" w:eastAsia="Arial" w:hAnsi="Arial"/>
          <w:sz w:val="18"/>
          <w:szCs w:val="18"/>
          <w:color w:val="auto"/>
        </w:rPr>
        <w:t>COMCAST HOLDINGS CORPORATION</w:t>
      </w:r>
    </w:p>
    <w:p>
      <w:pPr>
        <w:spacing w:after="0" w:line="279" w:lineRule="exact"/>
        <w:rPr>
          <w:sz w:val="20"/>
          <w:szCs w:val="20"/>
          <w:color w:val="auto"/>
        </w:rPr>
      </w:pPr>
    </w:p>
    <w:tbl>
      <w:tblPr>
        <w:tblLayout w:type="fixed"/>
        <w:tblInd w:w="544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294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24"/>
        </w:trPr>
        <w:tc>
          <w:tcPr>
            <w:tcW w:w="540" w:type="dxa"/>
            <w:vAlign w:val="bottom"/>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2340" w:type="dxa"/>
            <w:vAlign w:val="bottom"/>
            <w:tcBorders>
              <w:bottom w:val="single" w:sz="8" w:color="auto"/>
            </w:tcBorders>
          </w:tcPr>
          <w:p>
            <w:pPr>
              <w:spacing w:after="0"/>
              <w:rPr>
                <w:sz w:val="10"/>
                <w:szCs w:val="10"/>
                <w:color w:val="auto"/>
              </w:rPr>
            </w:pPr>
          </w:p>
        </w:tc>
      </w:tr>
      <w:tr>
        <w:trPr>
          <w:trHeight w:val="343"/>
        </w:trPr>
        <w:tc>
          <w:tcPr>
            <w:tcW w:w="54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2340" w:type="dxa"/>
            <w:vAlign w:val="bottom"/>
          </w:tcPr>
          <w:p>
            <w:pPr>
              <w:ind w:left="160"/>
              <w:spacing w:after="0"/>
              <w:rPr>
                <w:sz w:val="20"/>
                <w:szCs w:val="20"/>
                <w:color w:val="auto"/>
              </w:rPr>
            </w:pPr>
            <w:r>
              <w:rPr>
                <w:rFonts w:ascii="Arial" w:cs="Arial" w:eastAsia="Arial" w:hAnsi="Arial"/>
                <w:sz w:val="18"/>
                <w:szCs w:val="18"/>
                <w:color w:val="auto"/>
              </w:rPr>
              <w:t>Arthur R. Block</w:t>
            </w:r>
          </w:p>
        </w:tc>
      </w:tr>
      <w:tr>
        <w:trPr>
          <w:trHeight w:val="243"/>
        </w:trPr>
        <w:tc>
          <w:tcPr>
            <w:tcW w:w="540" w:type="dxa"/>
            <w:vAlign w:val="bottom"/>
          </w:tcPr>
          <w:p>
            <w:pPr>
              <w:spacing w:after="0"/>
              <w:rPr>
                <w:sz w:val="21"/>
                <w:szCs w:val="21"/>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2340" w:type="dxa"/>
            <w:vAlign w:val="bottom"/>
          </w:tcPr>
          <w:p>
            <w:pPr>
              <w:ind w:left="160"/>
              <w:spacing w:after="0"/>
              <w:rPr>
                <w:sz w:val="20"/>
                <w:szCs w:val="20"/>
                <w:color w:val="auto"/>
              </w:rPr>
            </w:pPr>
            <w:r>
              <w:rPr>
                <w:rFonts w:ascii="Arial" w:cs="Arial" w:eastAsia="Arial" w:hAnsi="Arial"/>
                <w:sz w:val="18"/>
                <w:szCs w:val="18"/>
                <w:color w:val="auto"/>
              </w:rPr>
              <w:t>Senior Vice President</w:t>
            </w:r>
          </w:p>
        </w:tc>
      </w:tr>
    </w:tbl>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9</w:t>
      </w:r>
    </w:p>
    <w:sectPr>
      <w:pgSz w:w="11900" w:h="16838" w:orient="portrait"/>
      <w:cols w:equalWidth="0" w:num="1">
        <w:col w:w="11420"/>
      </w:cols>
      <w:pgMar w:left="240" w:top="14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o"/>
      <w:numFmt w:val="bullet"/>
      <w:start w:val="1"/>
    </w:lvl>
  </w:abstractNum>
  <w:abstractNum w:abstractNumId="1">
    <w:nsid w:val="41B71EFB"/>
    <w:multiLevelType w:val="hybridMultilevel"/>
    <w:lvl w:ilvl="0">
      <w:lvlJc w:val="left"/>
      <w:lvlText w:val="*"/>
      <w:numFmt w:val="bullet"/>
      <w:start w:val="1"/>
    </w:lvl>
    <w:lvl w:ilvl="1">
      <w:lvlJc w:val="left"/>
      <w:lvlText w:val="x"/>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abstractNum>
  <w:abstractNum w:abstractNumId="4">
    <w:nsid w:val="515F007C"/>
    <w:multiLevelType w:val="hybridMultilevel"/>
    <w:lvl w:ilvl="0">
      <w:lvlJc w:val="left"/>
      <w:lvlText w:val="3"/>
      <w:numFmt w:val="bullet"/>
      <w:start w:val="1"/>
    </w:lvl>
  </w:abstractNum>
  <w:abstractNum w:abstractNumId="5">
    <w:nsid w:val="5BD062C2"/>
    <w:multiLevelType w:val="hybridMultilevel"/>
    <w:lvl w:ilvl="0">
      <w:lvlJc w:val="left"/>
      <w:lvlText w:val="4"/>
      <w:numFmt w:val="bullet"/>
      <w:start w:val="1"/>
    </w:lvl>
  </w:abstractNum>
  <w:abstractNum w:abstractNumId="6">
    <w:nsid w:val="12200854"/>
    <w:multiLevelType w:val="hybridMultilevel"/>
    <w:lvl w:ilvl="0">
      <w:lvlJc w:val="left"/>
      <w:lvlText w:val="9"/>
      <w:numFmt w:val="bullet"/>
      <w:start w:val="1"/>
    </w:lvl>
  </w:abstractNum>
  <w:abstractNum w:abstractNumId="7">
    <w:nsid w:val="4DB127F8"/>
    <w:multiLevelType w:val="hybridMultilevel"/>
    <w:lvl w:ilvl="0">
      <w:lvlJc w:val="left"/>
      <w:lvlText w:val="%1"/>
      <w:numFmt w:val="decimal"/>
      <w:start w:val="1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2"/>
    </w:lvl>
    <w:lvl w:ilvl="1">
      <w:lvlJc w:val="left"/>
      <w:lvlText w:val="(%2)"/>
      <w:numFmt w:val="lowerLetter"/>
      <w:start w:val="9"/>
    </w:lvl>
  </w:abstractNum>
  <w:abstractNum w:abstractNumId="10">
    <w:nsid w:val="1190CDE7"/>
    <w:multiLevelType w:val="hybridMultilevel"/>
    <w:lvl w:ilvl="0">
      <w:lvlJc w:val="left"/>
      <w:lvlText w:val="(%1)"/>
      <w:numFmt w:val="lowerRoman"/>
      <w:start w:val="2"/>
    </w:lvl>
  </w:abstractNum>
  <w:abstractNum w:abstractNumId="11">
    <w:nsid w:val="66EF438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2019-12-16T11:58:24Z</dcterms:created>
  <dcterms:modified xsi:type="dcterms:W3CDTF">2019-12-16T11:58:24Z</dcterms:modified>
</cp:coreProperties>
</file>