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612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1213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BURKE STEPHEN B</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1120"/>
        <w:spacing w:after="0" w:line="335" w:lineRule="auto"/>
        <w:rPr>
          <w:sz w:val="20"/>
          <w:szCs w:val="20"/>
          <w:color w:val="auto"/>
        </w:rPr>
      </w:pPr>
      <w:r>
        <w:rPr>
          <w:rFonts w:ascii="Arial" w:cs="Arial" w:eastAsia="Arial" w:hAnsi="Arial"/>
          <w:sz w:val="16"/>
          <w:szCs w:val="16"/>
          <w:color w:val="0000FF"/>
        </w:rPr>
        <w:t>COMCAST CORPORATION 1500 MARKET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COMCAST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CMCSA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03/10/2008</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76"/>
        <w:spacing w:after="0"/>
        <w:rPr>
          <w:sz w:val="20"/>
          <w:szCs w:val="20"/>
          <w:color w:val="auto"/>
        </w:rPr>
      </w:pPr>
      <w:r>
        <w:rPr>
          <w:rFonts w:ascii="Arial" w:cs="Arial" w:eastAsia="Arial" w:hAnsi="Arial"/>
          <w:sz w:val="17"/>
          <w:szCs w:val="17"/>
          <w:color w:val="0000FF"/>
        </w:rPr>
        <w:t>COO &amp; Executive Vice President</w:t>
      </w:r>
    </w:p>
    <w:p>
      <w:pPr>
        <w:spacing w:after="0" w:line="452"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0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3860" w:type="dxa"/>
            <w:vAlign w:val="bottom"/>
            <w:gridSpan w:val="6"/>
          </w:tcPr>
          <w:p>
            <w:pPr>
              <w:jc w:val="center"/>
              <w:ind w:right="74"/>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0"/>
          </w:tcPr>
          <w:p>
            <w:pPr>
              <w:ind w:left="28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gridSpan w:val="3"/>
            <w:vMerge w:val="restart"/>
          </w:tcPr>
          <w:p>
            <w:pPr>
              <w:spacing w:after="0"/>
              <w:rPr>
                <w:sz w:val="20"/>
                <w:szCs w:val="20"/>
                <w:color w:val="auto"/>
              </w:rPr>
            </w:pPr>
            <w:r>
              <w:rPr>
                <w:rFonts w:ascii="Arial" w:cs="Arial" w:eastAsia="Arial" w:hAnsi="Arial"/>
                <w:sz w:val="17"/>
                <w:szCs w:val="17"/>
                <w:color w:val="0000FF"/>
              </w:rPr>
              <w:t>PHILADELPHIA PA</w:t>
            </w:r>
          </w:p>
        </w:tc>
        <w:tc>
          <w:tcPr>
            <w:tcW w:w="1160" w:type="dxa"/>
            <w:vAlign w:val="bottom"/>
            <w:vMerge w:val="restart"/>
          </w:tcPr>
          <w:p>
            <w:pPr>
              <w:ind w:left="80"/>
              <w:spacing w:after="0"/>
              <w:rPr>
                <w:sz w:val="20"/>
                <w:szCs w:val="20"/>
                <w:color w:val="auto"/>
              </w:rPr>
            </w:pPr>
            <w:r>
              <w:rPr>
                <w:rFonts w:ascii="Arial" w:cs="Arial" w:eastAsia="Arial" w:hAnsi="Arial"/>
                <w:sz w:val="17"/>
                <w:szCs w:val="17"/>
                <w:color w:val="0000FF"/>
              </w:rPr>
              <w:t>19102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2720" w:type="dxa"/>
            <w:vAlign w:val="bottom"/>
            <w:tcBorders>
              <w:bottom w:val="single" w:sz="8" w:color="2C2C2C"/>
            </w:tcBorders>
            <w:gridSpan w:val="4"/>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3"/>
          </w:tcPr>
          <w:p>
            <w:pPr>
              <w:ind w:left="80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(1)</w:t>
            </w: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03/10/2008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7"/>
              <w:spacing w:after="0"/>
              <w:rPr>
                <w:sz w:val="20"/>
                <w:szCs w:val="20"/>
                <w:color w:val="auto"/>
              </w:rPr>
            </w:pPr>
            <w:r>
              <w:rPr>
                <w:rFonts w:ascii="Arial" w:cs="Arial" w:eastAsia="Arial" w:hAnsi="Arial"/>
                <w:sz w:val="13"/>
                <w:szCs w:val="13"/>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36,180</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right="3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0"/>
              </w:rPr>
              <w:t>107,144.134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r>
              <w:rPr>
                <w:rFonts w:ascii="Arial" w:cs="Arial" w:eastAsia="Arial" w:hAnsi="Arial"/>
                <w:sz w:val="22"/>
                <w:szCs w:val="22"/>
                <w:color w:val="008000"/>
                <w:vertAlign w:val="superscript"/>
              </w:rPr>
              <w:t>(2)</w:t>
            </w:r>
          </w:p>
        </w:tc>
        <w:tc>
          <w:tcPr>
            <w:tcW w:w="19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03/10/2008</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57"/>
              <w:spacing w:after="0"/>
              <w:rPr>
                <w:sz w:val="20"/>
                <w:szCs w:val="20"/>
                <w:color w:val="auto"/>
              </w:rPr>
            </w:pPr>
            <w:r>
              <w:rPr>
                <w:rFonts w:ascii="Arial" w:cs="Arial" w:eastAsia="Arial" w:hAnsi="Arial"/>
                <w:sz w:val="13"/>
                <w:szCs w:val="13"/>
                <w:color w:val="0000FF"/>
                <w:w w:val="74"/>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15,343</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19.39</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91,801.134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0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5,578.653</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00" w:type="dxa"/>
            <w:vAlign w:val="bottom"/>
            <w:gridSpan w:val="4"/>
            <w:vMerge w:val="continue"/>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gridSpan w:val="5"/>
          </w:tcPr>
          <w:p>
            <w:pPr>
              <w:spacing w:after="0"/>
              <w:rPr>
                <w:sz w:val="8"/>
                <w:szCs w:val="8"/>
                <w:color w:val="auto"/>
              </w:rPr>
            </w:pPr>
          </w:p>
        </w:tc>
        <w:tc>
          <w:tcPr>
            <w:tcW w:w="272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0"/>
          </w:tcPr>
          <w:p>
            <w:pPr>
              <w:jc w:val="center"/>
              <w:ind w:left="4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7"/>
              </w:rPr>
              <w:t>Expiration Date</w:t>
            </w:r>
          </w:p>
        </w:tc>
        <w:tc>
          <w:tcPr>
            <w:tcW w:w="7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3"/>
                <w:szCs w:val="13"/>
                <w:color w:val="0000FF"/>
              </w:rPr>
              <w:t>04/10/2007</w:t>
            </w:r>
            <w:r>
              <w:rPr>
                <w:rFonts w:ascii="Arial" w:cs="Arial" w:eastAsia="Arial" w:hAnsi="Arial"/>
                <w:sz w:val="22"/>
                <w:szCs w:val="22"/>
                <w:color w:val="008000"/>
                <w:vertAlign w:val="superscript"/>
              </w:rPr>
              <w:t>(4)</w:t>
            </w:r>
          </w:p>
        </w:tc>
        <w:tc>
          <w:tcPr>
            <w:tcW w:w="720" w:type="dxa"/>
            <w:vAlign w:val="bottom"/>
            <w:vMerge w:val="restart"/>
          </w:tcPr>
          <w:p>
            <w:pPr>
              <w:jc w:val="right"/>
              <w:ind w:right="274"/>
              <w:spacing w:after="0"/>
              <w:rPr>
                <w:sz w:val="20"/>
                <w:szCs w:val="20"/>
                <w:color w:val="auto"/>
              </w:rPr>
            </w:pPr>
            <w:r>
              <w:rPr>
                <w:rFonts w:ascii="Arial" w:cs="Arial" w:eastAsia="Arial" w:hAnsi="Arial"/>
                <w:sz w:val="11"/>
                <w:szCs w:val="11"/>
                <w:color w:val="008000"/>
              </w:rPr>
              <w:t>(4)</w:t>
            </w:r>
          </w:p>
        </w:tc>
        <w:tc>
          <w:tcPr>
            <w:tcW w:w="660" w:type="dxa"/>
            <w:vAlign w:val="bottom"/>
          </w:tcPr>
          <w:p>
            <w:pPr>
              <w:ind w:left="60"/>
              <w:spacing w:after="0"/>
              <w:rPr>
                <w:sz w:val="20"/>
                <w:szCs w:val="20"/>
                <w:color w:val="auto"/>
              </w:rPr>
            </w:pPr>
            <w:r>
              <w:rPr>
                <w:rFonts w:ascii="Arial" w:cs="Arial" w:eastAsia="Arial" w:hAnsi="Arial"/>
                <w:sz w:val="13"/>
                <w:szCs w:val="13"/>
                <w:color w:val="0000FF"/>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36,180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80" w:type="dxa"/>
            <w:vAlign w:val="bottom"/>
          </w:tcPr>
          <w:p>
            <w:pPr>
              <w:ind w:left="260"/>
              <w:spacing w:after="0" w:line="147" w:lineRule="exact"/>
              <w:rPr>
                <w:sz w:val="20"/>
                <w:szCs w:val="20"/>
                <w:color w:val="auto"/>
              </w:rPr>
            </w:pPr>
            <w:r>
              <w:rPr>
                <w:rFonts w:ascii="Arial" w:cs="Arial" w:eastAsia="Arial" w:hAnsi="Arial"/>
                <w:sz w:val="13"/>
                <w:szCs w:val="13"/>
                <w:color w:val="0000FF"/>
              </w:rPr>
              <w:t>03/10/2008</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40"/>
              <w:spacing w:after="0" w:line="147" w:lineRule="exact"/>
              <w:rPr>
                <w:sz w:val="20"/>
                <w:szCs w:val="20"/>
                <w:color w:val="auto"/>
              </w:rPr>
            </w:pPr>
            <w:r>
              <w:rPr>
                <w:rFonts w:ascii="Arial" w:cs="Arial" w:eastAsia="Arial" w:hAnsi="Arial"/>
                <w:sz w:val="13"/>
                <w:szCs w:val="13"/>
                <w:color w:val="0000FF"/>
              </w:rPr>
              <w:t>M</w:t>
            </w:r>
          </w:p>
        </w:tc>
        <w:tc>
          <w:tcPr>
            <w:tcW w:w="940" w:type="dxa"/>
            <w:vAlign w:val="bottom"/>
          </w:tcPr>
          <w:p>
            <w:pPr>
              <w:ind w:left="460"/>
              <w:spacing w:after="0" w:line="147" w:lineRule="exact"/>
              <w:rPr>
                <w:sz w:val="20"/>
                <w:szCs w:val="20"/>
                <w:color w:val="auto"/>
              </w:rPr>
            </w:pPr>
            <w:r>
              <w:rPr>
                <w:rFonts w:ascii="Arial" w:cs="Arial" w:eastAsia="Arial" w:hAnsi="Arial"/>
                <w:sz w:val="13"/>
                <w:szCs w:val="13"/>
                <w:color w:val="0000FF"/>
              </w:rPr>
              <w:t>36,180</w:t>
            </w:r>
          </w:p>
        </w:tc>
        <w:tc>
          <w:tcPr>
            <w:tcW w:w="90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ind w:left="20"/>
              <w:spacing w:after="0" w:line="147"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gridSpan w:val="2"/>
          </w:tcPr>
          <w:p>
            <w:pPr>
              <w:ind w:left="200"/>
              <w:spacing w:after="0" w:line="147" w:lineRule="exact"/>
              <w:rPr>
                <w:sz w:val="20"/>
                <w:szCs w:val="20"/>
                <w:color w:val="auto"/>
              </w:rPr>
            </w:pPr>
            <w:r>
              <w:rPr>
                <w:rFonts w:ascii="Arial" w:cs="Arial" w:eastAsia="Arial" w:hAnsi="Arial"/>
                <w:sz w:val="13"/>
                <w:szCs w:val="13"/>
                <w:color w:val="0000FF"/>
              </w:rPr>
              <w:t>168,840</w:t>
            </w: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acquired on the vesting of restricted stock units.</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withheld for payment of tax liability.</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contigent right to receive one share of Class A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in installments of 15%, 15%, 15%, 15% and 40% on the 13th-month, 2nd, 3rd, 4th and 5th anniversaries of the date of grant (March 10, 2006), respectively.</w:t>
      </w:r>
    </w:p>
    <w:p>
      <w:pPr>
        <w:sectPr>
          <w:pgSz w:w="11900" w:h="16838" w:orient="portrait"/>
          <w:cols w:equalWidth="0" w:num="1">
            <w:col w:w="11520"/>
          </w:cols>
          <w:pgMar w:left="240" w:top="225" w:right="139" w:bottom="1440" w:gutter="0" w:footer="0" w:header="0"/>
          <w:type w:val="continuous"/>
        </w:sectPr>
      </w:pP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9"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By: Arthur R. Block,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-635</wp:posOffset>
            </wp:positionV>
            <wp:extent cx="13836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17"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in-fact for Stephen B. Burke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-12700</wp:posOffset>
            </wp:positionV>
            <wp:extent cx="1251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52"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Arial" w:cs="Arial" w:eastAsia="Arial" w:hAnsi="Arial"/>
          <w:sz w:val="15"/>
          <w:szCs w:val="15"/>
          <w:color w:val="0000FF"/>
        </w:rPr>
        <w:t>03/11/2008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497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840" cy="8255"/>
                    </a:xfrm>
                    <a:prstGeom prst="rect">
                      <a:avLst/>
                    </a:prstGeom>
                    <a:noFill/>
                  </pic:spPr>
                </pic:pic>
              </a:graphicData>
            </a:graphic>
          </wp:anchor>
        </w:drawing>
      </w:r>
    </w:p>
    <w:p>
      <w:pPr>
        <w:spacing w:after="0" w:line="18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1" w:lineRule="exact"/>
        <w:rPr>
          <w:sz w:val="24"/>
          <w:szCs w:val="24"/>
          <w:color w:val="auto"/>
        </w:rPr>
      </w:pPr>
    </w:p>
    <w:p>
      <w:pPr>
        <w:sectPr>
          <w:pgSz w:w="11900" w:h="16838" w:orient="portrait"/>
          <w:cols w:equalWidth="0" w:num="2">
            <w:col w:w="9040" w:space="120"/>
            <w:col w:w="2360"/>
          </w:cols>
          <w:pgMar w:left="240" w:top="225" w:right="1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3340"/>
        <w:spacing w:after="0"/>
        <w:rPr>
          <w:sz w:val="20"/>
          <w:szCs w:val="20"/>
          <w:color w:val="auto"/>
        </w:rPr>
      </w:pPr>
      <w:r>
        <w:rPr>
          <w:rFonts w:ascii="Courier New" w:cs="Courier New" w:eastAsia="Courier New" w:hAnsi="Courier New"/>
          <w:sz w:val="17"/>
          <w:szCs w:val="17"/>
          <w:color w:val="auto"/>
        </w:rPr>
        <w:t>POWER OF ATTORNEY</w:t>
      </w:r>
    </w:p>
    <w:p>
      <w:pPr>
        <w:spacing w:after="0" w:line="208" w:lineRule="exact"/>
        <w:rPr>
          <w:sz w:val="20"/>
          <w:szCs w:val="20"/>
          <w:color w:val="auto"/>
        </w:rPr>
      </w:pPr>
    </w:p>
    <w:p>
      <w:pPr>
        <w:ind w:right="1879" w:firstLine="937"/>
        <w:spacing w:after="0" w:line="25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Arthur R. Block, David L. Cohen and Michael J. Angelakis, as the undersigned's true and lawful attorneys-in-fact to:</w:t>
      </w:r>
    </w:p>
    <w:p>
      <w:pPr>
        <w:spacing w:after="0" w:line="199" w:lineRule="exact"/>
        <w:rPr>
          <w:sz w:val="20"/>
          <w:szCs w:val="20"/>
          <w:color w:val="auto"/>
        </w:rPr>
      </w:pPr>
    </w:p>
    <w:p>
      <w:pPr>
        <w:ind w:right="1879" w:firstLine="944"/>
        <w:spacing w:after="0" w:line="250" w:lineRule="auto"/>
        <w:tabs>
          <w:tab w:leader="none" w:pos="135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pursuant to Section 16 of the Securities Exchange Act of 1934, as amended (the "Exchange Act"), and the rules thereunder of AT&amp;T Comcast Corporation (the "Company"), Forms 3, 4 and 5 in accordance with Section 16(a) of the Exchange Act;</w:t>
      </w:r>
    </w:p>
    <w:p>
      <w:pPr>
        <w:spacing w:after="0" w:line="198" w:lineRule="exact"/>
        <w:rPr>
          <w:rFonts w:ascii="Courier New" w:cs="Courier New" w:eastAsia="Courier New" w:hAnsi="Courier New"/>
          <w:sz w:val="17"/>
          <w:szCs w:val="17"/>
          <w:color w:val="auto"/>
        </w:rPr>
      </w:pPr>
    </w:p>
    <w:p>
      <w:pPr>
        <w:ind w:right="1879" w:firstLine="944"/>
        <w:spacing w:after="0" w:line="250" w:lineRule="auto"/>
        <w:tabs>
          <w:tab w:leader="none" w:pos="135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98" w:lineRule="exact"/>
        <w:rPr>
          <w:rFonts w:ascii="Courier New" w:cs="Courier New" w:eastAsia="Courier New" w:hAnsi="Courier New"/>
          <w:sz w:val="17"/>
          <w:szCs w:val="17"/>
          <w:color w:val="auto"/>
        </w:rPr>
      </w:pPr>
    </w:p>
    <w:p>
      <w:pPr>
        <w:ind w:right="1879" w:firstLine="944"/>
        <w:spacing w:after="0" w:line="250" w:lineRule="auto"/>
        <w:tabs>
          <w:tab w:leader="none" w:pos="135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398" w:lineRule="exact"/>
        <w:rPr>
          <w:sz w:val="20"/>
          <w:szCs w:val="20"/>
          <w:color w:val="auto"/>
        </w:rPr>
      </w:pPr>
    </w:p>
    <w:p>
      <w:pPr>
        <w:ind w:right="1879" w:firstLine="937"/>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0" w:lineRule="exact"/>
        <w:rPr>
          <w:sz w:val="20"/>
          <w:szCs w:val="20"/>
          <w:color w:val="auto"/>
        </w:rPr>
      </w:pPr>
    </w:p>
    <w:p>
      <w:pPr>
        <w:spacing w:after="0" w:line="206" w:lineRule="exact"/>
        <w:rPr>
          <w:sz w:val="20"/>
          <w:szCs w:val="20"/>
          <w:color w:val="auto"/>
        </w:rPr>
      </w:pPr>
    </w:p>
    <w:p>
      <w:pPr>
        <w:ind w:right="1979" w:firstLine="937"/>
        <w:spacing w:after="0" w:line="250"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9" w:lineRule="exact"/>
        <w:rPr>
          <w:sz w:val="20"/>
          <w:szCs w:val="20"/>
          <w:color w:val="auto"/>
        </w:rPr>
      </w:pPr>
    </w:p>
    <w:p>
      <w:pPr>
        <w:ind w:right="2099" w:firstLine="937"/>
        <w:spacing w:after="0" w:line="2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7th day of March, 2008.</w:t>
      </w:r>
    </w:p>
    <w:p>
      <w:pPr>
        <w:sectPr>
          <w:pgSz w:w="11900" w:h="16838" w:orient="portrait"/>
          <w:cols w:equalWidth="0" w:num="1">
            <w:col w:w="10219"/>
          </w:cols>
          <w:pgMar w:left="240" w:top="542" w:right="1440" w:bottom="1440" w:gutter="0" w:footer="0" w:header="0"/>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7"/>
          <w:szCs w:val="17"/>
          <w:color w:val="auto"/>
        </w:rPr>
        <w:t>/s/ Stephen B. Burke</w:t>
      </w:r>
    </w:p>
    <w:p>
      <w:pPr>
        <w:spacing w:after="0" w:line="8"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7"/>
          <w:szCs w:val="17"/>
          <w:color w:val="auto"/>
        </w:rPr>
        <w:t>--------------------</w:t>
      </w:r>
    </w:p>
    <w:p>
      <w:pPr>
        <w:spacing w:after="0" w:line="8" w:lineRule="exact"/>
        <w:rPr>
          <w:sz w:val="20"/>
          <w:szCs w:val="20"/>
          <w:color w:val="auto"/>
        </w:rPr>
      </w:pPr>
    </w:p>
    <w:p>
      <w:pPr>
        <w:jc w:val="right"/>
        <w:ind w:right="6259"/>
        <w:spacing w:after="0"/>
        <w:rPr>
          <w:sz w:val="20"/>
          <w:szCs w:val="20"/>
          <w:color w:val="auto"/>
        </w:rPr>
      </w:pPr>
      <w:r>
        <w:rPr>
          <w:rFonts w:ascii="Courier New" w:cs="Courier New" w:eastAsia="Courier New" w:hAnsi="Courier New"/>
          <w:sz w:val="17"/>
          <w:szCs w:val="17"/>
          <w:color w:val="auto"/>
        </w:rPr>
        <w:t>Stephen B. Burke</w:t>
      </w:r>
    </w:p>
    <w:sectPr>
      <w:pgSz w:w="11900" w:h="16838" w:orient="portrait"/>
      <w:cols w:equalWidth="0" w:num="2">
        <w:col w:w="1160" w:space="720"/>
        <w:col w:w="8339"/>
      </w:cols>
      <w:pgMar w:left="240" w:top="5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03694"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2019-12-18T10:03:50Z</dcterms:created>
  <dcterms:modified xsi:type="dcterms:W3CDTF">2019-12-18T10:03:50Z</dcterms:modified>
</cp:coreProperties>
</file>