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333-212719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February 1, 2018</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3.550% NOTES DUE 2028</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$1,200,000,000 3.900% NOTES DUE 2038</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4.000% NOTES DUE 2048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3.550% Notes due 2028</w:t>
      </w:r>
    </w:p>
    <w:p>
      <w:pPr>
        <w:spacing w:after="0" w:line="154"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ind w:left="4000"/>
        <w:spacing w:after="0"/>
        <w:rPr>
          <w:sz w:val="20"/>
          <w:szCs w:val="20"/>
          <w:color w:val="auto"/>
        </w:rPr>
      </w:pPr>
      <w:r>
        <w:rPr>
          <w:rFonts w:ascii="Arial" w:cs="Arial" w:eastAsia="Arial" w:hAnsi="Arial"/>
          <w:sz w:val="16"/>
          <w:szCs w:val="16"/>
          <w:color w:val="auto"/>
        </w:rPr>
        <w:t>3.900% Notes due 2038</w:t>
      </w:r>
    </w:p>
    <w:p>
      <w:pPr>
        <w:spacing w:after="0" w:line="154"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4.000% Notes due 2048</w:t>
      </w:r>
    </w:p>
    <w:p>
      <w:pPr>
        <w:sectPr>
          <w:pgSz w:w="11900" w:h="16838" w:orient="portrait"/>
          <w:cols w:equalWidth="0" w:num="1">
            <w:col w:w="11420"/>
          </w:cols>
          <w:pgMar w:left="240" w:top="229" w:right="239" w:bottom="1440" w:gutter="0" w:footer="0" w:header="0"/>
          <w:type w:val="continuous"/>
        </w:sectPr>
      </w:pP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The Company intends to use the net proceeds from the offering, after deducting underwriters’ discount</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and expenses, together with the net proceeds from the concurrent offering described below, for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working capital and general corporate purposes, which may include the repayment of a portion of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Company’s upcoming debt maturities, including the 5.875% notes due February 15, 2018</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($900 million principal amount outstanding as of the date hereof) and the 5.700% notes due May 15,</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2018 ($1 billion principal amount outstanding as of the date hereof), and repayment of a portion of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Company’s outstanding commercial paper. As of January 30, 2018, the Company’s commercial paper</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had a weighted average annual interest rate of approximately 1.726% and a weighted average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remaining maturity of approximately 5 days.</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Indenture dated as of September 18, 2013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amended by the First Supplemental Indenture dated as of November 17, 2015 by and among the Company, the guarantors named therein and the Trustee.</w:t>
      </w:r>
    </w:p>
    <w:p>
      <w:pPr>
        <w:sectPr>
          <w:pgSz w:w="11900" w:h="16838" w:orient="portrait"/>
          <w:cols w:equalWidth="0" w:num="2">
            <w:col w:w="3280" w:space="720"/>
            <w:col w:w="7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-346075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320"/>
          </w:cols>
          <w:pgMar w:left="240" w:top="486" w:right="3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Expected Ratings: </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Moody’s: A3; S&amp;P: A-; Fitch: A-</w:t>
      </w:r>
    </w:p>
    <w:p>
      <w:pPr>
        <w:spacing w:after="0" w:line="200" w:lineRule="exact"/>
        <w:rPr>
          <w:sz w:val="20"/>
          <w:szCs w:val="20"/>
          <w:color w:val="auto"/>
        </w:rPr>
      </w:pPr>
    </w:p>
    <w:p>
      <w:pPr>
        <w:sectPr>
          <w:pgSz w:w="11900" w:h="16838" w:orient="portrait"/>
          <w:cols w:equalWidth="0" w:num="2">
            <w:col w:w="3280" w:space="720"/>
            <w:col w:w="7320"/>
          </w:cols>
          <w:pgMar w:left="240" w:top="486"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SMBC Nikko Securities America, Inc.</w:t>
      </w:r>
    </w:p>
    <w:p>
      <w:pPr>
        <w:spacing w:after="0" w:line="200" w:lineRule="exact"/>
        <w:rPr>
          <w:sz w:val="20"/>
          <w:szCs w:val="20"/>
          <w:color w:val="auto"/>
        </w:rPr>
      </w:pPr>
    </w:p>
    <w:p>
      <w:pPr>
        <w:sectPr>
          <w:pgSz w:w="11900" w:h="16838" w:orient="portrait"/>
          <w:cols w:equalWidth="0" w:num="2">
            <w:col w:w="3280" w:space="720"/>
            <w:col w:w="7320"/>
          </w:cols>
          <w:pgMar w:left="240" w:top="486"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BNY Mellon Capital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200" w:lineRule="exact"/>
        <w:rPr>
          <w:sz w:val="20"/>
          <w:szCs w:val="20"/>
          <w:color w:val="auto"/>
        </w:rPr>
      </w:pPr>
    </w:p>
    <w:p>
      <w:pPr>
        <w:sectPr>
          <w:pgSz w:w="11900" w:h="16838" w:orient="portrait"/>
          <w:cols w:equalWidth="0" w:num="2">
            <w:col w:w="3280" w:space="720"/>
            <w:col w:w="7320"/>
          </w:cols>
          <w:pgMar w:left="240" w:top="48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Academy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Siebert Cisneros Shank &amp; Co.,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Williams Capital Group, L.P.</w:t>
      </w:r>
    </w:p>
    <w:p>
      <w:pPr>
        <w:spacing w:after="0" w:line="200" w:lineRule="exact"/>
        <w:rPr>
          <w:sz w:val="20"/>
          <w:szCs w:val="20"/>
          <w:color w:val="auto"/>
        </w:rPr>
      </w:pPr>
    </w:p>
    <w:p>
      <w:pPr>
        <w:sectPr>
          <w:pgSz w:w="11900" w:h="16838" w:orient="portrait"/>
          <w:cols w:equalWidth="0" w:num="2">
            <w:col w:w="3280" w:space="720"/>
            <w:col w:w="7320"/>
          </w:cols>
          <w:pgMar w:left="240" w:top="48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 2018</w:t>
      </w:r>
    </w:p>
    <w:p>
      <w:pPr>
        <w:spacing w:after="0" w:line="200" w:lineRule="exact"/>
        <w:rPr>
          <w:sz w:val="20"/>
          <w:szCs w:val="20"/>
          <w:color w:val="auto"/>
        </w:rPr>
      </w:pPr>
    </w:p>
    <w:p>
      <w:pPr>
        <w:sectPr>
          <w:pgSz w:w="11900" w:h="16838" w:orient="portrait"/>
          <w:cols w:equalWidth="0" w:num="2">
            <w:col w:w="3280" w:space="720"/>
            <w:col w:w="7320"/>
          </w:cols>
          <w:pgMar w:left="240" w:top="486"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February 8, 2018 (T+5)</w:t>
      </w:r>
    </w:p>
    <w:p>
      <w:pPr>
        <w:spacing w:after="0" w:line="200" w:lineRule="exact"/>
        <w:rPr>
          <w:sz w:val="20"/>
          <w:szCs w:val="20"/>
          <w:color w:val="auto"/>
        </w:rPr>
      </w:pPr>
    </w:p>
    <w:p>
      <w:pPr>
        <w:sectPr>
          <w:pgSz w:w="11900" w:h="16838" w:orient="portrait"/>
          <w:cols w:equalWidth="0" w:num="2">
            <w:col w:w="3280" w:space="720"/>
            <w:col w:w="7320"/>
          </w:cols>
          <w:pgMar w:left="240" w:top="486"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Concurrent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conducting a concurrent offering (the “</w:t>
      </w:r>
      <w:r>
        <w:rPr>
          <w:rFonts w:ascii="Arial" w:cs="Arial" w:eastAsia="Arial" w:hAnsi="Arial"/>
          <w:sz w:val="18"/>
          <w:szCs w:val="18"/>
          <w:b w:val="1"/>
          <w:bCs w:val="1"/>
          <w:color w:val="auto"/>
        </w:rPr>
        <w:t>concurrent offering</w:t>
      </w:r>
      <w:r>
        <w:rPr>
          <w:rFonts w:ascii="Arial" w:cs="Arial" w:eastAsia="Arial" w:hAnsi="Arial"/>
          <w:sz w:val="18"/>
          <w:szCs w:val="18"/>
          <w:color w:val="auto"/>
        </w:rPr>
        <w:t>”) pursuant to a separate prospectus supplement of $800,000,000 aggregate principal amount of notes (the “</w:t>
      </w:r>
      <w:r>
        <w:rPr>
          <w:rFonts w:ascii="Arial" w:cs="Arial" w:eastAsia="Arial" w:hAnsi="Arial"/>
          <w:sz w:val="18"/>
          <w:szCs w:val="18"/>
          <w:b w:val="1"/>
          <w:bCs w:val="1"/>
          <w:color w:val="auto"/>
        </w:rPr>
        <w:t>concurrent</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notes</w:t>
      </w:r>
      <w:r>
        <w:rPr>
          <w:rFonts w:ascii="Arial" w:cs="Arial" w:eastAsia="Arial" w:hAnsi="Arial"/>
          <w:sz w:val="18"/>
          <w:szCs w:val="18"/>
          <w:color w:val="auto"/>
        </w:rPr>
        <w:t>”). The concurrent offering notes are being listed on the Taipei Exchange and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solely to investors in Taiwan. The concurrent offering notes will be unsecured and will rank equally with all of our and our guarantors’ unsecured and unsubordinated indebtedness. The concurrent offering notes will be fully and unconditionally guaranteed by the guarantors of the notes offered hereby. The offer and sale of the notes offered hereby is not conditioned on the concurrent offering, and the concurrent offering is not conditioned on the offer and sale of the notes offered hereby.</w:t>
      </w:r>
    </w:p>
    <w:p>
      <w:pPr>
        <w:spacing w:after="0" w:line="166" w:lineRule="exact"/>
        <w:rPr>
          <w:sz w:val="20"/>
          <w:szCs w:val="20"/>
          <w:color w:val="auto"/>
        </w:rPr>
      </w:pPr>
    </w:p>
    <w:p>
      <w:pPr>
        <w:sectPr>
          <w:pgSz w:w="11900" w:h="16838" w:orient="portrait"/>
          <w:cols w:equalWidth="0" w:num="2">
            <w:col w:w="3280" w:space="720"/>
            <w:col w:w="7320"/>
          </w:cols>
          <w:pgMar w:left="240" w:top="486" w:right="339" w:bottom="1440" w:gutter="0" w:footer="0" w:header="0"/>
          <w:type w:val="continuous"/>
        </w:sect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1320"/>
          </w:cols>
          <w:pgMar w:left="240" w:top="486"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3.550% Notes Due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-421640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May 1, 2028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3.550% per annum, accruing from February 8, 2018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1 and November 1, commencing May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2.250% due November 15,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95-12+ / 2.792%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3.592%</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3.550% Notes due 2028 are redeemable at the option of the Company at any time, in whole or in part, at the “</w:t>
      </w:r>
      <w:r>
        <w:rPr>
          <w:rFonts w:ascii="Arial" w:cs="Arial" w:eastAsia="Arial" w:hAnsi="Arial"/>
          <w:sz w:val="17"/>
          <w:szCs w:val="17"/>
          <w:b w:val="1"/>
          <w:bCs w:val="1"/>
          <w:color w:val="auto"/>
        </w:rPr>
        <w:t>Redemption Price</w:t>
      </w:r>
      <w:r>
        <w:rPr>
          <w:rFonts w:ascii="Arial" w:cs="Arial" w:eastAsia="Arial" w:hAnsi="Arial"/>
          <w:sz w:val="17"/>
          <w:szCs w:val="17"/>
          <w:color w:val="auto"/>
        </w:rPr>
        <w:t>.” Prior to February 1, 2028 (three months prior to the maturity of the 3.550% Notes due 2028) (the “</w:t>
      </w:r>
      <w:r>
        <w:rPr>
          <w:rFonts w:ascii="Arial" w:cs="Arial" w:eastAsia="Arial" w:hAnsi="Arial"/>
          <w:sz w:val="17"/>
          <w:szCs w:val="17"/>
          <w:b w:val="1"/>
          <w:bCs w:val="1"/>
          <w:color w:val="auto"/>
        </w:rPr>
        <w:t>Par Call Date</w:t>
      </w:r>
      <w:r>
        <w:rPr>
          <w:rFonts w:ascii="Arial" w:cs="Arial" w:eastAsia="Arial" w:hAnsi="Arial"/>
          <w:sz w:val="17"/>
          <w:szCs w:val="17"/>
          <w:color w:val="auto"/>
        </w:rPr>
        <w:t>”),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15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 unlimited amount of additional 3.550% Notes due 2028 may be issued. The 3.550% Notes due 2028 and any additional 3.550% Notes due 2028 that may be issued may be treated as a single series for all purposes under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20030N CH2/US20030NCH26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99.647% plus accrued interest, if any, from February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99.247% per $1,000 principal amount of 3.550% Notes due 2028; $992,470,000 total</w:t>
      </w:r>
    </w:p>
    <w:p>
      <w:pPr>
        <w:sectPr>
          <w:pgSz w:w="11900" w:h="16838" w:orient="portrait"/>
          <w:cols w:equalWidth="0" w:num="2">
            <w:col w:w="3340" w:space="660"/>
            <w:col w:w="7400"/>
          </w:cols>
          <w:pgMar w:left="240" w:top="27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3.900% Notes Due 2038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$1,200,000,000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-421640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March 1, 2038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3.900% per annum, accruing from February 8, 2018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2.750% due August 15, 2047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94-15 / 3.035%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3.935%</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3.900% Notes due 2038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Prior to September 1, 2037 (six months prior to the maturity of the</w:t>
      </w:r>
    </w:p>
    <w:p>
      <w:pPr>
        <w:spacing w:after="0" w:line="252" w:lineRule="auto"/>
        <w:rPr>
          <w:sz w:val="20"/>
          <w:szCs w:val="20"/>
          <w:color w:val="auto"/>
        </w:rPr>
      </w:pPr>
      <w:r>
        <w:rPr>
          <w:rFonts w:ascii="Arial" w:cs="Arial" w:eastAsia="Arial" w:hAnsi="Arial"/>
          <w:sz w:val="18"/>
          <w:szCs w:val="18"/>
          <w:color w:val="auto"/>
        </w:rPr>
        <w:t>3.900% Notes due 2038) (the “</w:t>
      </w:r>
      <w:r>
        <w:rPr>
          <w:rFonts w:ascii="Arial" w:cs="Arial" w:eastAsia="Arial" w:hAnsi="Arial"/>
          <w:sz w:val="18"/>
          <w:szCs w:val="18"/>
          <w:b w:val="1"/>
          <w:bCs w:val="1"/>
          <w:color w:val="auto"/>
        </w:rPr>
        <w:t>Par Call Date</w:t>
      </w:r>
      <w:r>
        <w:rPr>
          <w:rFonts w:ascii="Arial" w:cs="Arial" w:eastAsia="Arial" w:hAnsi="Arial"/>
          <w:sz w:val="18"/>
          <w:szCs w:val="18"/>
          <w:color w:val="auto"/>
        </w:rPr>
        <w:t>”),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15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 unlimited amount of additional 3.900% Notes due 2038 may be issued. The 3.900% Notes due 2038 and any additional 3.900% Notes due 2038 that may be issued may be treated as a single series for all purposes under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20030N CJ8/US20030NCJ81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99.515% plus accrued interest, if any, from February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0.600%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98.915% per $1,000 principal amount of 3.900% Notes due 2038; $1,186,980,000 total</w:t>
      </w:r>
    </w:p>
    <w:p>
      <w:pPr>
        <w:sectPr>
          <w:pgSz w:w="11900" w:h="16838" w:orient="portrait"/>
          <w:cols w:equalWidth="0" w:num="2">
            <w:col w:w="3340" w:space="660"/>
            <w:col w:w="7400"/>
          </w:cols>
          <w:pgMar w:left="240" w:top="27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4.000% Notes Due 2048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-430530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March 1, 2048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4.000% per annum, accruing from February 8, 2018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2.750% due August 15, 2047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94–15 / 3.035%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+107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4.105%</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4.000% Notes due 2048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Prior to September 1, 2047 (six months prior to the maturity of the</w:t>
      </w:r>
    </w:p>
    <w:p>
      <w:pPr>
        <w:spacing w:after="0" w:line="252" w:lineRule="auto"/>
        <w:rPr>
          <w:sz w:val="20"/>
          <w:szCs w:val="20"/>
          <w:color w:val="auto"/>
        </w:rPr>
      </w:pPr>
      <w:r>
        <w:rPr>
          <w:rFonts w:ascii="Arial" w:cs="Arial" w:eastAsia="Arial" w:hAnsi="Arial"/>
          <w:sz w:val="18"/>
          <w:szCs w:val="18"/>
          <w:color w:val="auto"/>
        </w:rPr>
        <w:t>4.000% Notes due 2048) (the “</w:t>
      </w:r>
      <w:r>
        <w:rPr>
          <w:rFonts w:ascii="Arial" w:cs="Arial" w:eastAsia="Arial" w:hAnsi="Arial"/>
          <w:sz w:val="18"/>
          <w:szCs w:val="18"/>
          <w:b w:val="1"/>
          <w:bCs w:val="1"/>
          <w:color w:val="auto"/>
        </w:rPr>
        <w:t>Par Call Date</w:t>
      </w:r>
      <w:r>
        <w:rPr>
          <w:rFonts w:ascii="Arial" w:cs="Arial" w:eastAsia="Arial" w:hAnsi="Arial"/>
          <w:sz w:val="18"/>
          <w:szCs w:val="18"/>
          <w:color w:val="auto"/>
        </w:rPr>
        <w:t>”),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20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 unlimited amount of additional 4.000% Notes due 2048 may be issued. The 4.000% Notes due 2048 and any additional 4.000% Notes due 2048 that may be issued may be treated as a single series for all purposes under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20030N CK5/US20030NCK54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98.193% plus accrued interest, if any, from February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0.750%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97.443% per $1,000 principal amount of 4.000% Notes due 2048; $974,430,000 total</w:t>
      </w:r>
    </w:p>
    <w:p>
      <w:pPr>
        <w:sectPr>
          <w:pgSz w:w="11900" w:h="16838" w:orient="portrait"/>
          <w:cols w:equalWidth="0" w:num="2">
            <w:col w:w="3340" w:space="660"/>
            <w:col w:w="7400"/>
          </w:cols>
          <w:pgMar w:left="240" w:top="270" w:right="259" w:bottom="1440" w:gutter="0" w:footer="0" w:header="0"/>
        </w:sectPr>
      </w:pPr>
    </w:p>
    <w:bookmarkStart w:id="5" w:name="page6"/>
    <w:bookmarkEnd w:id="5"/>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February 8, 2018,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5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Barclays Capital Inc. at (888)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603-5847, TD Securities at (855) 495-9846 or Wells Fargo Securities at (800) 645-3751.</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2019-12-06T20:10:01Z</dcterms:created>
  <dcterms:modified xsi:type="dcterms:W3CDTF">2019-12-06T20:10:01Z</dcterms:modified>
</cp:coreProperties>
</file>