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(Amendment No. ___)*</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HARMONIC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 par value $0.001</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413160102</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26, 2016</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80" w:hanging="324"/>
        <w:spacing w:after="0"/>
        <w:tabs>
          <w:tab w:leader="none" w:pos="98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376" w:lineRule="exact"/>
        <w:rPr>
          <w:rFonts w:ascii="MS PGothic" w:cs="MS PGothic" w:eastAsia="MS PGothic" w:hAnsi="MS PGothic"/>
          <w:sz w:val="18"/>
          <w:szCs w:val="18"/>
          <w:color w:val="auto"/>
        </w:rPr>
      </w:pPr>
    </w:p>
    <w:p>
      <w:pPr>
        <w:ind w:firstLine="324"/>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0"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60" w:firstLine="324"/>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67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413160102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4733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73392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top w:val="single" w:sz="8" w:color="auto"/>
              <w:right w:val="single" w:sz="8" w:color="auto"/>
            </w:tcBorders>
          </w:tcPr>
          <w:p>
            <w:pPr>
              <w:spacing w:after="0"/>
              <w:rPr>
                <w:sz w:val="21"/>
                <w:szCs w:val="21"/>
                <w:color w:val="auto"/>
              </w:rPr>
            </w:pPr>
          </w:p>
        </w:tc>
        <w:tc>
          <w:tcPr>
            <w:tcW w:w="430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35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Comcast Corporation</w:t>
            </w:r>
          </w:p>
        </w:tc>
        <w:tc>
          <w:tcPr>
            <w:tcW w:w="2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880" w:type="dxa"/>
            <w:vAlign w:val="bottom"/>
            <w:tcBorders>
              <w:bottom w:val="single" w:sz="8" w:color="auto"/>
            </w:tcBorders>
            <w:gridSpan w:val="2"/>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2.</w:t>
            </w:r>
          </w:p>
        </w:tc>
        <w:tc>
          <w:tcPr>
            <w:tcW w:w="220" w:type="dxa"/>
            <w:vAlign w:val="bottom"/>
            <w:tcBorders>
              <w:right w:val="single" w:sz="8" w:color="auto"/>
            </w:tcBorders>
          </w:tcPr>
          <w:p>
            <w:pPr>
              <w:spacing w:after="0"/>
              <w:rPr>
                <w:sz w:val="14"/>
                <w:szCs w:val="14"/>
                <w:color w:val="auto"/>
              </w:rPr>
            </w:pPr>
          </w:p>
        </w:tc>
        <w:tc>
          <w:tcPr>
            <w:tcW w:w="7820" w:type="dxa"/>
            <w:vAlign w:val="bottom"/>
            <w:gridSpan w:val="5"/>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Pr>
          <w:p>
            <w:pPr>
              <w:ind w:left="1760"/>
              <w:spacing w:after="0" w:line="163" w:lineRule="exact"/>
              <w:rPr>
                <w:sz w:val="20"/>
                <w:szCs w:val="20"/>
                <w:color w:val="auto"/>
              </w:rPr>
            </w:pPr>
            <w:r>
              <w:rPr>
                <w:rFonts w:ascii="Arial" w:cs="Arial" w:eastAsia="Arial" w:hAnsi="Arial"/>
                <w:sz w:val="18"/>
                <w:szCs w:val="18"/>
                <w:color w:val="auto"/>
              </w:rPr>
              <w:t>(a)</w:t>
            </w:r>
          </w:p>
        </w:tc>
        <w:tc>
          <w:tcPr>
            <w:tcW w:w="1000" w:type="dxa"/>
            <w:vAlign w:val="bottom"/>
            <w:tcBorders>
              <w:right w:val="single" w:sz="8" w:color="auto"/>
            </w:tcBorders>
          </w:tcPr>
          <w:p>
            <w:pPr>
              <w:ind w:left="80"/>
              <w:spacing w:after="0" w:line="162"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20" w:type="dxa"/>
            <w:vAlign w:val="bottom"/>
          </w:tcPr>
          <w:p>
            <w:pPr>
              <w:ind w:left="1760"/>
              <w:spacing w:after="0"/>
              <w:rPr>
                <w:sz w:val="20"/>
                <w:szCs w:val="20"/>
                <w:color w:val="auto"/>
              </w:rPr>
            </w:pPr>
            <w:r>
              <w:rPr>
                <w:rFonts w:ascii="Arial" w:cs="Arial" w:eastAsia="Arial" w:hAnsi="Arial"/>
                <w:sz w:val="18"/>
                <w:szCs w:val="18"/>
                <w:color w:val="auto"/>
              </w:rPr>
              <w:t>(b)</w:t>
            </w:r>
          </w:p>
        </w:tc>
        <w:tc>
          <w:tcPr>
            <w:tcW w:w="10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Borders>
              <w:right w:val="single" w:sz="8" w:color="auto"/>
            </w:tcBorders>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w w:val="96"/>
              </w:rPr>
              <w:t>SEC USE ONLY</w:t>
            </w:r>
          </w:p>
        </w:tc>
        <w:tc>
          <w:tcPr>
            <w:tcW w:w="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right w:val="single" w:sz="8" w:color="auto"/>
            </w:tcBorders>
          </w:tcPr>
          <w:p>
            <w:pPr>
              <w:spacing w:after="0"/>
              <w:rPr>
                <w:sz w:val="19"/>
                <w:szCs w:val="19"/>
                <w:color w:val="auto"/>
              </w:rPr>
            </w:pPr>
          </w:p>
        </w:tc>
        <w:tc>
          <w:tcPr>
            <w:tcW w:w="43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3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Pennsylvania</w:t>
            </w:r>
          </w:p>
        </w:tc>
        <w:tc>
          <w:tcPr>
            <w:tcW w:w="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spacing w:after="0"/>
              <w:rPr>
                <w:sz w:val="24"/>
                <w:szCs w:val="24"/>
                <w:color w:val="auto"/>
              </w:rPr>
            </w:pPr>
          </w:p>
        </w:tc>
        <w:tc>
          <w:tcPr>
            <w:tcW w:w="5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5880" w:type="dxa"/>
            <w:vAlign w:val="bottom"/>
            <w:gridSpan w:val="2"/>
          </w:tcPr>
          <w:p>
            <w:pPr>
              <w:ind w:left="60"/>
              <w:spacing w:after="0"/>
              <w:rPr>
                <w:sz w:val="20"/>
                <w:szCs w:val="20"/>
                <w:color w:val="auto"/>
              </w:rPr>
            </w:pPr>
            <w:r>
              <w:rPr>
                <w:rFonts w:ascii="Arial" w:cs="Arial" w:eastAsia="Arial" w:hAnsi="Arial"/>
                <w:sz w:val="18"/>
                <w:szCs w:val="18"/>
                <w:color w:val="auto"/>
              </w:rPr>
              <w:t>SOLE VOTING POWER  5,471,315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w:t>
            </w:r>
          </w:p>
        </w:tc>
        <w:tc>
          <w:tcPr>
            <w:tcW w:w="2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40" w:type="dxa"/>
            <w:vAlign w:val="bottom"/>
            <w:tcBorders>
              <w:right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1360" w:type="dxa"/>
            <w:vAlign w:val="bottom"/>
            <w:tcBorders>
              <w:right w:val="single" w:sz="8" w:color="auto"/>
            </w:tcBorders>
            <w:gridSpan w:val="2"/>
          </w:tcPr>
          <w:p>
            <w:pPr>
              <w:jc w:val="center"/>
              <w:ind w:right="290"/>
              <w:spacing w:after="0" w:line="195" w:lineRule="exact"/>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6"/>
                <w:szCs w:val="16"/>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23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520" w:type="dxa"/>
            <w:vAlign w:val="bottom"/>
            <w:vMerge w:val="restart"/>
          </w:tcPr>
          <w:p>
            <w:pPr>
              <w:jc w:val="right"/>
              <w:ind w:right="3330"/>
              <w:spacing w:after="0"/>
              <w:rPr>
                <w:sz w:val="20"/>
                <w:szCs w:val="20"/>
                <w:color w:val="auto"/>
              </w:rPr>
            </w:pPr>
            <w:r>
              <w:rPr>
                <w:rFonts w:ascii="Arial" w:cs="Arial" w:eastAsia="Arial" w:hAnsi="Arial"/>
                <w:sz w:val="18"/>
                <w:szCs w:val="18"/>
                <w:color w:val="auto"/>
                <w:w w:val="79"/>
              </w:rPr>
              <w:t>0</w:t>
            </w:r>
          </w:p>
        </w:tc>
        <w:tc>
          <w:tcPr>
            <w:tcW w:w="2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236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right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40" w:type="dxa"/>
            <w:vAlign w:val="bottom"/>
            <w:tcBorders>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240" w:type="dxa"/>
            <w:vAlign w:val="bottom"/>
          </w:tcPr>
          <w:p>
            <w:pPr>
              <w:spacing w:after="0"/>
              <w:rPr>
                <w:sz w:val="15"/>
                <w:szCs w:val="15"/>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7.</w:t>
            </w:r>
          </w:p>
        </w:tc>
        <w:tc>
          <w:tcPr>
            <w:tcW w:w="2360" w:type="dxa"/>
            <w:vAlign w:val="bottom"/>
            <w:vMerge w:val="restart"/>
          </w:tcPr>
          <w:p>
            <w:pPr>
              <w:ind w:left="60"/>
              <w:spacing w:after="0"/>
              <w:rPr>
                <w:sz w:val="20"/>
                <w:szCs w:val="20"/>
                <w:color w:val="auto"/>
              </w:rPr>
            </w:pPr>
            <w:r>
              <w:rPr>
                <w:rFonts w:ascii="Arial" w:cs="Arial" w:eastAsia="Arial" w:hAnsi="Arial"/>
                <w:sz w:val="18"/>
                <w:szCs w:val="18"/>
                <w:color w:val="auto"/>
                <w:w w:val="95"/>
              </w:rPr>
              <w:t>SOLE DISPOSITIVE POWER</w:t>
            </w:r>
          </w:p>
        </w:tc>
        <w:tc>
          <w:tcPr>
            <w:tcW w:w="3520" w:type="dxa"/>
            <w:vAlign w:val="bottom"/>
            <w:vMerge w:val="restart"/>
          </w:tcPr>
          <w:p>
            <w:pPr>
              <w:jc w:val="right"/>
              <w:ind w:right="1650"/>
              <w:spacing w:after="0"/>
              <w:rPr>
                <w:sz w:val="20"/>
                <w:szCs w:val="20"/>
                <w:color w:val="auto"/>
              </w:rPr>
            </w:pPr>
            <w:r>
              <w:rPr>
                <w:rFonts w:ascii="Arial" w:cs="Arial" w:eastAsia="Arial" w:hAnsi="Arial"/>
                <w:sz w:val="18"/>
                <w:szCs w:val="18"/>
                <w:color w:val="auto"/>
                <w:w w:val="97"/>
              </w:rPr>
              <w:t>5,471,315 (</w:t>
            </w:r>
            <w:r>
              <w:rPr>
                <w:rFonts w:ascii="Arial" w:cs="Arial" w:eastAsia="Arial" w:hAnsi="Arial"/>
                <w:sz w:val="18"/>
                <w:szCs w:val="18"/>
                <w:i w:val="1"/>
                <w:iCs w:val="1"/>
                <w:color w:val="auto"/>
                <w:w w:val="97"/>
              </w:rPr>
              <w:t>see</w:t>
            </w:r>
            <w:r>
              <w:rPr>
                <w:rFonts w:ascii="Arial" w:cs="Arial" w:eastAsia="Arial" w:hAnsi="Arial"/>
                <w:sz w:val="18"/>
                <w:szCs w:val="18"/>
                <w:color w:val="auto"/>
                <w:w w:val="97"/>
              </w:rPr>
              <w:t xml:space="preserve"> Item 4)</w:t>
            </w:r>
          </w:p>
        </w:tc>
        <w:tc>
          <w:tcPr>
            <w:tcW w:w="2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1360" w:type="dxa"/>
            <w:vAlign w:val="bottom"/>
            <w:tcBorders>
              <w:right w:val="single" w:sz="8" w:color="auto"/>
            </w:tcBorders>
            <w:gridSpan w:val="2"/>
            <w:vMerge w:val="restart"/>
          </w:tcPr>
          <w:p>
            <w:pPr>
              <w:jc w:val="center"/>
              <w:ind w:right="27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3520" w:type="dxa"/>
            <w:vAlign w:val="bottom"/>
            <w:vMerge w:val="continue"/>
          </w:tcPr>
          <w:p>
            <w:pPr>
              <w:spacing w:after="0"/>
              <w:rPr>
                <w:sz w:val="11"/>
                <w:szCs w:val="11"/>
                <w:color w:val="auto"/>
              </w:rPr>
            </w:pPr>
          </w:p>
        </w:tc>
        <w:tc>
          <w:tcPr>
            <w:tcW w:w="2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80" w:type="dxa"/>
            <w:vAlign w:val="bottom"/>
          </w:tcPr>
          <w:p>
            <w:pPr>
              <w:spacing w:after="0"/>
              <w:rPr>
                <w:sz w:val="6"/>
                <w:szCs w:val="6"/>
                <w:color w:val="auto"/>
              </w:rPr>
            </w:pPr>
          </w:p>
        </w:tc>
        <w:tc>
          <w:tcPr>
            <w:tcW w:w="136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2360" w:type="dxa"/>
            <w:vAlign w:val="bottom"/>
          </w:tcPr>
          <w:p>
            <w:pPr>
              <w:spacing w:after="0"/>
              <w:rPr>
                <w:sz w:val="6"/>
                <w:szCs w:val="6"/>
                <w:color w:val="auto"/>
              </w:rPr>
            </w:pPr>
          </w:p>
        </w:tc>
        <w:tc>
          <w:tcPr>
            <w:tcW w:w="35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7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40" w:type="dxa"/>
            <w:vAlign w:val="bottom"/>
            <w:tcBorders>
              <w:right w:val="single" w:sz="8" w:color="auto"/>
            </w:tcBorders>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58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0</w:t>
            </w:r>
          </w:p>
        </w:tc>
        <w:tc>
          <w:tcPr>
            <w:tcW w:w="2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5880" w:type="dxa"/>
            <w:vAlign w:val="bottom"/>
            <w:gridSpan w:val="2"/>
            <w:vMerge w:val="continue"/>
          </w:tcPr>
          <w:p>
            <w:pPr>
              <w:spacing w:after="0"/>
              <w:rPr>
                <w:sz w:val="11"/>
                <w:szCs w:val="11"/>
                <w:color w:val="auto"/>
              </w:rPr>
            </w:pPr>
          </w:p>
        </w:tc>
        <w:tc>
          <w:tcPr>
            <w:tcW w:w="2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680" w:hanging="44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5,471,315</w:t>
      </w:r>
    </w:p>
    <w:p>
      <w:pPr>
        <w:spacing w:after="0" w:line="23" w:lineRule="exact"/>
        <w:rPr>
          <w:sz w:val="20"/>
          <w:szCs w:val="20"/>
          <w:color w:val="auto"/>
        </w:rPr>
      </w:pPr>
    </w:p>
    <w:p>
      <w:pPr>
        <w:ind w:left="680" w:right="5240" w:hanging="487"/>
        <w:spacing w:after="0" w:line="276"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113" w:lineRule="exact"/>
        <w:rPr>
          <w:sz w:val="20"/>
          <w:szCs w:val="20"/>
          <w:color w:val="auto"/>
        </w:rPr>
      </w:pPr>
    </w:p>
    <w:p>
      <w:pPr>
        <w:ind w:left="10240"/>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0"/>
          <w:szCs w:val="20"/>
          <w:color w:val="auto"/>
        </w:rPr>
      </w:pPr>
    </w:p>
    <w:p>
      <w:pPr>
        <w:ind w:left="680" w:right="5700" w:hanging="482"/>
        <w:spacing w:after="0" w:line="381"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6.6%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w:t>
      </w:r>
    </w:p>
    <w:p>
      <w:pPr>
        <w:ind w:left="680" w:right="8260" w:hanging="487"/>
        <w:spacing w:after="0" w:line="527"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Harmonic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4300 North First Street, San Jose, CA 95134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One Comcast Center, Philadelphia, PA 19103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par value $0.001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413160102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197" w:lineRule="exact"/>
        <w:rPr>
          <w:sz w:val="20"/>
          <w:szCs w:val="20"/>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660" w:hanging="328"/>
        <w:spacing w:after="0" w:line="239"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issuer identified in Item 1.</w:t>
      </w:r>
    </w:p>
    <w:p>
      <w:pPr>
        <w:spacing w:after="0" w:line="225"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5,471,315</w:t>
      </w:r>
    </w:p>
    <w:p>
      <w:pPr>
        <w:spacing w:after="0" w:line="225" w:lineRule="exact"/>
        <w:rPr>
          <w:rFonts w:ascii="Arial" w:cs="Arial" w:eastAsia="Arial" w:hAnsi="Arial"/>
          <w:sz w:val="18"/>
          <w:szCs w:val="18"/>
          <w:color w:val="auto"/>
        </w:rPr>
      </w:pPr>
    </w:p>
    <w:p>
      <w:pPr>
        <w:ind w:left="980"/>
        <w:spacing w:after="0" w:line="258" w:lineRule="auto"/>
        <w:rPr>
          <w:rFonts w:ascii="Arial" w:cs="Arial" w:eastAsia="Arial" w:hAnsi="Arial"/>
          <w:sz w:val="18"/>
          <w:szCs w:val="18"/>
          <w:color w:val="auto"/>
        </w:rPr>
      </w:pPr>
      <w:r>
        <w:rPr>
          <w:rFonts w:ascii="Arial" w:cs="Arial" w:eastAsia="Arial" w:hAnsi="Arial"/>
          <w:sz w:val="17"/>
          <w:szCs w:val="17"/>
          <w:color w:val="auto"/>
        </w:rPr>
        <w:t>Reference is made to the Warrant (the “Warrant”) to Purchase Shares of Common Stock of Harmonic Inc. (the “Issuer”) issued to the Reporting Person pursuant to which the Reporting Person may purchase up to 7,816,162 shares of the Issuer’s common stock for a per share exercise price of $4.76. The Warrant is filed as Exhibit 4.1 to the Issuer’s Form 8-K filed on September 27, 2016. The 5,471,315 shares reported as beneficially owned on this Schedule 13G reflects the following, in each case, as more fully set forth in the Warrant: (i) 781,617 shares became fully vested and exercisable on September 26, 2016, the date of the Warrant’s issuance; (ii) 781,617 shares will vest and become exercisable upon the date that the Reporting Person’s wholly-owned subsidiary elects enterprise pricing for the Harmonic CableOS Software (as defined in the Warrant); and (iii) up to 3,908,081 shares will vest and become exercisable upon various Secondary Vesting Triggers (as defined in the Warrant), all of which shares could vest and become exercisable upon the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end of a calendar month in which the Reporting Person or its affiliates make certain aggregate payments (in one or more transactions) for any of the Issuer’s products and services, excluding Enterprise License Fees (as defined in the Warrant). The Warrant provides for net-share settlement at the Reporting Person’s option and contains customary anti-dilution provisions. The Warrant will expire on September 26, 2023 or the prior consummation of a Change of Control (as defined in the Warrant) of the Issuer.</w:t>
      </w:r>
    </w:p>
    <w:p>
      <w:pPr>
        <w:spacing w:after="0" w:line="191"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6.6%. Percent of class determined based on 78,030,325 shares of the Issuer shown as outstanding as of August 1, 2016 in the Issuer’s 10-Q for its fiscal quarter July 1, 2016.</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5,471,315</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5,471,315</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38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jc w:val="center"/>
        <w:ind w:right="9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306"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392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1."/>
      <w:numFmt w:val="decimal"/>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2019-12-07T15:59:53Z</dcterms:created>
  <dcterms:modified xsi:type="dcterms:W3CDTF">2019-12-07T15:59:53Z</dcterms:modified>
</cp:coreProperties>
</file>