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12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7"/>
          <w:szCs w:val="27"/>
          <w:b w:val="1"/>
          <w:bCs w:val="1"/>
          <w:color w:val="auto"/>
        </w:rPr>
        <w:t>CURRENT REPORT</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Exchange Act of 1934</w:t>
      </w:r>
    </w:p>
    <w:p>
      <w:pPr>
        <w:spacing w:after="0" w:line="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29, 2025</w:t>
      </w:r>
    </w:p>
    <w:p>
      <w:pPr>
        <w:spacing w:after="0" w:line="91" w:lineRule="exact"/>
        <w:rPr>
          <w:sz w:val="24"/>
          <w:szCs w:val="24"/>
          <w:color w:val="auto"/>
        </w:rPr>
      </w:pPr>
    </w:p>
    <w:tbl>
      <w:tblPr>
        <w:tblLayout w:type="fixed"/>
        <w:tblInd w:w="700" w:type="dxa"/>
        <w:tblCellMar>
          <w:top w:w="0" w:type="dxa"/>
          <w:left w:w="0" w:type="dxa"/>
          <w:bottom w:w="0" w:type="dxa"/>
          <w:right w:w="0" w:type="dxa"/>
        </w:tblCellMar>
      </w:tblPr>
      <w:tr>
        <w:trPr>
          <w:trHeight w:val="366"/>
        </w:trPr>
        <w:tc>
          <w:tcPr>
            <w:tcW w:w="2600" w:type="dxa"/>
            <w:vAlign w:val="bottom"/>
          </w:tcPr>
          <w:p>
            <w:pPr>
              <w:spacing w:after="0"/>
              <w:rPr>
                <w:sz w:val="24"/>
                <w:szCs w:val="24"/>
                <w:color w:val="auto"/>
              </w:rPr>
            </w:pPr>
          </w:p>
        </w:tc>
        <w:tc>
          <w:tcPr>
            <w:tcW w:w="7060" w:type="dxa"/>
            <w:vAlign w:val="bottom"/>
          </w:tcPr>
          <w:p>
            <w:pPr>
              <w:jc w:val="center"/>
              <w:ind w:right="2337"/>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600" w:type="dxa"/>
            <w:vAlign w:val="bottom"/>
          </w:tcPr>
          <w:p>
            <w:pPr>
              <w:spacing w:after="0"/>
              <w:rPr>
                <w:sz w:val="12"/>
                <w:szCs w:val="12"/>
                <w:color w:val="auto"/>
              </w:rPr>
            </w:pPr>
          </w:p>
        </w:tc>
        <w:tc>
          <w:tcPr>
            <w:tcW w:w="7060" w:type="dxa"/>
            <w:vAlign w:val="bottom"/>
          </w:tcPr>
          <w:p>
            <w:pPr>
              <w:jc w:val="center"/>
              <w:ind w:right="2357"/>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600" w:type="dxa"/>
            <w:vAlign w:val="bottom"/>
          </w:tcPr>
          <w:p>
            <w:pPr>
              <w:spacing w:after="0"/>
              <w:rPr>
                <w:sz w:val="16"/>
                <w:szCs w:val="16"/>
                <w:color w:val="auto"/>
              </w:rPr>
            </w:pPr>
          </w:p>
        </w:tc>
        <w:tc>
          <w:tcPr>
            <w:tcW w:w="7060" w:type="dxa"/>
            <w:vAlign w:val="bottom"/>
          </w:tcPr>
          <w:p>
            <w:pPr>
              <w:jc w:val="center"/>
              <w:ind w:right="2357"/>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289"/>
        </w:trPr>
        <w:tc>
          <w:tcPr>
            <w:tcW w:w="2600" w:type="dxa"/>
            <w:vAlign w:val="bottom"/>
          </w:tcPr>
          <w:p>
            <w:pPr>
              <w:spacing w:after="0"/>
              <w:rPr>
                <w:sz w:val="24"/>
                <w:szCs w:val="24"/>
                <w:color w:val="auto"/>
              </w:rPr>
            </w:pPr>
          </w:p>
        </w:tc>
        <w:tc>
          <w:tcPr>
            <w:tcW w:w="7060" w:type="dxa"/>
            <w:vAlign w:val="bottom"/>
          </w:tcPr>
          <w:p>
            <w:pPr>
              <w:jc w:val="center"/>
              <w:ind w:right="2357"/>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600" w:type="dxa"/>
            <w:vAlign w:val="bottom"/>
          </w:tcPr>
          <w:p>
            <w:pPr>
              <w:spacing w:after="0"/>
              <w:rPr>
                <w:sz w:val="16"/>
                <w:szCs w:val="16"/>
                <w:color w:val="auto"/>
              </w:rPr>
            </w:pPr>
          </w:p>
        </w:tc>
        <w:tc>
          <w:tcPr>
            <w:tcW w:w="7060" w:type="dxa"/>
            <w:vAlign w:val="bottom"/>
          </w:tcPr>
          <w:p>
            <w:pPr>
              <w:jc w:val="center"/>
              <w:ind w:right="2357"/>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298"/>
        </w:trPr>
        <w:tc>
          <w:tcPr>
            <w:tcW w:w="2600" w:type="dxa"/>
            <w:vAlign w:val="bottom"/>
          </w:tcPr>
          <w:p>
            <w:pPr>
              <w:jc w:val="center"/>
              <w:ind w:right="17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060" w:type="dxa"/>
            <w:vAlign w:val="bottom"/>
          </w:tcPr>
          <w:p>
            <w:pPr>
              <w:jc w:val="center"/>
              <w:ind w:left="4977"/>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600" w:type="dxa"/>
            <w:vAlign w:val="bottom"/>
          </w:tcPr>
          <w:p>
            <w:pPr>
              <w:jc w:val="center"/>
              <w:ind w:right="177"/>
              <w:spacing w:after="0"/>
              <w:rPr>
                <w:sz w:val="20"/>
                <w:szCs w:val="20"/>
                <w:color w:val="auto"/>
              </w:rPr>
            </w:pPr>
            <w:r>
              <w:rPr>
                <w:rFonts w:ascii="Times New Roman" w:cs="Times New Roman" w:eastAsia="Times New Roman" w:hAnsi="Times New Roman"/>
                <w:sz w:val="14"/>
                <w:szCs w:val="14"/>
                <w:color w:val="auto"/>
              </w:rPr>
              <w:t>(Commission File Number)</w:t>
            </w:r>
          </w:p>
        </w:tc>
        <w:tc>
          <w:tcPr>
            <w:tcW w:w="7060" w:type="dxa"/>
            <w:vAlign w:val="bottom"/>
          </w:tcPr>
          <w:p>
            <w:pPr>
              <w:jc w:val="center"/>
              <w:ind w:left="4997"/>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2600" w:type="dxa"/>
            <w:vAlign w:val="bottom"/>
          </w:tcPr>
          <w:p>
            <w:pPr>
              <w:jc w:val="center"/>
              <w:ind w:right="17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060" w:type="dxa"/>
            <w:vAlign w:val="bottom"/>
          </w:tcPr>
          <w:p>
            <w:pPr>
              <w:spacing w:after="0"/>
              <w:rPr>
                <w:sz w:val="24"/>
                <w:szCs w:val="24"/>
                <w:color w:val="auto"/>
              </w:rPr>
            </w:pPr>
          </w:p>
        </w:tc>
      </w:tr>
      <w:tr>
        <w:trPr>
          <w:trHeight w:val="229"/>
        </w:trPr>
        <w:tc>
          <w:tcPr>
            <w:tcW w:w="2600" w:type="dxa"/>
            <w:vAlign w:val="bottom"/>
          </w:tcPr>
          <w:p>
            <w:pPr>
              <w:jc w:val="center"/>
              <w:ind w:right="177"/>
              <w:spacing w:after="0"/>
              <w:rPr>
                <w:sz w:val="20"/>
                <w:szCs w:val="20"/>
                <w:color w:val="auto"/>
              </w:rPr>
            </w:pPr>
            <w:r>
              <w:rPr>
                <w:rFonts w:ascii="Times New Roman" w:cs="Times New Roman" w:eastAsia="Times New Roman" w:hAnsi="Times New Roman"/>
                <w:sz w:val="18"/>
                <w:szCs w:val="18"/>
                <w:b w:val="1"/>
                <w:bCs w:val="1"/>
                <w:color w:val="auto"/>
                <w:w w:val="99"/>
              </w:rPr>
              <w:t>Philadelphia, PA</w:t>
            </w:r>
          </w:p>
        </w:tc>
        <w:tc>
          <w:tcPr>
            <w:tcW w:w="7060" w:type="dxa"/>
            <w:vAlign w:val="bottom"/>
          </w:tcPr>
          <w:p>
            <w:pPr>
              <w:jc w:val="center"/>
              <w:ind w:left="4977"/>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600" w:type="dxa"/>
            <w:vAlign w:val="bottom"/>
          </w:tcPr>
          <w:p>
            <w:pPr>
              <w:jc w:val="center"/>
              <w:ind w:right="17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060" w:type="dxa"/>
            <w:vAlign w:val="bottom"/>
          </w:tcPr>
          <w:p>
            <w:pPr>
              <w:jc w:val="center"/>
              <w:ind w:left="4977"/>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600" w:type="dxa"/>
            <w:vAlign w:val="bottom"/>
          </w:tcPr>
          <w:p>
            <w:pPr>
              <w:spacing w:after="0"/>
              <w:rPr>
                <w:sz w:val="24"/>
                <w:szCs w:val="24"/>
                <w:color w:val="auto"/>
              </w:rPr>
            </w:pPr>
          </w:p>
        </w:tc>
        <w:tc>
          <w:tcPr>
            <w:tcW w:w="7060" w:type="dxa"/>
            <w:vAlign w:val="bottom"/>
          </w:tcPr>
          <w:p>
            <w:pPr>
              <w:jc w:val="center"/>
              <w:ind w:right="2337"/>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600" w:type="dxa"/>
            <w:vAlign w:val="bottom"/>
          </w:tcPr>
          <w:p>
            <w:pPr>
              <w:spacing w:after="0"/>
              <w:rPr>
                <w:sz w:val="16"/>
                <w:szCs w:val="16"/>
                <w:color w:val="auto"/>
              </w:rPr>
            </w:pPr>
          </w:p>
        </w:tc>
        <w:tc>
          <w:tcPr>
            <w:tcW w:w="7060" w:type="dxa"/>
            <w:vAlign w:val="bottom"/>
          </w:tcPr>
          <w:p>
            <w:pPr>
              <w:jc w:val="center"/>
              <w:ind w:right="2337"/>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3.250% Notes due 2032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CMCS32A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3.550% Notes due 2036</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CMCS36A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5.250% Notes due 2040</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CMCS40A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34" w:right="67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On September 29, 2025, Comcast Corporation announced that Michael J. Cavanagh will be appointed Co-Chief Executive Officer of the Company, effective in January 2026. At that time, he also will be appointed as a director of Comcast. As Co-CEO, he will serve alongside Brian L. Roberts, who will continue as the Company’s Chairman of the Board and Co-Chief Executive Officer.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Cavanagh will not serve on any Board committee.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issued by the Company September 29, 2025 is attached as Exhibit 99.1 hereto.</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Number</w:t>
            </w:r>
          </w:p>
        </w:tc>
        <w:tc>
          <w:tcPr>
            <w:tcW w:w="360" w:type="dxa"/>
            <w:vAlign w:val="bottom"/>
          </w:tcPr>
          <w:p>
            <w:pPr>
              <w:spacing w:after="0"/>
              <w:rPr>
                <w:sz w:val="13"/>
                <w:szCs w:val="13"/>
                <w:color w:val="auto"/>
              </w:rPr>
            </w:pPr>
          </w:p>
        </w:tc>
        <w:tc>
          <w:tcPr>
            <w:tcW w:w="10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40" w:type="dxa"/>
            <w:vAlign w:val="bottom"/>
            <w:gridSpan w:val="2"/>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60" w:type="dxa"/>
            <w:vAlign w:val="bottom"/>
          </w:tcPr>
          <w:p>
            <w:pPr>
              <w:spacing w:after="0"/>
              <w:rPr>
                <w:sz w:val="23"/>
                <w:szCs w:val="23"/>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September 29, 2025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00"/>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696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8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29, 2025</w:t>
            </w:r>
          </w:p>
        </w:tc>
        <w:tc>
          <w:tcPr>
            <w:tcW w:w="27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218"/>
        </w:trPr>
        <w:tc>
          <w:tcPr>
            <w:tcW w:w="3920" w:type="dxa"/>
            <w:vAlign w:val="bottom"/>
          </w:tcPr>
          <w:p>
            <w:pPr>
              <w:spacing w:after="0"/>
              <w:rPr>
                <w:sz w:val="18"/>
                <w:szCs w:val="18"/>
                <w:color w:val="auto"/>
              </w:rPr>
            </w:pPr>
          </w:p>
        </w:tc>
        <w:tc>
          <w:tcPr>
            <w:tcW w:w="27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Wideman</w:t>
            </w:r>
          </w:p>
        </w:tc>
      </w:tr>
      <w:tr>
        <w:trPr>
          <w:trHeight w:val="180"/>
        </w:trPr>
        <w:tc>
          <w:tcPr>
            <w:tcW w:w="39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Vice President, Senior Deputy General Counsel</w:t>
            </w:r>
          </w:p>
        </w:tc>
      </w:tr>
      <w:tr>
        <w:trPr>
          <w:trHeight w:val="243"/>
        </w:trPr>
        <w:tc>
          <w:tcPr>
            <w:tcW w:w="3920" w:type="dxa"/>
            <w:vAlign w:val="bottom"/>
          </w:tcPr>
          <w:p>
            <w:pPr>
              <w:spacing w:after="0"/>
              <w:rPr>
                <w:sz w:val="21"/>
                <w:szCs w:val="21"/>
                <w:color w:val="auto"/>
              </w:rPr>
            </w:pPr>
          </w:p>
        </w:tc>
        <w:tc>
          <w:tcPr>
            <w:tcW w:w="27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Assistant Secretary</w:t>
            </w:r>
          </w:p>
        </w:tc>
      </w:tr>
    </w:tbl>
    <w:p>
      <w:pPr>
        <w:sectPr>
          <w:pgSz w:w="11900" w:h="16838" w:orient="portrait"/>
          <w:cols w:equalWidth="0" w:num="1">
            <w:col w:w="11200"/>
          </w:cols>
          <w:pgMar w:left="320" w:top="94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178"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PRESS RELEASE</w:t>
      </w:r>
    </w:p>
    <w:p>
      <w:pPr>
        <w:spacing w:after="0" w:line="158"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Comcast Corporation</w:t>
      </w:r>
    </w:p>
    <w:p>
      <w:pPr>
        <w:spacing w:after="0" w:line="27"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Philadelphia, PA 19103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COMCAST CORPORATION’S MIKE CAVANAGH TO JOIN BRIAN ROBERTS</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CO-CHIEF EXECUTIVE OFFICER</w:t>
      </w:r>
    </w:p>
    <w:p>
      <w:pPr>
        <w:spacing w:after="0" w:line="306" w:lineRule="exact"/>
        <w:rPr>
          <w:sz w:val="20"/>
          <w:szCs w:val="20"/>
          <w:color w:val="auto"/>
        </w:rPr>
      </w:pPr>
    </w:p>
    <w:p>
      <w:pPr>
        <w:jc w:val="both"/>
        <w:ind w:right="260"/>
        <w:spacing w:after="0" w:line="300" w:lineRule="auto"/>
        <w:rPr>
          <w:sz w:val="20"/>
          <w:szCs w:val="20"/>
          <w:color w:val="auto"/>
        </w:rPr>
      </w:pPr>
      <w:r>
        <w:rPr>
          <w:rFonts w:ascii="Arial" w:cs="Arial" w:eastAsia="Arial" w:hAnsi="Arial"/>
          <w:sz w:val="18"/>
          <w:szCs w:val="18"/>
          <w:b w:val="1"/>
          <w:bCs w:val="1"/>
          <w:color w:val="auto"/>
        </w:rPr>
        <w:t xml:space="preserve">PHILADELPHIA – September 29, 2025 – </w:t>
      </w:r>
      <w:r>
        <w:rPr>
          <w:rFonts w:ascii="Arial" w:cs="Arial" w:eastAsia="Arial" w:hAnsi="Arial"/>
          <w:sz w:val="18"/>
          <w:szCs w:val="18"/>
          <w:color w:val="auto"/>
        </w:rPr>
        <w:t>Comcast Corporation (Nasdaq: CMCSA) today announced that</w:t>
      </w:r>
      <w:r>
        <w:rPr>
          <w:rFonts w:ascii="Arial" w:cs="Arial" w:eastAsia="Arial" w:hAnsi="Arial"/>
          <w:sz w:val="18"/>
          <w:szCs w:val="18"/>
          <w:b w:val="1"/>
          <w:bCs w:val="1"/>
          <w:color w:val="auto"/>
        </w:rPr>
        <w:t xml:space="preserve"> </w:t>
      </w:r>
      <w:r>
        <w:rPr>
          <w:rFonts w:ascii="Arial" w:cs="Arial" w:eastAsia="Arial" w:hAnsi="Arial"/>
          <w:sz w:val="18"/>
          <w:szCs w:val="18"/>
          <w:color w:val="212121"/>
        </w:rPr>
        <w:t>Michael J. Cavanagh</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named Co-Chief Executive Officer of the company, effective January 2026. He will serve alongside Brian L. Roberts, who will continue as Chairman and Co-CEO. Cavanagh will also be named to the Comcast Board of Directors at that time.</w:t>
      </w:r>
    </w:p>
    <w:p>
      <w:pPr>
        <w:spacing w:after="0" w:line="182" w:lineRule="exact"/>
        <w:rPr>
          <w:sz w:val="20"/>
          <w:szCs w:val="20"/>
          <w:color w:val="auto"/>
        </w:rPr>
      </w:pPr>
    </w:p>
    <w:p>
      <w:pPr>
        <w:ind w:right="480"/>
        <w:spacing w:after="0" w:line="324" w:lineRule="auto"/>
        <w:rPr>
          <w:sz w:val="20"/>
          <w:szCs w:val="20"/>
          <w:color w:val="auto"/>
        </w:rPr>
      </w:pPr>
      <w:r>
        <w:rPr>
          <w:rFonts w:ascii="Arial" w:cs="Arial" w:eastAsia="Arial" w:hAnsi="Arial"/>
          <w:sz w:val="17"/>
          <w:szCs w:val="17"/>
          <w:color w:val="auto"/>
        </w:rPr>
        <w:t>“Since joining Comcast a decade ago, Mike has proven himself to be a trusted and collaborative leader,” said Roberts. “He is the ideal person to help lead Comcast as we manage the pivot we are making to drive growth across the company. Mike and I work seamlessly together, and I am thrilled to be partnering with him as Co-CEO and with the rest of our talented management team, for years to come.”</w:t>
      </w:r>
    </w:p>
    <w:p>
      <w:pPr>
        <w:spacing w:after="0" w:line="180"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color w:val="auto"/>
        </w:rPr>
        <w:t>“Comcast is a special company with exceptional businesses and an incredible team. It is an honor to work with Brian and the entire Comcast NBCUniversal leadership team during this exciting and transformative time in our industry,” said Cavanagh.</w:t>
      </w:r>
    </w:p>
    <w:p>
      <w:pPr>
        <w:spacing w:after="0" w:line="193"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Cavanagh joined Comcast in 2015 as Chief Financial Officer and currently serves as President. He previously spent more than two decades in financial services, including as Co-CEO of JPMorgan Chase’s Corporate &amp; Investment Bank, one of the largest global financial institutions. He also served as JPMorgan Chase’s CFO for six years, helping the company successfully navigate the financial crisis.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40"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 xml:space="preserve">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t>
      </w:r>
      <w:r>
        <w:rPr>
          <w:rFonts w:ascii="Arial" w:cs="Arial" w:eastAsia="Arial" w:hAnsi="Arial"/>
          <w:sz w:val="18"/>
          <w:szCs w:val="18"/>
          <w:u w:val="single" w:color="auto"/>
          <w:color w:val="0078D4"/>
        </w:rPr>
        <w:t>www.comcastcorporation.com</w:t>
      </w:r>
      <w:r>
        <w:rPr>
          <w:rFonts w:ascii="Arial" w:cs="Arial" w:eastAsia="Arial" w:hAnsi="Arial"/>
          <w:sz w:val="18"/>
          <w:szCs w:val="18"/>
          <w:color w:val="auto"/>
        </w:rPr>
        <w:t xml:space="preserve"> for more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220"/>
          </w:cols>
          <w:pgMar w:left="320" w:top="1295" w:right="359" w:bottom="1440" w:gutter="0" w:footer="0" w:header="0"/>
        </w:sect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Media Contacts: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100"/>
        <w:spacing w:after="0"/>
        <w:rPr>
          <w:sz w:val="20"/>
          <w:szCs w:val="20"/>
          <w:color w:val="auto"/>
        </w:rPr>
      </w:pPr>
      <w:r>
        <w:rPr>
          <w:rFonts w:ascii="Arial" w:cs="Arial" w:eastAsia="Arial" w:hAnsi="Arial"/>
          <w:sz w:val="17"/>
          <w:szCs w:val="17"/>
          <w:b w:val="1"/>
          <w:bCs w:val="1"/>
          <w:color w:val="auto"/>
        </w:rPr>
        <w:t>Investor Contact:</w:t>
      </w:r>
    </w:p>
    <w:p>
      <w:pPr>
        <w:spacing w:after="0" w:line="74" w:lineRule="exact"/>
        <w:rPr>
          <w:sz w:val="20"/>
          <w:szCs w:val="20"/>
          <w:color w:val="auto"/>
        </w:rPr>
      </w:pPr>
    </w:p>
    <w:p>
      <w:pPr>
        <w:sectPr>
          <w:pgSz w:w="11900" w:h="16838" w:orient="portrait"/>
          <w:cols w:equalWidth="0" w:num="2">
            <w:col w:w="4920" w:space="720"/>
            <w:col w:w="5580"/>
          </w:cols>
          <w:pgMar w:left="320" w:top="1295" w:right="3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Jennifer Khoury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(215) 531-3296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Jennifer_Khoury@Comcast.com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Marci Ryvicker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(215) 286-4781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Marci_Ryvicker@Comcast.com</w:t>
      </w:r>
    </w:p>
    <w:p>
      <w:pPr>
        <w:spacing w:after="0" w:line="200" w:lineRule="exact"/>
        <w:rPr>
          <w:sz w:val="20"/>
          <w:szCs w:val="20"/>
          <w:color w:val="auto"/>
        </w:rPr>
      </w:pPr>
    </w:p>
    <w:p>
      <w:pPr>
        <w:sectPr>
          <w:pgSz w:w="11900" w:h="16838" w:orient="portrait"/>
          <w:cols w:equalWidth="0" w:num="2">
            <w:col w:w="4920" w:space="720"/>
            <w:col w:w="5580"/>
          </w:cols>
          <w:pgMar w:left="320" w:top="1295" w:right="359" w:bottom="1440" w:gutter="0" w:footer="0" w:header="0"/>
          <w:type w:val="continuous"/>
        </w:sectPr>
      </w:pP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Demming</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(215) 429-4744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John_Demming@Comcast.com</w:t>
      </w:r>
    </w:p>
    <w:sectPr>
      <w:pgSz w:w="11900" w:h="16838" w:orient="portrait"/>
      <w:cols w:equalWidth="0" w:num="1">
        <w:col w:w="11220"/>
      </w:cols>
      <w:pgMar w:left="320" w:top="129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2025-09-29T09:06:56Z</dcterms:created>
  <dcterms:modified xsi:type="dcterms:W3CDTF">2025-09-29T09:06:56Z</dcterms:modified>
</cp:coreProperties>
</file>