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201930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w:t>
      </w:r>
    </w:p>
    <w:p>
      <w:pPr>
        <w:jc w:val="center"/>
        <w:ind w:right="20"/>
        <w:spacing w:after="0"/>
        <w:rPr>
          <w:sz w:val="20"/>
          <w:szCs w:val="20"/>
          <w:color w:val="auto"/>
        </w:rPr>
      </w:pPr>
      <w:r>
        <w:rPr>
          <w:rFonts w:ascii="Arial" w:cs="Arial" w:eastAsia="Arial" w:hAnsi="Arial"/>
          <w:sz w:val="22"/>
          <w:szCs w:val="22"/>
          <w:b w:val="1"/>
          <w:bCs w:val="1"/>
          <w:color w:val="auto"/>
        </w:rPr>
        <w:t>The Securities Exchange Act of 1934</w:t>
      </w:r>
    </w:p>
    <w:p>
      <w:pPr>
        <w:spacing w:after="0" w:line="21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14, 2005</w:t>
      </w:r>
    </w:p>
    <w:p>
      <w:pPr>
        <w:spacing w:after="0" w:line="20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Comcast Corporation</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as Specified in Charter)</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Pennsylvania</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1300" w:type="dxa"/>
        <w:tblCellMar>
          <w:top w:w="0" w:type="dxa"/>
          <w:left w:w="0" w:type="dxa"/>
          <w:bottom w:w="0" w:type="dxa"/>
          <w:right w:w="0" w:type="dxa"/>
        </w:tblCellMar>
      </w:tblPr>
      <w:tr>
        <w:trPr>
          <w:trHeight w:val="220"/>
        </w:trPr>
        <w:tc>
          <w:tcPr>
            <w:tcW w:w="4520" w:type="dxa"/>
            <w:vAlign w:val="bottom"/>
          </w:tcPr>
          <w:p>
            <w:pPr>
              <w:jc w:val="center"/>
              <w:ind w:right="1490"/>
              <w:spacing w:after="0"/>
              <w:rPr>
                <w:sz w:val="20"/>
                <w:szCs w:val="20"/>
                <w:color w:val="auto"/>
              </w:rPr>
            </w:pPr>
            <w:r>
              <w:rPr>
                <w:rFonts w:ascii="Arial" w:cs="Arial" w:eastAsia="Arial" w:hAnsi="Arial"/>
                <w:sz w:val="18"/>
                <w:szCs w:val="18"/>
                <w:b w:val="1"/>
                <w:bCs w:val="1"/>
                <w:color w:val="auto"/>
                <w:w w:val="90"/>
              </w:rPr>
              <w:t>000-50093</w:t>
            </w:r>
          </w:p>
        </w:tc>
        <w:tc>
          <w:tcPr>
            <w:tcW w:w="4060" w:type="dxa"/>
            <w:vAlign w:val="bottom"/>
          </w:tcPr>
          <w:p>
            <w:pPr>
              <w:jc w:val="center"/>
              <w:ind w:left="1490"/>
              <w:spacing w:after="0"/>
              <w:rPr>
                <w:sz w:val="20"/>
                <w:szCs w:val="20"/>
                <w:color w:val="auto"/>
              </w:rPr>
            </w:pPr>
            <w:r>
              <w:rPr>
                <w:rFonts w:ascii="Arial" w:cs="Arial" w:eastAsia="Arial" w:hAnsi="Arial"/>
                <w:sz w:val="18"/>
                <w:szCs w:val="18"/>
                <w:b w:val="1"/>
                <w:bCs w:val="1"/>
                <w:color w:val="auto"/>
                <w:w w:val="91"/>
              </w:rPr>
              <w:t>27-0000798</w:t>
            </w:r>
          </w:p>
        </w:tc>
      </w:tr>
      <w:tr>
        <w:trPr>
          <w:trHeight w:val="230"/>
        </w:trPr>
        <w:tc>
          <w:tcPr>
            <w:tcW w:w="4520" w:type="dxa"/>
            <w:vAlign w:val="bottom"/>
          </w:tcPr>
          <w:p>
            <w:pPr>
              <w:jc w:val="center"/>
              <w:ind w:right="1470"/>
              <w:spacing w:after="0"/>
              <w:rPr>
                <w:sz w:val="20"/>
                <w:szCs w:val="20"/>
                <w:color w:val="auto"/>
              </w:rPr>
            </w:pPr>
            <w:r>
              <w:rPr>
                <w:rFonts w:ascii="Arial" w:cs="Arial" w:eastAsia="Arial" w:hAnsi="Arial"/>
                <w:sz w:val="18"/>
                <w:szCs w:val="18"/>
                <w:color w:val="auto"/>
                <w:w w:val="93"/>
              </w:rPr>
              <w:t>(Commission File Number)</w:t>
            </w:r>
          </w:p>
        </w:tc>
        <w:tc>
          <w:tcPr>
            <w:tcW w:w="4060" w:type="dxa"/>
            <w:vAlign w:val="bottom"/>
          </w:tcPr>
          <w:p>
            <w:pPr>
              <w:jc w:val="center"/>
              <w:ind w:left="149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4520" w:type="dxa"/>
            <w:vAlign w:val="bottom"/>
          </w:tcPr>
          <w:p>
            <w:pPr>
              <w:jc w:val="center"/>
              <w:ind w:right="1470"/>
              <w:spacing w:after="0"/>
              <w:rPr>
                <w:sz w:val="20"/>
                <w:szCs w:val="20"/>
                <w:color w:val="auto"/>
              </w:rPr>
            </w:pPr>
            <w:r>
              <w:rPr>
                <w:rFonts w:ascii="Arial" w:cs="Arial" w:eastAsia="Arial" w:hAnsi="Arial"/>
                <w:sz w:val="18"/>
                <w:szCs w:val="18"/>
                <w:b w:val="1"/>
                <w:bCs w:val="1"/>
                <w:color w:val="auto"/>
                <w:w w:val="93"/>
              </w:rPr>
              <w:t>1500 Market Street</w:t>
            </w:r>
          </w:p>
        </w:tc>
        <w:tc>
          <w:tcPr>
            <w:tcW w:w="4060" w:type="dxa"/>
            <w:vAlign w:val="bottom"/>
          </w:tcPr>
          <w:p>
            <w:pPr>
              <w:spacing w:after="0"/>
              <w:rPr>
                <w:sz w:val="24"/>
                <w:szCs w:val="24"/>
                <w:color w:val="auto"/>
              </w:rPr>
            </w:pPr>
          </w:p>
        </w:tc>
      </w:tr>
      <w:tr>
        <w:trPr>
          <w:trHeight w:val="220"/>
        </w:trPr>
        <w:tc>
          <w:tcPr>
            <w:tcW w:w="4520" w:type="dxa"/>
            <w:vAlign w:val="bottom"/>
          </w:tcPr>
          <w:p>
            <w:pPr>
              <w:jc w:val="center"/>
              <w:ind w:right="1470"/>
              <w:spacing w:after="0"/>
              <w:rPr>
                <w:sz w:val="20"/>
                <w:szCs w:val="20"/>
                <w:color w:val="auto"/>
              </w:rPr>
            </w:pPr>
            <w:r>
              <w:rPr>
                <w:rFonts w:ascii="Arial" w:cs="Arial" w:eastAsia="Arial" w:hAnsi="Arial"/>
                <w:sz w:val="18"/>
                <w:szCs w:val="18"/>
                <w:b w:val="1"/>
                <w:bCs w:val="1"/>
                <w:color w:val="auto"/>
                <w:w w:val="90"/>
              </w:rPr>
              <w:t>Philadelphia, PA</w:t>
            </w:r>
          </w:p>
        </w:tc>
        <w:tc>
          <w:tcPr>
            <w:tcW w:w="4060" w:type="dxa"/>
            <w:vAlign w:val="bottom"/>
          </w:tcPr>
          <w:p>
            <w:pPr>
              <w:jc w:val="center"/>
              <w:ind w:left="1490"/>
              <w:spacing w:after="0"/>
              <w:rPr>
                <w:sz w:val="20"/>
                <w:szCs w:val="20"/>
                <w:color w:val="auto"/>
              </w:rPr>
            </w:pPr>
            <w:r>
              <w:rPr>
                <w:rFonts w:ascii="Arial" w:cs="Arial" w:eastAsia="Arial" w:hAnsi="Arial"/>
                <w:sz w:val="18"/>
                <w:szCs w:val="18"/>
                <w:b w:val="1"/>
                <w:bCs w:val="1"/>
                <w:color w:val="auto"/>
                <w:w w:val="91"/>
              </w:rPr>
              <w:t>19102-2148</w:t>
            </w:r>
          </w:p>
        </w:tc>
      </w:tr>
      <w:tr>
        <w:trPr>
          <w:trHeight w:val="230"/>
        </w:trPr>
        <w:tc>
          <w:tcPr>
            <w:tcW w:w="4520" w:type="dxa"/>
            <w:vAlign w:val="bottom"/>
          </w:tcPr>
          <w:p>
            <w:pPr>
              <w:jc w:val="center"/>
              <w:ind w:right="1490"/>
              <w:spacing w:after="0"/>
              <w:rPr>
                <w:sz w:val="20"/>
                <w:szCs w:val="20"/>
                <w:color w:val="auto"/>
              </w:rPr>
            </w:pPr>
            <w:r>
              <w:rPr>
                <w:rFonts w:ascii="Arial" w:cs="Arial" w:eastAsia="Arial" w:hAnsi="Arial"/>
                <w:sz w:val="18"/>
                <w:szCs w:val="18"/>
                <w:color w:val="auto"/>
                <w:w w:val="92"/>
              </w:rPr>
              <w:t>(Address of Principal Executive Offices)</w:t>
            </w:r>
          </w:p>
        </w:tc>
        <w:tc>
          <w:tcPr>
            <w:tcW w:w="4060" w:type="dxa"/>
            <w:vAlign w:val="bottom"/>
          </w:tcPr>
          <w:p>
            <w:pPr>
              <w:jc w:val="center"/>
              <w:ind w:left="149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7"/>
          <w:szCs w:val="17"/>
          <w:b w:val="1"/>
          <w:bCs w:val="1"/>
          <w:color w:val="auto"/>
        </w:rPr>
        <w:t>(215) 665-1700</w:t>
      </w:r>
    </w:p>
    <w:p>
      <w:pPr>
        <w:spacing w:after="0" w:line="200" w:lineRule="exact"/>
        <w:rPr>
          <w:sz w:val="24"/>
          <w:szCs w:val="24"/>
          <w:color w:val="auto"/>
        </w:rPr>
      </w:pPr>
    </w:p>
    <w:p>
      <w:pPr>
        <w:spacing w:after="0" w:line="24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212090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14a-12(b) under the Exchange Act (17 CFR 240.14a-12(b))</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Item 5.02 Departure of Directors or Principal Officers; Election of Directors; Appointment of Principal Officers</w:t>
      </w:r>
    </w:p>
    <w:p>
      <w:pPr>
        <w:spacing w:after="0" w:line="229" w:lineRule="exact"/>
        <w:rPr>
          <w:sz w:val="24"/>
          <w:szCs w:val="24"/>
          <w:color w:val="auto"/>
        </w:rPr>
      </w:pPr>
    </w:p>
    <w:p>
      <w:pPr>
        <w:ind w:right="80" w:firstLine="648"/>
        <w:spacing w:after="0" w:line="257" w:lineRule="auto"/>
        <w:rPr>
          <w:sz w:val="20"/>
          <w:szCs w:val="20"/>
          <w:color w:val="auto"/>
        </w:rPr>
      </w:pPr>
      <w:r>
        <w:rPr>
          <w:rFonts w:ascii="Arial" w:cs="Arial" w:eastAsia="Arial" w:hAnsi="Arial"/>
          <w:sz w:val="18"/>
          <w:szCs w:val="18"/>
          <w:color w:val="auto"/>
        </w:rPr>
        <w:t>On December 14, 2005, the Board of Directors of Comcast Corporation elected Jeffrey A. Honickman to the Board effective December 19, 2005. Mr. Honickman has not yet been named to any committee of the Board. There are no arrangements or understandings between Mr. Honickman and any other persons pursuant to which Mr. Honickman was selected as a director. Mr. Honickman has not entered into any transaction with Comcast Corporation that is required to be disclosed under Item 404(a) of Regulation S-K. A copy of the press release announcing the election of Mr. Honickman to the Board of Directors is attached hereto as Exhibit 99.1 and is incorporated herein by reference.</w:t>
      </w:r>
    </w:p>
    <w:p>
      <w:pPr>
        <w:spacing w:after="0" w:line="184"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Item 9.01(d) Exhibits.</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860" w:type="dxa"/>
            <w:vAlign w:val="bottom"/>
            <w:gridSpan w:val="2"/>
          </w:tcPr>
          <w:p>
            <w:pPr>
              <w:ind w:left="980"/>
              <w:spacing w:after="0"/>
              <w:rPr>
                <w:sz w:val="20"/>
                <w:szCs w:val="20"/>
                <w:color w:val="auto"/>
              </w:rPr>
            </w:pPr>
            <w:r>
              <w:rPr>
                <w:rFonts w:ascii="Arial" w:cs="Arial" w:eastAsia="Arial" w:hAnsi="Arial"/>
                <w:sz w:val="14"/>
                <w:szCs w:val="14"/>
                <w:b w:val="1"/>
                <w:bCs w:val="1"/>
                <w:color w:val="auto"/>
              </w:rPr>
              <w:t>Exhibit</w:t>
            </w:r>
          </w:p>
        </w:tc>
        <w:tc>
          <w:tcPr>
            <w:tcW w:w="620" w:type="dxa"/>
            <w:vAlign w:val="bottom"/>
          </w:tcPr>
          <w:p>
            <w:pPr>
              <w:spacing w:after="0"/>
              <w:rPr>
                <w:sz w:val="14"/>
                <w:szCs w:val="14"/>
                <w:color w:val="auto"/>
              </w:rPr>
            </w:pPr>
          </w:p>
        </w:tc>
        <w:tc>
          <w:tcPr>
            <w:tcW w:w="6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Description</w:t>
            </w:r>
          </w:p>
        </w:tc>
        <w:tc>
          <w:tcPr>
            <w:tcW w:w="2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620" w:type="dxa"/>
            <w:vAlign w:val="bottom"/>
          </w:tcPr>
          <w:p>
            <w:pPr>
              <w:spacing w:after="0"/>
              <w:rPr>
                <w:sz w:val="14"/>
                <w:szCs w:val="14"/>
                <w:color w:val="auto"/>
              </w:rPr>
            </w:pPr>
          </w:p>
        </w:tc>
        <w:tc>
          <w:tcPr>
            <w:tcW w:w="6480" w:type="dxa"/>
            <w:vAlign w:val="bottom"/>
            <w:tcBorders>
              <w:bottom w:val="single" w:sz="8" w:color="auto"/>
            </w:tcBorders>
            <w:vMerge w:val="continue"/>
          </w:tcPr>
          <w:p>
            <w:pPr>
              <w:spacing w:after="0"/>
              <w:rPr>
                <w:sz w:val="14"/>
                <w:szCs w:val="14"/>
                <w:color w:val="auto"/>
              </w:rPr>
            </w:pPr>
          </w:p>
        </w:tc>
        <w:tc>
          <w:tcPr>
            <w:tcW w:w="2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1860" w:type="dxa"/>
            <w:vAlign w:val="bottom"/>
            <w:gridSpan w:val="2"/>
          </w:tcPr>
          <w:p>
            <w:pPr>
              <w:jc w:val="right"/>
              <w:ind w:right="208"/>
              <w:spacing w:after="0"/>
              <w:rPr>
                <w:sz w:val="20"/>
                <w:szCs w:val="20"/>
                <w:color w:val="auto"/>
              </w:rPr>
            </w:pPr>
            <w:r>
              <w:rPr>
                <w:rFonts w:ascii="Arial" w:cs="Arial" w:eastAsia="Arial" w:hAnsi="Arial"/>
                <w:sz w:val="18"/>
                <w:szCs w:val="18"/>
                <w:color w:val="auto"/>
              </w:rPr>
              <w:t>99.1</w:t>
            </w:r>
          </w:p>
        </w:tc>
        <w:tc>
          <w:tcPr>
            <w:tcW w:w="7100" w:type="dxa"/>
            <w:vAlign w:val="bottom"/>
            <w:gridSpan w:val="2"/>
          </w:tcPr>
          <w:p>
            <w:pPr>
              <w:ind w:left="620"/>
              <w:spacing w:after="0"/>
              <w:rPr>
                <w:sz w:val="20"/>
                <w:szCs w:val="20"/>
                <w:color w:val="auto"/>
              </w:rPr>
            </w:pPr>
            <w:r>
              <w:rPr>
                <w:rFonts w:ascii="Arial" w:cs="Arial" w:eastAsia="Arial" w:hAnsi="Arial"/>
                <w:sz w:val="18"/>
                <w:szCs w:val="18"/>
                <w:color w:val="auto"/>
              </w:rPr>
              <w:t>Press release dated December 19, 2005.</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100" w:type="dxa"/>
            <w:vAlign w:val="bottom"/>
            <w:gridSpan w:val="2"/>
          </w:tcPr>
          <w:p>
            <w:pPr>
              <w:jc w:val="center"/>
              <w:ind w:left="510"/>
              <w:spacing w:after="0"/>
              <w:rPr>
                <w:sz w:val="20"/>
                <w:szCs w:val="20"/>
                <w:color w:val="auto"/>
              </w:rPr>
            </w:pPr>
            <w:r>
              <w:rPr>
                <w:rFonts w:ascii="Arial" w:cs="Arial" w:eastAsia="Arial" w:hAnsi="Arial"/>
                <w:sz w:val="18"/>
                <w:szCs w:val="18"/>
                <w:color w:val="auto"/>
                <w:w w:val="99"/>
              </w:rPr>
              <w:t>2</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9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480" w:type="dxa"/>
            <w:vAlign w:val="bottom"/>
            <w:tcBorders>
              <w:bottom w:val="single" w:sz="8" w:color="808080"/>
            </w:tcBorders>
          </w:tcPr>
          <w:p>
            <w:pPr>
              <w:spacing w:after="0"/>
              <w:rPr>
                <w:sz w:val="9"/>
                <w:szCs w:val="9"/>
                <w:color w:val="auto"/>
              </w:rPr>
            </w:pPr>
          </w:p>
        </w:tc>
        <w:tc>
          <w:tcPr>
            <w:tcW w:w="24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53"/>
        </w:trPr>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80" w:type="dxa"/>
            <w:vAlign w:val="bottom"/>
          </w:tcPr>
          <w:p>
            <w:pPr>
              <w:jc w:val="center"/>
              <w:spacing w:after="0"/>
              <w:rPr>
                <w:sz w:val="20"/>
                <w:szCs w:val="20"/>
                <w:color w:val="auto"/>
              </w:rPr>
            </w:pPr>
            <w:r>
              <w:rPr>
                <w:rFonts w:ascii="Arial" w:cs="Arial" w:eastAsia="Arial" w:hAnsi="Arial"/>
                <w:sz w:val="18"/>
                <w:szCs w:val="18"/>
                <w:b w:val="1"/>
                <w:bCs w:val="1"/>
                <w:color w:val="auto"/>
                <w:w w:val="98"/>
              </w:rPr>
              <w:t>SIGNATURES</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-492760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-492760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85" w:right="219" w:bottom="157" w:gutter="0" w:footer="0" w:header="0"/>
        </w:sectPr>
      </w:pPr>
    </w:p>
    <w:bookmarkStart w:id="1" w:name="page2"/>
    <w:bookmarkEnd w:id="1"/>
    <w:p>
      <w:pPr>
        <w:ind w:right="8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640" w:type="dxa"/>
            <w:vAlign w:val="bottom"/>
            <w:gridSpan w:val="3"/>
          </w:tcPr>
          <w:p>
            <w:pPr>
              <w:ind w:left="2160"/>
              <w:spacing w:after="0"/>
              <w:rPr>
                <w:sz w:val="20"/>
                <w:szCs w:val="20"/>
                <w:color w:val="auto"/>
              </w:rPr>
            </w:pPr>
            <w:r>
              <w:rPr>
                <w:rFonts w:ascii="Arial" w:cs="Arial" w:eastAsia="Arial" w:hAnsi="Arial"/>
                <w:sz w:val="18"/>
                <w:szCs w:val="18"/>
                <w:b w:val="1"/>
                <w:bCs w:val="1"/>
                <w:color w:val="auto"/>
              </w:rPr>
              <w:t>COMCAST CORPORATION</w:t>
            </w:r>
          </w:p>
        </w:tc>
        <w:tc>
          <w:tcPr>
            <w:tcW w:w="20" w:type="dxa"/>
            <w:vAlign w:val="bottom"/>
          </w:tcPr>
          <w:p>
            <w:pPr>
              <w:spacing w:after="0"/>
              <w:rPr>
                <w:sz w:val="20"/>
                <w:szCs w:val="20"/>
                <w:color w:val="auto"/>
              </w:rPr>
            </w:pP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Date: December 19, 2005</w:t>
            </w:r>
          </w:p>
        </w:tc>
        <w:tc>
          <w:tcPr>
            <w:tcW w:w="7640" w:type="dxa"/>
            <w:vAlign w:val="bottom"/>
            <w:gridSpan w:val="3"/>
          </w:tcPr>
          <w:p>
            <w:pPr>
              <w:ind w:left="2160"/>
              <w:spacing w:after="0"/>
              <w:rPr>
                <w:sz w:val="20"/>
                <w:szCs w:val="20"/>
                <w:color w:val="auto"/>
              </w:rPr>
            </w:pPr>
            <w:r>
              <w:rPr>
                <w:rFonts w:ascii="Arial" w:cs="Arial" w:eastAsia="Arial" w:hAnsi="Arial"/>
                <w:sz w:val="18"/>
                <w:szCs w:val="18"/>
                <w:color w:val="auto"/>
                <w:w w:val="95"/>
              </w:rPr>
              <w:t>By:/s/ Arthur R. Block</w:t>
            </w:r>
          </w:p>
        </w:tc>
        <w:tc>
          <w:tcPr>
            <w:tcW w:w="20" w:type="dxa"/>
            <w:vAlign w:val="bottom"/>
          </w:tcPr>
          <w:p>
            <w:pPr>
              <w:spacing w:after="0"/>
              <w:rPr>
                <w:sz w:val="24"/>
                <w:szCs w:val="24"/>
                <w:color w:val="auto"/>
              </w:rPr>
            </w:pPr>
          </w:p>
        </w:tc>
      </w:tr>
      <w:tr>
        <w:trPr>
          <w:trHeight w:val="195"/>
        </w:trPr>
        <w:tc>
          <w:tcPr>
            <w:tcW w:w="37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26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Arthur R. Block</w:t>
            </w:r>
          </w:p>
        </w:tc>
        <w:tc>
          <w:tcPr>
            <w:tcW w:w="20" w:type="dxa"/>
            <w:vAlign w:val="bottom"/>
          </w:tcPr>
          <w:p>
            <w:pPr>
              <w:spacing w:after="0"/>
              <w:rPr>
                <w:sz w:val="16"/>
                <w:szCs w:val="16"/>
                <w:color w:val="auto"/>
              </w:rPr>
            </w:pPr>
          </w:p>
        </w:tc>
      </w:tr>
      <w:tr>
        <w:trPr>
          <w:trHeight w:val="216"/>
        </w:trPr>
        <w:tc>
          <w:tcPr>
            <w:tcW w:w="37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260" w:type="dxa"/>
            <w:vAlign w:val="bottom"/>
          </w:tcPr>
          <w:p>
            <w:pPr>
              <w:ind w:left="120"/>
              <w:spacing w:after="0"/>
              <w:rPr>
                <w:sz w:val="20"/>
                <w:szCs w:val="20"/>
                <w:color w:val="auto"/>
              </w:rPr>
            </w:pPr>
            <w:r>
              <w:rPr>
                <w:rFonts w:ascii="Arial" w:cs="Arial" w:eastAsia="Arial" w:hAnsi="Arial"/>
                <w:sz w:val="18"/>
                <w:szCs w:val="18"/>
                <w:color w:val="auto"/>
              </w:rPr>
              <w:t>Senior Vice President, General Counsel</w:t>
            </w:r>
          </w:p>
        </w:tc>
        <w:tc>
          <w:tcPr>
            <w:tcW w:w="20" w:type="dxa"/>
            <w:vAlign w:val="bottom"/>
          </w:tcPr>
          <w:p>
            <w:pPr>
              <w:spacing w:after="0"/>
              <w:rPr>
                <w:sz w:val="18"/>
                <w:szCs w:val="18"/>
                <w:color w:val="auto"/>
              </w:rPr>
            </w:pPr>
          </w:p>
        </w:tc>
      </w:tr>
      <w:tr>
        <w:trPr>
          <w:trHeight w:val="230"/>
        </w:trPr>
        <w:tc>
          <w:tcPr>
            <w:tcW w:w="37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60" w:type="dxa"/>
            <w:vAlign w:val="bottom"/>
          </w:tcPr>
          <w:p>
            <w:pPr>
              <w:ind w:left="120"/>
              <w:spacing w:after="0"/>
              <w:rPr>
                <w:sz w:val="20"/>
                <w:szCs w:val="20"/>
                <w:color w:val="auto"/>
              </w:rPr>
            </w:pPr>
            <w:r>
              <w:rPr>
                <w:rFonts w:ascii="Arial" w:cs="Arial" w:eastAsia="Arial" w:hAnsi="Arial"/>
                <w:sz w:val="18"/>
                <w:szCs w:val="18"/>
                <w:color w:val="auto"/>
              </w:rPr>
              <w:t>and Secretary</w:t>
            </w:r>
          </w:p>
        </w:tc>
        <w:tc>
          <w:tcPr>
            <w:tcW w:w="20" w:type="dxa"/>
            <w:vAlign w:val="bottom"/>
          </w:tcPr>
          <w:p>
            <w:pPr>
              <w:spacing w:after="0"/>
              <w:rPr>
                <w:sz w:val="20"/>
                <w:szCs w:val="20"/>
                <w:color w:val="auto"/>
              </w:rPr>
            </w:pPr>
          </w:p>
        </w:tc>
      </w:tr>
      <w:tr>
        <w:trPr>
          <w:trHeight w:val="432"/>
        </w:trPr>
        <w:tc>
          <w:tcPr>
            <w:tcW w:w="3780" w:type="dxa"/>
            <w:vAlign w:val="bottom"/>
          </w:tcPr>
          <w:p>
            <w:pPr>
              <w:spacing w:after="0"/>
              <w:rPr>
                <w:sz w:val="24"/>
                <w:szCs w:val="24"/>
                <w:color w:val="auto"/>
              </w:rPr>
            </w:pPr>
          </w:p>
        </w:tc>
        <w:tc>
          <w:tcPr>
            <w:tcW w:w="2760" w:type="dxa"/>
            <w:vAlign w:val="bottom"/>
          </w:tcPr>
          <w:p>
            <w:pPr>
              <w:jc w:val="right"/>
              <w:ind w:right="708"/>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3780" w:type="dxa"/>
            <w:vAlign w:val="bottom"/>
            <w:tcBorders>
              <w:bottom w:val="single" w:sz="8" w:color="808080"/>
            </w:tcBorders>
          </w:tcPr>
          <w:p>
            <w:pPr>
              <w:spacing w:after="0"/>
              <w:rPr>
                <w:sz w:val="9"/>
                <w:szCs w:val="9"/>
                <w:color w:val="auto"/>
              </w:rPr>
            </w:pPr>
          </w:p>
        </w:tc>
        <w:tc>
          <w:tcPr>
            <w:tcW w:w="27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2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ind w:left="8040"/>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2032635" cy="523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32635" cy="523240"/>
                    </a:xfrm>
                    <a:prstGeom prst="rect">
                      <a:avLst/>
                    </a:prstGeom>
                    <a:noFill/>
                  </pic:spPr>
                </pic:pic>
              </a:graphicData>
            </a:graphic>
          </wp:anchor>
        </w:drawing>
      </w:r>
    </w:p>
    <w:p>
      <w:pPr>
        <w:spacing w:after="0" w:line="7"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Comcast Corporation</w:t>
      </w:r>
    </w:p>
    <w:p>
      <w:pPr>
        <w:spacing w:after="0" w:line="9"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1500 Market St.</w:t>
      </w:r>
    </w:p>
    <w:p>
      <w:pPr>
        <w:spacing w:after="0" w:line="9"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Philadelphia, PA 19102</w:t>
      </w:r>
    </w:p>
    <w:p>
      <w:pPr>
        <w:spacing w:after="0" w:line="9"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www.comcast.com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Contact: Tim Fitzpatrick, 215-981-8515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JEFFREY A. HONICKMAN APPOINTED TO COMCAST BOARD OF DIRECTORS</w:t>
      </w:r>
    </w:p>
    <w:p>
      <w:pPr>
        <w:spacing w:after="0" w:line="225"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 xml:space="preserve">Philadelphia (Monday, December 19, 2005) </w:t>
      </w:r>
      <w:r>
        <w:rPr>
          <w:rFonts w:ascii="Arial" w:cs="Arial" w:eastAsia="Arial" w:hAnsi="Arial"/>
          <w:sz w:val="16"/>
          <w:szCs w:val="16"/>
          <w:color w:val="auto"/>
        </w:rPr>
        <w:t>– Comcast Corporation (Nasdaq: CMCSA, CMCSK), the nation’s leading provider of cable, entertainment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communications products and services, announced today that Jeffrey A. Honickman has been appointed an independent director of Comcast Corporation.</w:t>
      </w:r>
    </w:p>
    <w:p>
      <w:pPr>
        <w:spacing w:after="0" w:line="12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Honickman, 48, is chief executive officer of an affiliated group of bottling and distribution companies which include the Pepsi-Cola Bottling Company of New York and the Canada Dry Bottling Company of New York.</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Comcast Chairman and CEO Brian L. Roberts said, “Jeffrey is a respected and entrepreneurial business leader, and our board and shareholders will benefit from his insight and experience.”</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Honickman’s appointment fills the vacancy created by the August death of Joseph L. Castle, II. Independent directors constitute two-thirds, or eight of twelve members, of Comcast’s board. Honickman holds an MBA in Finance from Drexel University and a BS Degree in Accounting from George Washington University. He resides in the Philadelphia area with his wife and their family.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About Comcast Corporation</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Comcast Corporation (Nasdaq: CMCSA, CMCSK) (www.comcast.com) is the nation’s leading provider of cable, entertainment and communications products and services. With 21.4 million cable customers, 8.1 million high-speed Internet customers, and 1.2 million voice customers, Comcast is principally involved in the development, management and operation of broadband cable networks and in the delivery of programming content.</w:t>
      </w:r>
    </w:p>
    <w:p>
      <w:pPr>
        <w:spacing w:after="0" w:line="17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Company’s content networks and investments include E! Entertainment Television, Style Network, The Golf Channel, OLN, G4, AZN Television, PBS KIDS Sprout, TV One and four regional Comcast SportsNets. The Company also has a majority ownership in Comcast-Spectacor, whose major holdings include the Philadelphia Flyers NHL hockey team, the Philadelphia 76ers NBA basketball team and two large multipurpose arenas in Philadelphia. Comcast Class A common stock and Class A Special common stock trade on The NASDAQ Stock Market under the symbols CMCSA and CMCSK,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2019-12-15T06:09:52Z</dcterms:created>
  <dcterms:modified xsi:type="dcterms:W3CDTF">2019-12-15T06:09:52Z</dcterms:modified>
</cp:coreProperties>
</file>