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4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69"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CURRENT REPORT</w:t>
      </w:r>
    </w:p>
    <w:p>
      <w:pPr>
        <w:spacing w:after="0" w:line="4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Pursuant To Section 13 Or 15(d) of</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The Securities Exchange Act of 1934</w:t>
      </w:r>
    </w:p>
    <w:p>
      <w:pPr>
        <w:spacing w:after="0" w:line="268"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Date of report (Date of earliest event reported): March 25, 2005</w:t>
      </w:r>
    </w:p>
    <w:p>
      <w:pPr>
        <w:spacing w:after="0" w:line="248" w:lineRule="exact"/>
        <w:rPr>
          <w:sz w:val="24"/>
          <w:szCs w:val="24"/>
          <w:color w:val="auto"/>
        </w:rPr>
      </w:pPr>
    </w:p>
    <w:tbl>
      <w:tblPr>
        <w:tblLayout w:type="fixed"/>
        <w:tblInd w:w="400" w:type="dxa"/>
        <w:tblCellMar>
          <w:top w:w="0" w:type="dxa"/>
          <w:left w:w="0" w:type="dxa"/>
          <w:bottom w:w="0" w:type="dxa"/>
          <w:right w:w="0" w:type="dxa"/>
        </w:tblCellMar>
      </w:tblPr>
      <w:tr>
        <w:trPr>
          <w:trHeight w:val="356"/>
        </w:trPr>
        <w:tc>
          <w:tcPr>
            <w:tcW w:w="3180" w:type="dxa"/>
            <w:vAlign w:val="bottom"/>
          </w:tcPr>
          <w:p>
            <w:pPr>
              <w:spacing w:after="0"/>
              <w:rPr>
                <w:sz w:val="24"/>
                <w:szCs w:val="24"/>
                <w:color w:val="auto"/>
              </w:rPr>
            </w:pPr>
          </w:p>
        </w:tc>
        <w:tc>
          <w:tcPr>
            <w:tcW w:w="7160" w:type="dxa"/>
            <w:vAlign w:val="bottom"/>
          </w:tcPr>
          <w:p>
            <w:pPr>
              <w:jc w:val="center"/>
              <w:ind w:right="2783"/>
              <w:spacing w:after="0"/>
              <w:rPr>
                <w:sz w:val="20"/>
                <w:szCs w:val="20"/>
                <w:color w:val="auto"/>
              </w:rPr>
            </w:pPr>
            <w:r>
              <w:rPr>
                <w:rFonts w:ascii="Arial" w:cs="Arial" w:eastAsia="Arial" w:hAnsi="Arial"/>
                <w:sz w:val="29"/>
                <w:szCs w:val="29"/>
                <w:b w:val="1"/>
                <w:bCs w:val="1"/>
                <w:color w:val="auto"/>
                <w:w w:val="99"/>
              </w:rPr>
              <w:t>COMCAST CORPORATION</w:t>
            </w:r>
          </w:p>
        </w:tc>
      </w:tr>
      <w:tr>
        <w:trPr>
          <w:trHeight w:val="270"/>
        </w:trPr>
        <w:tc>
          <w:tcPr>
            <w:tcW w:w="3180" w:type="dxa"/>
            <w:vAlign w:val="bottom"/>
          </w:tcPr>
          <w:p>
            <w:pPr>
              <w:spacing w:after="0"/>
              <w:rPr>
                <w:sz w:val="23"/>
                <w:szCs w:val="23"/>
                <w:color w:val="auto"/>
              </w:rPr>
            </w:pPr>
          </w:p>
        </w:tc>
        <w:tc>
          <w:tcPr>
            <w:tcW w:w="7160" w:type="dxa"/>
            <w:vAlign w:val="bottom"/>
          </w:tcPr>
          <w:p>
            <w:pPr>
              <w:jc w:val="center"/>
              <w:ind w:right="2783"/>
              <w:spacing w:after="0"/>
              <w:rPr>
                <w:sz w:val="20"/>
                <w:szCs w:val="20"/>
                <w:color w:val="auto"/>
              </w:rPr>
            </w:pPr>
            <w:r>
              <w:rPr>
                <w:rFonts w:ascii="Arial" w:cs="Arial" w:eastAsia="Arial" w:hAnsi="Arial"/>
                <w:sz w:val="22"/>
                <w:szCs w:val="22"/>
                <w:b w:val="1"/>
                <w:bCs w:val="1"/>
                <w:color w:val="auto"/>
                <w:w w:val="95"/>
              </w:rPr>
              <w:t>COMCAST-SPECTACOR 401(K) PLAN</w:t>
            </w:r>
          </w:p>
        </w:tc>
      </w:tr>
      <w:tr>
        <w:trPr>
          <w:trHeight w:val="216"/>
        </w:trPr>
        <w:tc>
          <w:tcPr>
            <w:tcW w:w="3180" w:type="dxa"/>
            <w:vAlign w:val="bottom"/>
          </w:tcPr>
          <w:p>
            <w:pPr>
              <w:spacing w:after="0"/>
              <w:rPr>
                <w:sz w:val="18"/>
                <w:szCs w:val="18"/>
                <w:color w:val="auto"/>
              </w:rPr>
            </w:pPr>
          </w:p>
        </w:tc>
        <w:tc>
          <w:tcPr>
            <w:tcW w:w="7160" w:type="dxa"/>
            <w:vAlign w:val="bottom"/>
          </w:tcPr>
          <w:p>
            <w:pPr>
              <w:jc w:val="center"/>
              <w:ind w:right="2783"/>
              <w:spacing w:after="0"/>
              <w:rPr>
                <w:sz w:val="20"/>
                <w:szCs w:val="20"/>
                <w:color w:val="auto"/>
              </w:rPr>
            </w:pPr>
            <w:r>
              <w:rPr>
                <w:rFonts w:ascii="Arial" w:cs="Arial" w:eastAsia="Arial" w:hAnsi="Arial"/>
                <w:sz w:val="18"/>
                <w:szCs w:val="18"/>
                <w:color w:val="auto"/>
                <w:w w:val="90"/>
              </w:rPr>
              <w:t>(Exact Name of Registrant</w:t>
            </w:r>
          </w:p>
        </w:tc>
      </w:tr>
      <w:tr>
        <w:trPr>
          <w:trHeight w:val="230"/>
        </w:trPr>
        <w:tc>
          <w:tcPr>
            <w:tcW w:w="3180" w:type="dxa"/>
            <w:vAlign w:val="bottom"/>
          </w:tcPr>
          <w:p>
            <w:pPr>
              <w:spacing w:after="0"/>
              <w:rPr>
                <w:sz w:val="20"/>
                <w:szCs w:val="20"/>
                <w:color w:val="auto"/>
              </w:rPr>
            </w:pPr>
          </w:p>
        </w:tc>
        <w:tc>
          <w:tcPr>
            <w:tcW w:w="7160" w:type="dxa"/>
            <w:vAlign w:val="bottom"/>
          </w:tcPr>
          <w:p>
            <w:pPr>
              <w:jc w:val="center"/>
              <w:ind w:right="2803"/>
              <w:spacing w:after="0"/>
              <w:rPr>
                <w:sz w:val="20"/>
                <w:szCs w:val="20"/>
                <w:color w:val="auto"/>
              </w:rPr>
            </w:pPr>
            <w:r>
              <w:rPr>
                <w:rFonts w:ascii="Arial" w:cs="Arial" w:eastAsia="Arial" w:hAnsi="Arial"/>
                <w:sz w:val="18"/>
                <w:szCs w:val="18"/>
                <w:color w:val="auto"/>
                <w:w w:val="90"/>
              </w:rPr>
              <w:t>as Specified in Charter)</w:t>
            </w:r>
          </w:p>
        </w:tc>
      </w:tr>
      <w:tr>
        <w:trPr>
          <w:trHeight w:val="459"/>
        </w:trPr>
        <w:tc>
          <w:tcPr>
            <w:tcW w:w="3180" w:type="dxa"/>
            <w:vAlign w:val="bottom"/>
          </w:tcPr>
          <w:p>
            <w:pPr>
              <w:spacing w:after="0"/>
              <w:rPr>
                <w:sz w:val="24"/>
                <w:szCs w:val="24"/>
                <w:color w:val="auto"/>
              </w:rPr>
            </w:pPr>
          </w:p>
        </w:tc>
        <w:tc>
          <w:tcPr>
            <w:tcW w:w="7160" w:type="dxa"/>
            <w:vAlign w:val="bottom"/>
          </w:tcPr>
          <w:p>
            <w:pPr>
              <w:jc w:val="center"/>
              <w:ind w:right="2923"/>
              <w:spacing w:after="0"/>
              <w:rPr>
                <w:sz w:val="20"/>
                <w:szCs w:val="20"/>
                <w:color w:val="auto"/>
              </w:rPr>
            </w:pPr>
            <w:r>
              <w:rPr>
                <w:rFonts w:ascii="Arial" w:cs="Arial" w:eastAsia="Arial" w:hAnsi="Arial"/>
                <w:sz w:val="18"/>
                <w:szCs w:val="18"/>
                <w:b w:val="1"/>
                <w:bCs w:val="1"/>
                <w:color w:val="auto"/>
                <w:w w:val="88"/>
              </w:rPr>
              <w:t>Pennsylvania</w:t>
            </w:r>
          </w:p>
        </w:tc>
      </w:tr>
      <w:tr>
        <w:trPr>
          <w:trHeight w:val="243"/>
        </w:trPr>
        <w:tc>
          <w:tcPr>
            <w:tcW w:w="3180" w:type="dxa"/>
            <w:vAlign w:val="bottom"/>
          </w:tcPr>
          <w:p>
            <w:pPr>
              <w:spacing w:after="0"/>
              <w:rPr>
                <w:sz w:val="21"/>
                <w:szCs w:val="21"/>
                <w:color w:val="auto"/>
              </w:rPr>
            </w:pPr>
          </w:p>
        </w:tc>
        <w:tc>
          <w:tcPr>
            <w:tcW w:w="7160" w:type="dxa"/>
            <w:vAlign w:val="bottom"/>
          </w:tcPr>
          <w:p>
            <w:pPr>
              <w:jc w:val="center"/>
              <w:ind w:right="2943"/>
              <w:spacing w:after="0"/>
              <w:rPr>
                <w:sz w:val="20"/>
                <w:szCs w:val="20"/>
                <w:color w:val="auto"/>
              </w:rPr>
            </w:pPr>
            <w:r>
              <w:rPr>
                <w:rFonts w:ascii="Arial" w:cs="Arial" w:eastAsia="Arial" w:hAnsi="Arial"/>
                <w:sz w:val="18"/>
                <w:szCs w:val="18"/>
                <w:color w:val="auto"/>
                <w:w w:val="92"/>
              </w:rPr>
              <w:t>(State or Other Jurisdiction of Incorporation)</w:t>
            </w:r>
          </w:p>
        </w:tc>
      </w:tr>
      <w:tr>
        <w:trPr>
          <w:trHeight w:val="486"/>
        </w:trPr>
        <w:tc>
          <w:tcPr>
            <w:tcW w:w="3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000-50093</w:t>
            </w:r>
          </w:p>
        </w:tc>
        <w:tc>
          <w:tcPr>
            <w:tcW w:w="7160" w:type="dxa"/>
            <w:vAlign w:val="bottom"/>
          </w:tcPr>
          <w:p>
            <w:pPr>
              <w:jc w:val="right"/>
              <w:ind w:right="703"/>
              <w:spacing w:after="0"/>
              <w:rPr>
                <w:sz w:val="20"/>
                <w:szCs w:val="20"/>
                <w:color w:val="auto"/>
              </w:rPr>
            </w:pPr>
            <w:r>
              <w:rPr>
                <w:rFonts w:ascii="Arial" w:cs="Arial" w:eastAsia="Arial" w:hAnsi="Arial"/>
                <w:sz w:val="18"/>
                <w:szCs w:val="18"/>
                <w:b w:val="1"/>
                <w:bCs w:val="1"/>
                <w:color w:val="auto"/>
              </w:rPr>
              <w:t>23-2303756</w:t>
            </w:r>
          </w:p>
        </w:tc>
      </w:tr>
      <w:tr>
        <w:trPr>
          <w:trHeight w:val="243"/>
        </w:trPr>
        <w:tc>
          <w:tcPr>
            <w:tcW w:w="3180" w:type="dxa"/>
            <w:vAlign w:val="bottom"/>
          </w:tcPr>
          <w:p>
            <w:pPr>
              <w:jc w:val="center"/>
              <w:ind w:right="150"/>
              <w:spacing w:after="0"/>
              <w:rPr>
                <w:sz w:val="20"/>
                <w:szCs w:val="20"/>
                <w:color w:val="auto"/>
              </w:rPr>
            </w:pPr>
            <w:r>
              <w:rPr>
                <w:rFonts w:ascii="Arial" w:cs="Arial" w:eastAsia="Arial" w:hAnsi="Arial"/>
                <w:sz w:val="18"/>
                <w:szCs w:val="18"/>
                <w:color w:val="auto"/>
                <w:w w:val="92"/>
              </w:rPr>
              <w:t>(Commission File Number)</w:t>
            </w:r>
          </w:p>
        </w:tc>
        <w:tc>
          <w:tcPr>
            <w:tcW w:w="7160" w:type="dxa"/>
            <w:vAlign w:val="bottom"/>
          </w:tcPr>
          <w:p>
            <w:pPr>
              <w:jc w:val="center"/>
              <w:ind w:left="4583"/>
              <w:spacing w:after="0"/>
              <w:rPr>
                <w:sz w:val="20"/>
                <w:szCs w:val="20"/>
                <w:color w:val="auto"/>
              </w:rPr>
            </w:pPr>
            <w:r>
              <w:rPr>
                <w:rFonts w:ascii="Arial" w:cs="Arial" w:eastAsia="Arial" w:hAnsi="Arial"/>
                <w:sz w:val="18"/>
                <w:szCs w:val="18"/>
                <w:color w:val="auto"/>
                <w:w w:val="94"/>
              </w:rPr>
              <w:t>(IRS Employer Identification No.)</w:t>
            </w:r>
          </w:p>
        </w:tc>
      </w:tr>
      <w:tr>
        <w:trPr>
          <w:trHeight w:val="468"/>
        </w:trPr>
        <w:tc>
          <w:tcPr>
            <w:tcW w:w="3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1500 Market Street</w:t>
            </w:r>
          </w:p>
        </w:tc>
        <w:tc>
          <w:tcPr>
            <w:tcW w:w="7160" w:type="dxa"/>
            <w:vAlign w:val="bottom"/>
          </w:tcPr>
          <w:p>
            <w:pPr>
              <w:spacing w:after="0"/>
              <w:rPr>
                <w:sz w:val="24"/>
                <w:szCs w:val="24"/>
                <w:color w:val="auto"/>
              </w:rPr>
            </w:pPr>
          </w:p>
        </w:tc>
      </w:tr>
      <w:tr>
        <w:trPr>
          <w:trHeight w:val="220"/>
        </w:trPr>
        <w:tc>
          <w:tcPr>
            <w:tcW w:w="3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Philadelphia, PA</w:t>
            </w:r>
          </w:p>
        </w:tc>
        <w:tc>
          <w:tcPr>
            <w:tcW w:w="7160" w:type="dxa"/>
            <w:vAlign w:val="bottom"/>
          </w:tcPr>
          <w:p>
            <w:pPr>
              <w:jc w:val="right"/>
              <w:ind w:right="923"/>
              <w:spacing w:after="0"/>
              <w:rPr>
                <w:sz w:val="20"/>
                <w:szCs w:val="20"/>
                <w:color w:val="auto"/>
              </w:rPr>
            </w:pPr>
            <w:r>
              <w:rPr>
                <w:rFonts w:ascii="Arial" w:cs="Arial" w:eastAsia="Arial" w:hAnsi="Arial"/>
                <w:sz w:val="18"/>
                <w:szCs w:val="18"/>
                <w:b w:val="1"/>
                <w:bCs w:val="1"/>
                <w:color w:val="auto"/>
              </w:rPr>
              <w:t>19102</w:t>
            </w:r>
          </w:p>
        </w:tc>
      </w:tr>
      <w:tr>
        <w:trPr>
          <w:trHeight w:val="230"/>
        </w:trPr>
        <w:tc>
          <w:tcPr>
            <w:tcW w:w="318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7160" w:type="dxa"/>
            <w:vAlign w:val="bottom"/>
          </w:tcPr>
          <w:p>
            <w:pPr>
              <w:jc w:val="center"/>
              <w:ind w:left="4583"/>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95"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665-1700</w:t>
      </w:r>
    </w:p>
    <w:p>
      <w:pPr>
        <w:spacing w:after="0" w:line="25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4" w:lineRule="exact"/>
        <w:rPr>
          <w:sz w:val="24"/>
          <w:szCs w:val="24"/>
          <w:color w:val="auto"/>
        </w:rPr>
      </w:pPr>
    </w:p>
    <w:p>
      <w:pPr>
        <w:ind w:left="440" w:hanging="108"/>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333" w:lineRule="exact"/>
        <w:rPr>
          <w:rFonts w:ascii="Arial" w:cs="Arial" w:eastAsia="Arial" w:hAnsi="Arial"/>
          <w:sz w:val="18"/>
          <w:szCs w:val="18"/>
          <w:color w:val="auto"/>
        </w:rPr>
      </w:pPr>
    </w:p>
    <w:p>
      <w:pPr>
        <w:ind w:left="440" w:hanging="108"/>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33" w:lineRule="exact"/>
        <w:rPr>
          <w:rFonts w:ascii="Arial" w:cs="Arial" w:eastAsia="Arial" w:hAnsi="Arial"/>
          <w:sz w:val="18"/>
          <w:szCs w:val="18"/>
          <w:color w:val="auto"/>
        </w:rPr>
      </w:pPr>
    </w:p>
    <w:p>
      <w:pPr>
        <w:ind w:left="440" w:hanging="108"/>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440" w:hanging="108"/>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784860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229"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Comcast-Spectacor 401(k) Plan (the "Plan"), received notification on March 23, 2005, that its auditor, Grant Thornton LLP, will not stand for re-appointment. The audit reports of Grant Thornton LLP on the financial statements of the Plan for each of the fiscal years ended December 31, 2003 and December 31, 2002, did not contain any adverse opinion or disclaimer of opinion and was not qualified or modified as to uncertainty, audit scope or accounting principles.</w:t>
      </w:r>
    </w:p>
    <w:p>
      <w:pPr>
        <w:spacing w:after="0" w:line="24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each of the fiscal years ended December 31, 2003 and December 31, 2002, and the subsequent interim period from January 1, 2004 through March 25, 2005, there were no disagreements between the Plan and Grant Thornton LLP on any matter of accounting principles or practices, financial statement disclosure or auditing scope or procedure, which disagreements, if not resolved to the satisfaction of Grant Thornton LLP, would have caused Grant Thornton LLP to make reference to the subject matter of the disagreement(s) in connection with its report on the consolidated financial statements for such periods.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each of the fiscal years ended December 31, 2003 and December 31, 2002, and the subsequent interim period from January 1, 2004 through March 25, 2005, there were no "reportable events" as that term is defined in Item 304(a)(1)(v) of Regulation S-K.</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Plan provided a copy of the foregoing disclosures to Grant Thornton LLP prior to the date of the filing of this Current Report on Form 8-K and requested that Grant Thornton LLP furnish it with a letter addressed to the Securities and Exchange Commission stating whether or not it agrees with the statements in this Item 4.01. A copy of the letter furnished in response to that request (as required by Item 304(a)(3) of Regulation S-K) dated March 25, 2005, is filed as Exhibit 16.1 to this Current Report on Form 8-K.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83" w:lineRule="exact"/>
        <w:rPr>
          <w:sz w:val="20"/>
          <w:szCs w:val="20"/>
          <w:color w:val="auto"/>
        </w:rPr>
      </w:pPr>
    </w:p>
    <w:p>
      <w:pPr>
        <w:ind w:left="1540" w:hanging="866"/>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8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Letter from Grant Thornton LLP dated March 25,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746760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COMCAST CORPORATION</w:t>
      </w:r>
    </w:p>
    <w:p>
      <w:pPr>
        <w:spacing w:after="0" w:line="279" w:lineRule="exact"/>
        <w:rPr>
          <w:sz w:val="20"/>
          <w:szCs w:val="20"/>
          <w:color w:val="auto"/>
        </w:rPr>
      </w:pPr>
    </w:p>
    <w:p>
      <w:pPr>
        <w:spacing w:after="0"/>
        <w:tabs>
          <w:tab w:leader="none" w:pos="720" w:val="left"/>
          <w:tab w:leader="none" w:pos="5680" w:val="left"/>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March 25,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u w:val="single" w:color="auto"/>
          <w:color w:val="auto"/>
        </w:rPr>
        <w:t>/s/ Lawrence J. Salva</w:t>
      </w:r>
    </w:p>
    <w:p>
      <w:pPr>
        <w:spacing w:after="0" w:line="36" w:lineRule="exact"/>
        <w:rPr>
          <w:sz w:val="20"/>
          <w:szCs w:val="20"/>
          <w:color w:val="auto"/>
        </w:rPr>
      </w:pPr>
    </w:p>
    <w:p>
      <w:pPr>
        <w:ind w:left="6280"/>
        <w:spacing w:after="0"/>
        <w:tabs>
          <w:tab w:leader="none" w:pos="6980" w:val="left"/>
        </w:tabs>
        <w:rPr>
          <w:sz w:val="20"/>
          <w:szCs w:val="20"/>
          <w:color w:val="auto"/>
        </w:rPr>
      </w:pPr>
      <w:r>
        <w:rPr>
          <w:rFonts w:ascii="Arial" w:cs="Arial" w:eastAsia="Arial" w:hAnsi="Arial"/>
          <w:sz w:val="18"/>
          <w:szCs w:val="18"/>
          <w:color w:val="auto"/>
        </w:rPr>
        <w:t>Name:</w:t>
        <w:tab/>
        <w:t>Lawrence J. Salva</w:t>
      </w:r>
    </w:p>
    <w:p>
      <w:pPr>
        <w:spacing w:after="0" w:line="36" w:lineRule="exact"/>
        <w:rPr>
          <w:sz w:val="20"/>
          <w:szCs w:val="20"/>
          <w:color w:val="auto"/>
        </w:rPr>
      </w:pPr>
    </w:p>
    <w:p>
      <w:pPr>
        <w:ind w:left="6280"/>
        <w:spacing w:after="0"/>
        <w:tabs>
          <w:tab w:leader="none" w:pos="69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Senior Vice President and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1813560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00"/>
          </w:cols>
          <w:pgMar w:left="240" w:top="634" w:right="10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1101090</wp:posOffset>
            </wp:positionV>
            <wp:extent cx="4827905" cy="351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482790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March 25, 2005</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0680"/>
          </w:cols>
          <w:pgMar w:left="240" w:top="1440" w:right="979" w:bottom="1440" w:gutter="0" w:footer="0" w:header="0"/>
        </w:sect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Comcast-Spectacor 401 (k)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File No. 000-50093</w:t>
      </w:r>
    </w:p>
    <w:p>
      <w:pPr>
        <w:spacing w:after="0" w:line="200" w:lineRule="exact"/>
        <w:rPr>
          <w:sz w:val="20"/>
          <w:szCs w:val="20"/>
          <w:color w:val="auto"/>
        </w:rPr>
      </w:pPr>
    </w:p>
    <w:p>
      <w:pPr>
        <w:sectPr>
          <w:pgSz w:w="11900" w:h="16838" w:orient="portrait"/>
          <w:cols w:equalWidth="0" w:num="2">
            <w:col w:w="260" w:space="520"/>
            <w:col w:w="9900"/>
          </w:cols>
          <w:pgMar w:left="240" w:top="1440" w:right="97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Dear Sir of Madam:</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read Item 4.01 of Form 8-K of Comcast Corporation, Comcast-Spectacor 401 (k) Plan, date March 25, 2005, and agree with the statements concerning our Firm contained therein.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75535"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5535" cy="514350"/>
                    </a:xfrm>
                    <a:prstGeom prst="rect">
                      <a:avLst/>
                    </a:prstGeom>
                    <a:noFill/>
                  </pic:spPr>
                </pic:pic>
              </a:graphicData>
            </a:graphic>
          </wp:anchor>
        </w:drawing>
      </w:r>
    </w:p>
    <w:sectPr>
      <w:pgSz w:w="11900" w:h="16838" w:orient="portrait"/>
      <w:cols w:equalWidth="0" w:num="1">
        <w:col w:w="10680"/>
      </w:cols>
      <w:pgMar w:left="240" w:top="1440" w:right="9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2019-12-12T03:53:35Z</dcterms:created>
  <dcterms:modified xsi:type="dcterms:W3CDTF">2019-12-12T03:53:35Z</dcterms:modified>
</cp:coreProperties>
</file>