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COMCAST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20030N101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20030N101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119,769,564.00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186,805,081.00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186,826,370.00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COMCAST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1701 JFK BOULEVARD, PHILADELPHIA, PENNSYLVANIA, 19103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2700"/>
        <w:spacing w:after="0" w:line="256"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20030N101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186826370.00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119,769,564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186,805,081</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80"/>
        <w:spacing w:after="0" w:line="249" w:lineRule="auto"/>
        <w:rPr>
          <w:sz w:val="20"/>
          <w:szCs w:val="20"/>
          <w:color w:val="auto"/>
        </w:rPr>
      </w:pPr>
      <w:r>
        <w:rPr>
          <w:rFonts w:ascii="Times New Roman" w:cs="Times New Roman" w:eastAsia="Times New Roman" w:hAnsi="Times New Roman"/>
          <w:sz w:val="21"/>
          <w:szCs w:val="21"/>
          <w:color w:val="auto"/>
        </w:rPr>
        <w:t>SSGA FUNDS MANAGEMENT, INC. (IA);STATE STREET GLOBAL ADVISORS (JAPAN) CO., LTD. (IA);STATE STREET GLOBAL ADVISORS ASIA LIMITED (IA);STATE STREET GLOBAL ADVISORS EUROPE LIMITED (IA);STATE STREET GLOBAL ADVISORS LIMITED (IA);STATE STREET GLOBAL ADVISORS SINGAPORE LIMITED (IA);STATE STREET GLOBAL ADVISORS TRUST COMPANY (IA);STATE STREET GLOBAL ADVISORS, AUSTRALIA, LIMITED (IA);STATE STREET GLOBAL ADVISORS, LTD. (IA);STATE STREET SAUDI ARABIA FINANCIAL SOLUTIONS COMPANY (IA);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38" w:orient="portrait"/>
          <w:cols w:equalWidth="0" w:num="1">
            <w:col w:w="11140"/>
          </w:cols>
          <w:pgMar w:left="360" w:top="111" w:right="399" w:bottom="0" w:gutter="0" w:footer="0" w:header="0"/>
          <w:type w:val="continuous"/>
        </w:sectPr>
      </w:pPr>
    </w:p>
    <w:bookmarkStart w:id="3" w:name="page4"/>
    <w:bookmarkEnd w:id="3"/>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02/09/2026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2026-02-09T05:31:31Z</dcterms:created>
  <dcterms:modified xsi:type="dcterms:W3CDTF">2026-02-09T05:31:31Z</dcterms:modified>
</cp:coreProperties>
</file>