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333-132750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May 3, 2007</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8480" w:type="dxa"/>
            <w:vAlign w:val="bottom"/>
          </w:tcPr>
          <w:p>
            <w:pPr>
              <w:ind w:left="2120"/>
              <w:spacing w:after="0"/>
              <w:rPr>
                <w:sz w:val="20"/>
                <w:szCs w:val="20"/>
                <w:color w:val="auto"/>
              </w:rPr>
            </w:pPr>
            <w:r>
              <w:rPr>
                <w:rFonts w:ascii="Arial" w:cs="Arial" w:eastAsia="Arial" w:hAnsi="Arial"/>
                <w:sz w:val="18"/>
                <w:szCs w:val="18"/>
                <w:b w:val="1"/>
                <w:bCs w:val="1"/>
                <w:color w:val="auto"/>
              </w:rPr>
              <w:t>Final Term Sheet</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480" w:type="dxa"/>
            <w:vAlign w:val="bottom"/>
          </w:tcPr>
          <w:p>
            <w:pPr>
              <w:ind w:left="500"/>
              <w:spacing w:after="0"/>
              <w:rPr>
                <w:sz w:val="20"/>
                <w:szCs w:val="20"/>
                <w:color w:val="auto"/>
              </w:rPr>
            </w:pPr>
            <w:r>
              <w:rPr>
                <w:rFonts w:ascii="Arial" w:cs="Arial" w:eastAsia="Arial" w:hAnsi="Arial"/>
                <w:sz w:val="18"/>
                <w:szCs w:val="18"/>
                <w:color w:val="auto"/>
              </w:rPr>
              <w:t>Comcast Corporation</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480" w:type="dxa"/>
            <w:vAlign w:val="bottom"/>
          </w:tcPr>
          <w:p>
            <w:pPr>
              <w:ind w:left="500"/>
              <w:spacing w:after="0"/>
              <w:rPr>
                <w:sz w:val="20"/>
                <w:szCs w:val="20"/>
                <w:color w:val="auto"/>
              </w:rPr>
            </w:pPr>
            <w:r>
              <w:rPr>
                <w:rFonts w:ascii="Arial" w:cs="Arial" w:eastAsia="Arial" w:hAnsi="Arial"/>
                <w:sz w:val="18"/>
                <w:szCs w:val="18"/>
                <w:color w:val="auto"/>
              </w:rPr>
              <w:t>Comcast Cable Communications, LLC</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Comcast Cable Communications Holdings, Inc.</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Comcast Cable Holdings, LLC</w:t>
            </w:r>
          </w:p>
        </w:tc>
      </w:tr>
      <w:tr>
        <w:trPr>
          <w:trHeight w:val="216"/>
        </w:trPr>
        <w:tc>
          <w:tcPr>
            <w:tcW w:w="294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Comcast MO Group, Inc.</w:t>
            </w:r>
          </w:p>
        </w:tc>
      </w:tr>
      <w:tr>
        <w:trPr>
          <w:trHeight w:val="230"/>
        </w:trPr>
        <w:tc>
          <w:tcPr>
            <w:tcW w:w="294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rPr>
              <w:t>Comcast MO of Delaware, LLC</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8480" w:type="dxa"/>
            <w:vAlign w:val="bottom"/>
          </w:tcPr>
          <w:p>
            <w:pPr>
              <w:ind w:left="500"/>
              <w:spacing w:after="0"/>
              <w:rPr>
                <w:sz w:val="20"/>
                <w:szCs w:val="20"/>
                <w:color w:val="auto"/>
              </w:rPr>
            </w:pPr>
            <w:r>
              <w:rPr>
                <w:rFonts w:ascii="Arial" w:cs="Arial" w:eastAsia="Arial" w:hAnsi="Arial"/>
                <w:sz w:val="18"/>
                <w:szCs w:val="18"/>
                <w:color w:val="auto"/>
              </w:rPr>
              <w:t>Moody’s: Baa2; S&amp;P: BBB+; Fitch: BBB+</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Issue of Securities:</w:t>
            </w:r>
          </w:p>
        </w:tc>
        <w:tc>
          <w:tcPr>
            <w:tcW w:w="8480" w:type="dxa"/>
            <w:vAlign w:val="bottom"/>
          </w:tcPr>
          <w:p>
            <w:pPr>
              <w:ind w:left="500"/>
              <w:spacing w:after="0"/>
              <w:rPr>
                <w:sz w:val="20"/>
                <w:szCs w:val="20"/>
                <w:color w:val="auto"/>
              </w:rPr>
            </w:pPr>
            <w:r>
              <w:rPr>
                <w:rFonts w:ascii="Arial" w:cs="Arial" w:eastAsia="Arial" w:hAnsi="Arial"/>
                <w:sz w:val="18"/>
                <w:szCs w:val="18"/>
                <w:color w:val="auto"/>
              </w:rPr>
              <w:t>6.625% Notes due 2056</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Denomination:</w:t>
            </w:r>
          </w:p>
        </w:tc>
        <w:tc>
          <w:tcPr>
            <w:tcW w:w="8480" w:type="dxa"/>
            <w:vAlign w:val="bottom"/>
          </w:tcPr>
          <w:p>
            <w:pPr>
              <w:ind w:left="500"/>
              <w:spacing w:after="0"/>
              <w:rPr>
                <w:sz w:val="20"/>
                <w:szCs w:val="20"/>
                <w:color w:val="auto"/>
              </w:rPr>
            </w:pPr>
            <w:r>
              <w:rPr>
                <w:rFonts w:ascii="Arial" w:cs="Arial" w:eastAsia="Arial" w:hAnsi="Arial"/>
                <w:sz w:val="18"/>
                <w:szCs w:val="18"/>
                <w:color w:val="auto"/>
              </w:rPr>
              <w:t>$25.00 (each $25.00 principal amount “a note”)</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Aggregate Principal Amount:</w:t>
            </w:r>
          </w:p>
        </w:tc>
        <w:tc>
          <w:tcPr>
            <w:tcW w:w="8480" w:type="dxa"/>
            <w:vAlign w:val="bottom"/>
          </w:tcPr>
          <w:p>
            <w:pPr>
              <w:ind w:left="500"/>
              <w:spacing w:after="0"/>
              <w:rPr>
                <w:sz w:val="20"/>
                <w:szCs w:val="20"/>
                <w:color w:val="auto"/>
              </w:rPr>
            </w:pPr>
            <w:r>
              <w:rPr>
                <w:rFonts w:ascii="Arial" w:cs="Arial" w:eastAsia="Arial" w:hAnsi="Arial"/>
                <w:sz w:val="18"/>
                <w:szCs w:val="18"/>
                <w:color w:val="auto"/>
              </w:rPr>
              <w:t>$550,000,000 (22,000,000 notes)</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8480" w:type="dxa"/>
            <w:vAlign w:val="bottom"/>
          </w:tcPr>
          <w:p>
            <w:pPr>
              <w:ind w:left="500"/>
              <w:spacing w:after="0"/>
              <w:rPr>
                <w:sz w:val="20"/>
                <w:szCs w:val="20"/>
                <w:color w:val="auto"/>
              </w:rPr>
            </w:pPr>
            <w:r>
              <w:rPr>
                <w:rFonts w:ascii="Arial" w:cs="Arial" w:eastAsia="Arial" w:hAnsi="Arial"/>
                <w:sz w:val="18"/>
                <w:szCs w:val="18"/>
                <w:color w:val="auto"/>
              </w:rPr>
              <w:t>3,300,000 notes</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Coupon:</w:t>
            </w:r>
          </w:p>
        </w:tc>
        <w:tc>
          <w:tcPr>
            <w:tcW w:w="8480" w:type="dxa"/>
            <w:vAlign w:val="bottom"/>
          </w:tcPr>
          <w:p>
            <w:pPr>
              <w:ind w:left="500"/>
              <w:spacing w:after="0"/>
              <w:rPr>
                <w:sz w:val="20"/>
                <w:szCs w:val="20"/>
                <w:color w:val="auto"/>
              </w:rPr>
            </w:pPr>
            <w:r>
              <w:rPr>
                <w:rFonts w:ascii="Arial" w:cs="Arial" w:eastAsia="Arial" w:hAnsi="Arial"/>
                <w:sz w:val="18"/>
                <w:szCs w:val="18"/>
                <w:color w:val="auto"/>
              </w:rPr>
              <w:t>6.625% per annum, accruing from May 10, 2007</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480" w:type="dxa"/>
            <w:vAlign w:val="bottom"/>
          </w:tcPr>
          <w:p>
            <w:pPr>
              <w:ind w:left="500"/>
              <w:spacing w:after="0"/>
              <w:rPr>
                <w:sz w:val="20"/>
                <w:szCs w:val="20"/>
                <w:color w:val="auto"/>
              </w:rPr>
            </w:pPr>
            <w:r>
              <w:rPr>
                <w:rFonts w:ascii="Arial" w:cs="Arial" w:eastAsia="Arial" w:hAnsi="Arial"/>
                <w:sz w:val="18"/>
                <w:szCs w:val="18"/>
                <w:color w:val="auto"/>
              </w:rPr>
              <w:t>Quarterly on May 15, August 15, November 15 and February 15, beginning on August 15, 2007</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Maturity:</w:t>
            </w:r>
          </w:p>
        </w:tc>
        <w:tc>
          <w:tcPr>
            <w:tcW w:w="8480" w:type="dxa"/>
            <w:vAlign w:val="bottom"/>
          </w:tcPr>
          <w:p>
            <w:pPr>
              <w:ind w:left="500"/>
              <w:spacing w:after="0"/>
              <w:rPr>
                <w:sz w:val="20"/>
                <w:szCs w:val="20"/>
                <w:color w:val="auto"/>
              </w:rPr>
            </w:pPr>
            <w:r>
              <w:rPr>
                <w:rFonts w:ascii="Arial" w:cs="Arial" w:eastAsia="Arial" w:hAnsi="Arial"/>
                <w:sz w:val="18"/>
                <w:szCs w:val="18"/>
                <w:color w:val="auto"/>
              </w:rPr>
              <w:t>May 15, 2056</w:t>
            </w:r>
          </w:p>
        </w:tc>
      </w:tr>
      <w:tr>
        <w:trPr>
          <w:trHeight w:val="418"/>
        </w:trPr>
        <w:tc>
          <w:tcPr>
            <w:tcW w:w="294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8480" w:type="dxa"/>
            <w:vAlign w:val="bottom"/>
          </w:tcPr>
          <w:p>
            <w:pPr>
              <w:ind w:left="500"/>
              <w:spacing w:after="0"/>
              <w:rPr>
                <w:sz w:val="20"/>
                <w:szCs w:val="20"/>
                <w:color w:val="auto"/>
              </w:rPr>
            </w:pPr>
            <w:r>
              <w:rPr>
                <w:rFonts w:ascii="Arial" w:cs="Arial" w:eastAsia="Arial" w:hAnsi="Arial"/>
                <w:sz w:val="18"/>
                <w:szCs w:val="18"/>
                <w:color w:val="auto"/>
                <w:w w:val="90"/>
              </w:rPr>
              <w:t>Comcast may redeem the notes, in whole or in part, at any time on or after May 15, 2012 at a redemption price</w:t>
            </w:r>
          </w:p>
        </w:tc>
      </w:tr>
      <w:tr>
        <w:trPr>
          <w:trHeight w:val="230"/>
        </w:trPr>
        <w:tc>
          <w:tcPr>
            <w:tcW w:w="294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Arial" w:cs="Arial" w:eastAsia="Arial" w:hAnsi="Arial"/>
                <w:sz w:val="18"/>
                <w:szCs w:val="18"/>
                <w:color w:val="auto"/>
                <w:w w:val="94"/>
              </w:rPr>
              <w:t>equal to 100% of the principal amount redeemed plus accrued and unpaid interest to the redemption date.</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8480" w:type="dxa"/>
            <w:vAlign w:val="bottom"/>
          </w:tcPr>
          <w:p>
            <w:pPr>
              <w:ind w:left="500"/>
              <w:spacing w:after="0"/>
              <w:rPr>
                <w:sz w:val="20"/>
                <w:szCs w:val="20"/>
                <w:color w:val="auto"/>
              </w:rPr>
            </w:pPr>
            <w:r>
              <w:rPr>
                <w:rFonts w:ascii="Arial" w:cs="Arial" w:eastAsia="Arial" w:hAnsi="Arial"/>
                <w:sz w:val="18"/>
                <w:szCs w:val="18"/>
                <w:color w:val="auto"/>
              </w:rPr>
              <w:t>May 10, 2007 (T+5)</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CUSIP Number:</w:t>
            </w:r>
          </w:p>
        </w:tc>
        <w:tc>
          <w:tcPr>
            <w:tcW w:w="8480" w:type="dxa"/>
            <w:vAlign w:val="bottom"/>
          </w:tcPr>
          <w:p>
            <w:pPr>
              <w:ind w:left="500"/>
              <w:spacing w:after="0"/>
              <w:rPr>
                <w:sz w:val="20"/>
                <w:szCs w:val="20"/>
                <w:color w:val="auto"/>
              </w:rPr>
            </w:pPr>
            <w:r>
              <w:rPr>
                <w:rFonts w:ascii="Arial" w:cs="Arial" w:eastAsia="Arial" w:hAnsi="Arial"/>
                <w:sz w:val="18"/>
                <w:szCs w:val="18"/>
                <w:color w:val="auto"/>
              </w:rPr>
              <w:t>20030N 507</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Public Offering Price:</w:t>
            </w:r>
          </w:p>
        </w:tc>
        <w:tc>
          <w:tcPr>
            <w:tcW w:w="8480" w:type="dxa"/>
            <w:vAlign w:val="bottom"/>
          </w:tcPr>
          <w:p>
            <w:pPr>
              <w:ind w:left="500"/>
              <w:spacing w:after="0"/>
              <w:rPr>
                <w:sz w:val="20"/>
                <w:szCs w:val="20"/>
                <w:color w:val="auto"/>
              </w:rPr>
            </w:pPr>
            <w:r>
              <w:rPr>
                <w:rFonts w:ascii="Arial" w:cs="Arial" w:eastAsia="Arial" w:hAnsi="Arial"/>
                <w:sz w:val="18"/>
                <w:szCs w:val="18"/>
                <w:color w:val="auto"/>
              </w:rPr>
              <w:t>$25.00 per note; $550,000,000 total (not including over-allotment option)</w:t>
            </w: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8480" w:type="dxa"/>
            <w:vAlign w:val="bottom"/>
          </w:tcPr>
          <w:p>
            <w:pPr>
              <w:ind w:left="500"/>
              <w:spacing w:after="0"/>
              <w:rPr>
                <w:sz w:val="20"/>
                <w:szCs w:val="20"/>
                <w:color w:val="auto"/>
              </w:rPr>
            </w:pPr>
            <w:r>
              <w:rPr>
                <w:rFonts w:ascii="Arial" w:cs="Arial" w:eastAsia="Arial" w:hAnsi="Arial"/>
                <w:sz w:val="18"/>
                <w:szCs w:val="18"/>
                <w:color w:val="auto"/>
              </w:rPr>
              <w:t>Citigroup Global Markets Inc.</w:t>
            </w:r>
          </w:p>
        </w:tc>
      </w:tr>
      <w:tr>
        <w:trPr>
          <w:trHeight w:val="632"/>
        </w:trPr>
        <w:tc>
          <w:tcPr>
            <w:tcW w:w="294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jc w:val="center"/>
        <w:ind w:right="1580"/>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jc w:val="center"/>
        <w:ind w:right="1680"/>
        <w:spacing w:after="0"/>
        <w:rPr>
          <w:sz w:val="20"/>
          <w:szCs w:val="20"/>
          <w:color w:val="auto"/>
        </w:rPr>
      </w:pPr>
      <w:r>
        <w:rPr>
          <w:rFonts w:ascii="Arial" w:cs="Arial" w:eastAsia="Arial" w:hAnsi="Arial"/>
          <w:sz w:val="18"/>
          <w:szCs w:val="18"/>
          <w:color w:val="auto"/>
        </w:rPr>
        <w:t>Incorporated</w:t>
      </w:r>
    </w:p>
    <w:p>
      <w:pPr>
        <w:sectPr>
          <w:pgSz w:w="11900" w:h="16838" w:orient="portrait"/>
          <w:cols w:equalWidth="0" w:num="1">
            <w:col w:w="11260"/>
          </w:cols>
          <w:pgMar w:left="240" w:top="1152" w:right="39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Morgan Stanley &amp; Co.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 Edwards &amp; Sons,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Dain Rauscher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03" w:lineRule="exact"/>
        <w:rPr>
          <w:sz w:val="20"/>
          <w:szCs w:val="20"/>
          <w:color w:val="auto"/>
        </w:rPr>
      </w:pPr>
    </w:p>
    <w:p>
      <w:pPr>
        <w:sectPr>
          <w:pgSz w:w="11900" w:h="16838" w:orient="portrait"/>
          <w:cols w:equalWidth="0" w:num="2">
            <w:col w:w="2720" w:space="720"/>
            <w:col w:w="7820"/>
          </w:cols>
          <w:pgMar w:left="240" w:top="1152" w:right="399" w:bottom="1440" w:gutter="0" w:footer="0" w:header="0"/>
          <w:type w:val="continuous"/>
        </w:sectPr>
      </w:pPr>
    </w:p>
    <w:p>
      <w:pPr>
        <w:spacing w:after="0" w:line="276" w:lineRule="auto"/>
        <w:rPr>
          <w:sz w:val="20"/>
          <w:szCs w:val="20"/>
          <w:color w:val="auto"/>
        </w:rPr>
      </w:pPr>
      <w:r>
        <w:rPr>
          <w:rFonts w:ascii="Arial" w:cs="Arial" w:eastAsia="Arial" w:hAnsi="Arial"/>
          <w:sz w:val="17"/>
          <w:szCs w:val="17"/>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Alternatively, the issuer, any underwriter or any dealer participating in the offering will arrange to send you the prospectus if you request it by calling Citigroup Global Markets Inc. toll-free at 1-877-858-5407 or Merrill Lynch, Pierce, Fenner &amp; Smith Incorporated toll-free at 1-866-500-5408.</w:t>
      </w:r>
    </w:p>
    <w:sectPr>
      <w:pgSz w:w="11900" w:h="16838" w:orient="portrait"/>
      <w:cols w:equalWidth="0" w:num="1">
        <w:col w:w="11260"/>
      </w:cols>
      <w:pgMar w:left="240" w:top="11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2019-12-15T06:41:34Z</dcterms:created>
  <dcterms:modified xsi:type="dcterms:W3CDTF">2019-12-15T06:41:34Z</dcterms:modified>
</cp:coreProperties>
</file>