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9"/>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24"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8-K</w:t>
      </w:r>
    </w:p>
    <w:p>
      <w:pPr>
        <w:spacing w:after="0" w:line="177"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CURRENT REPORT</w:t>
      </w:r>
    </w:p>
    <w:p>
      <w:pPr>
        <w:spacing w:after="0" w:line="3"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3" w:lineRule="exact"/>
        <w:rPr>
          <w:sz w:val="24"/>
          <w:szCs w:val="24"/>
          <w:color w:val="auto"/>
        </w:rPr>
      </w:pPr>
    </w:p>
    <w:p>
      <w:pPr>
        <w:ind w:left="216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24"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Date of Report (Date of earliest event reported): November 4, 1996</w:t>
      </w:r>
    </w:p>
    <w:p>
      <w:pPr>
        <w:spacing w:after="0" w:line="18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3" w:right="1440" w:bottom="1440" w:gutter="0" w:footer="0" w:header="0"/>
        </w:sectPr>
      </w:pPr>
    </w:p>
    <w:p>
      <w:pPr>
        <w:spacing w:after="0" w:line="177"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0-6983</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 number)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23-1709202</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4"/>
          <w:szCs w:val="24"/>
          <w:color w:val="auto"/>
        </w:rPr>
      </w:pPr>
    </w:p>
    <w:p>
      <w:pPr>
        <w:sectPr>
          <w:pgSz w:w="11900" w:h="16838" w:orient="portrait"/>
          <w:cols w:equalWidth="0" w:num="3">
            <w:col w:w="2700" w:space="540"/>
            <w:col w:w="1440" w:space="720"/>
            <w:col w:w="4819"/>
          </w:cols>
          <w:pgMar w:left="240" w:top="233" w:right="1440" w:bottom="1440" w:gutter="0" w:footer="0" w:header="0"/>
          <w:type w:val="continuous"/>
        </w:sectPr>
      </w:pPr>
    </w:p>
    <w:p>
      <w:pPr>
        <w:ind w:left="1260"/>
        <w:spacing w:after="0"/>
        <w:tabs>
          <w:tab w:leader="none" w:pos="520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0"/>
        <w:spacing w:after="0"/>
        <w:tabs>
          <w:tab w:leader="none" w:pos="52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19"/>
          </w:cols>
          <w:pgMar w:left="240" w:top="233" w:right="1440" w:bottom="1440" w:gutter="0" w:footer="0" w:header="0"/>
          <w:type w:val="continuous"/>
        </w:sectPr>
      </w:pPr>
    </w:p>
    <w:p>
      <w:pPr>
        <w:spacing w:after="0" w:line="177"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3" w:lineRule="exact"/>
        <w:rPr>
          <w:sz w:val="24"/>
          <w:szCs w:val="24"/>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8" w:lineRule="exact"/>
        <w:rPr>
          <w:sz w:val="24"/>
          <w:szCs w:val="24"/>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On November 4, 1996, Comcast Corporation issued a press release regarding its third quarter 1996 results, a copy of which is attached as Exhibit 99.1 to the Form 8-K and incorporated herein by reference.</w:t>
      </w:r>
    </w:p>
    <w:p>
      <w:pPr>
        <w:spacing w:after="0" w:line="175"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7" w:lineRule="exact"/>
        <w:rPr>
          <w:sz w:val="24"/>
          <w:szCs w:val="24"/>
          <w:color w:val="auto"/>
        </w:rPr>
      </w:pPr>
    </w:p>
    <w:p>
      <w:pPr>
        <w:ind w:left="1340" w:hanging="446"/>
        <w:spacing w:after="0"/>
        <w:tabs>
          <w:tab w:leader="none" w:pos="1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6"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99.1 - Comcast Corporation Press Release dated</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November 4, 1996.</w:t>
      </w:r>
    </w:p>
    <w:p>
      <w:pPr>
        <w:sectPr>
          <w:pgSz w:w="11900" w:h="16838" w:orient="portrait"/>
          <w:cols w:equalWidth="0" w:num="1">
            <w:col w:w="10219"/>
          </w:cols>
          <w:pgMar w:left="240" w:top="233" w:right="1440" w:bottom="1440" w:gutter="0" w:footer="0" w:header="0"/>
          <w:type w:val="continuous"/>
        </w:sectPr>
      </w:pPr>
    </w:p>
    <w:bookmarkStart w:id="1" w:name="page2"/>
    <w:bookmarkEnd w:id="1"/>
    <w:p>
      <w:pPr>
        <w:jc w:val="center"/>
        <w:ind w:right="2919"/>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10219"/>
          </w:cols>
          <w:pgMar w:left="240" w:top="638"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November 4, 1996</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J. Euteneuer</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Joseph J. Euteneuer</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Vice President and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Corporate Controller</w:t>
      </w:r>
    </w:p>
    <w:p>
      <w:pPr>
        <w:sectPr>
          <w:pgSz w:w="11900" w:h="16838" w:orient="portrait"/>
          <w:cols w:equalWidth="0" w:num="2">
            <w:col w:w="2880" w:space="720"/>
            <w:col w:w="6619"/>
          </w:cols>
          <w:pgMar w:left="240" w:top="638" w:right="1440" w:bottom="1440" w:gutter="0" w:footer="0" w:header="0"/>
          <w:type w:val="continuous"/>
        </w:sectPr>
      </w:pPr>
    </w:p>
    <w:bookmarkStart w:id="2" w:name="page3"/>
    <w:bookmarkEnd w:id="2"/>
    <w:p>
      <w:pPr>
        <w:ind w:left="296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464"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7" w:lineRule="exact"/>
        <w:rPr>
          <w:sz w:val="20"/>
          <w:szCs w:val="20"/>
          <w:color w:val="auto"/>
        </w:rPr>
      </w:pPr>
    </w:p>
    <w:p>
      <w:pPr>
        <w:sectPr>
          <w:pgSz w:w="11900" w:h="16838" w:orient="portrait"/>
          <w:cols w:equalWidth="0" w:num="2">
            <w:col w:w="1260" w:space="540"/>
            <w:col w:w="8419"/>
          </w:cols>
          <w:pgMar w:left="240" w:top="464" w:right="1440" w:bottom="1440" w:gutter="0" w:footer="0" w:header="0"/>
          <w:type w:val="continuous"/>
        </w:sect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Comcast Corporation Press Release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dated November 4, 1996</w:t>
      </w:r>
    </w:p>
    <w:p>
      <w:pPr>
        <w:sectPr>
          <w:pgSz w:w="11900" w:h="16838" w:orient="portrait"/>
          <w:cols w:equalWidth="0" w:num="1">
            <w:col w:w="10219"/>
          </w:cols>
          <w:pgMar w:left="240" w:top="464" w:right="1440" w:bottom="1440" w:gutter="0" w:footer="0" w:header="0"/>
          <w:type w:val="continuous"/>
        </w:sectPr>
      </w:pPr>
    </w:p>
    <w:bookmarkStart w:id="3" w:name="page4"/>
    <w:bookmarkEnd w:id="3"/>
    <w:p>
      <w:pPr>
        <w:ind w:left="278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Philadelphia, PA 19102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further information contact: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Alchin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981-7503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E. Dordelman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981-7550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Marlene S. Dooner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981-7392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COMCAST REPORTS THIRD QUARTER RESULTS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SEVENTH CONSECUTIVE QUARTER OF DOUBLE DIGIT</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REVENUE AND CASH FLOW GROWTH</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Philadelphia, PA - November 4, 1996... Comcast Corporation today reported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results for the three and nine months ended September 30, 1996. Revenues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three months ended September 30, 1996 were $974.6 million,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representing a 12.0% increase over the $870.2 million reported for the same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period in 1995. Operating cash flow for the third quarter of 1996 was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$295.8 million, an increase of 12.0% over the $264.1 million reported in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third quarter of 1995.</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The Company reported a net loss of $10.0 million, or $0.04 per share for the three months ended September 30, 1996, as compared to a net loss of $7.4 million, or $0.03 per share for the same period in 1995. Ongoing losses are associated with financing costs and non-cash charges, such as depreciation and amortization, principally from acquisitions, and equity in net losses of affiliates.</w:t>
      </w:r>
    </w:p>
    <w:p>
      <w:pPr>
        <w:spacing w:after="0" w:line="177" w:lineRule="exact"/>
        <w:rPr>
          <w:sz w:val="20"/>
          <w:szCs w:val="20"/>
          <w:color w:val="auto"/>
        </w:rPr>
      </w:pPr>
    </w:p>
    <w:p>
      <w:pPr>
        <w:jc w:val="both"/>
        <w:ind w:left="440" w:right="3019"/>
        <w:spacing w:after="0" w:line="244" w:lineRule="auto"/>
        <w:rPr>
          <w:sz w:val="20"/>
          <w:szCs w:val="20"/>
          <w:color w:val="auto"/>
        </w:rPr>
      </w:pPr>
      <w:r>
        <w:rPr>
          <w:rFonts w:ascii="Courier New" w:cs="Courier New" w:eastAsia="Courier New" w:hAnsi="Courier New"/>
          <w:sz w:val="15"/>
          <w:szCs w:val="15"/>
          <w:color w:val="auto"/>
        </w:rPr>
        <w:t>For the nine months ended September 30, 1996, the Company reported revenues of $2.871 billion and operating cash flow of $862.0 million as compared to revenues and operating cash flow of $2.357 billion and $744.6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right="3099"/>
        <w:spacing w:after="0" w:line="244" w:lineRule="auto"/>
        <w:rPr>
          <w:sz w:val="20"/>
          <w:szCs w:val="20"/>
          <w:color w:val="auto"/>
        </w:rPr>
      </w:pPr>
      <w:r>
        <w:rPr>
          <w:rFonts w:ascii="Courier New" w:cs="Courier New" w:eastAsia="Courier New" w:hAnsi="Courier New"/>
          <w:sz w:val="15"/>
          <w:szCs w:val="15"/>
          <w:color w:val="auto"/>
        </w:rPr>
        <w:t>respectively, for the same period in 1995. Consolidated results for the Company do not include the results of QVC prior to the acquisition date of February 1995. On a pro forma basis, as if QVC had been owned for the entire nine month period ended September 30, 1995, the Company's consolidated revenues and operating cash flow for the period ended September 30, 1996 increased 15.4% and 12.3%, respectively, over the same period in 1995.</w:t>
      </w:r>
    </w:p>
    <w:p>
      <w:pPr>
        <w:spacing w:after="0" w:line="178" w:lineRule="exact"/>
        <w:rPr>
          <w:sz w:val="20"/>
          <w:szCs w:val="20"/>
          <w:color w:val="auto"/>
        </w:rPr>
      </w:pPr>
    </w:p>
    <w:p>
      <w:pPr>
        <w:ind w:left="440" w:right="3099"/>
        <w:spacing w:after="0" w:line="244" w:lineRule="auto"/>
        <w:rPr>
          <w:sz w:val="20"/>
          <w:szCs w:val="20"/>
          <w:color w:val="auto"/>
        </w:rPr>
      </w:pPr>
      <w:r>
        <w:rPr>
          <w:rFonts w:ascii="Courier New" w:cs="Courier New" w:eastAsia="Courier New" w:hAnsi="Courier New"/>
          <w:sz w:val="15"/>
          <w:szCs w:val="15"/>
          <w:color w:val="auto"/>
        </w:rPr>
        <w:t>In the third quarter, the cable division reported revenue and operating cash flow growth of 6.6% over the prior year period. The cable division's results reflect strong growth in subscribers, which increased by more than 18,000 during the quarter as compared to approximately 10,500 customers added in the third quarter of 1995. For the twelve months ended September 30, 1996, the cable division has added almost 86,000 customers, a 2.6% growth rate.</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During the third quarter, the cellular division continued its positive operating trend, with revenues and operating cash flow increasing 12.5% and 19.5%, respectively, over the prior year period.</w:t>
      </w:r>
    </w:p>
    <w:p>
      <w:pPr>
        <w:spacing w:after="0" w:line="175" w:lineRule="exact"/>
        <w:rPr>
          <w:sz w:val="20"/>
          <w:szCs w:val="20"/>
          <w:color w:val="auto"/>
        </w:rPr>
      </w:pPr>
    </w:p>
    <w:p>
      <w:pPr>
        <w:ind w:left="440" w:right="3099"/>
        <w:spacing w:after="0" w:line="244" w:lineRule="auto"/>
        <w:rPr>
          <w:sz w:val="20"/>
          <w:szCs w:val="20"/>
          <w:color w:val="auto"/>
        </w:rPr>
      </w:pPr>
      <w:r>
        <w:rPr>
          <w:rFonts w:ascii="Courier New" w:cs="Courier New" w:eastAsia="Courier New" w:hAnsi="Courier New"/>
          <w:sz w:val="15"/>
          <w:szCs w:val="15"/>
          <w:color w:val="auto"/>
        </w:rPr>
        <w:t>QVC continued its impressive performance, with third quarter revenue and operating cash flow growth of 10.1% and 16.0%, respectively over the prior year period, despite strong competition for viewers as a result of the Summer Olympics.</w:t>
      </w:r>
    </w:p>
    <w:p>
      <w:pPr>
        <w:sectPr>
          <w:pgSz w:w="11900" w:h="16838" w:orient="portrait"/>
          <w:cols w:equalWidth="0" w:num="1">
            <w:col w:w="10219"/>
          </w:cols>
          <w:pgMar w:left="240" w:top="141" w:right="1440" w:bottom="1440" w:gutter="0" w:footer="0" w:header="0"/>
        </w:sectPr>
      </w:pPr>
    </w:p>
    <w:bookmarkStart w:id="4" w:name="page5"/>
    <w:bookmarkEnd w:id="4"/>
    <w:p>
      <w:pPr>
        <w:ind w:right="3019"/>
        <w:spacing w:after="0" w:line="244" w:lineRule="auto"/>
        <w:rPr>
          <w:sz w:val="20"/>
          <w:szCs w:val="20"/>
          <w:color w:val="auto"/>
        </w:rPr>
      </w:pPr>
      <w:r>
        <w:rPr>
          <w:rFonts w:ascii="Courier New" w:cs="Courier New" w:eastAsia="Courier New" w:hAnsi="Courier New"/>
          <w:sz w:val="15"/>
          <w:szCs w:val="15"/>
          <w:color w:val="auto"/>
        </w:rPr>
        <w:t>Brian L. Roberts, President of Comcast said, "As we gear up for an active fourth quarter we are enthusiastic about the prospects of each of our core businesses. In particular, the cable division is continuing to aggressively upgrade its network infrastructure and customer service platforms to provide a broader and richer array of programming to our customers. We believe that the capacity of our upgraded networks will provide unique opportunities to market new products and services that will support continued cable growth."</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each of our businesses, and throughout our service territories, we are delivering a range of valuable products and services to our customers. As an example, we recently opened our first Comcast Communications Center in suburban Philadelphia, a retail environment that showcases Comcast as an integrated provider of communications and entertainment services, selling and promoting all of the products available to our customer in this core market."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Comcast Corporation is principally engaged in the development, management and operation of wired telecommunications including cable television and telephone services; wireless telecommunications including cellular, personal communications services and direct to home satellite television; and content through principal ownership and management of QVC, the world's premier electronic retailer, and through majority ownership of Comcast-Spectacor and</w:t>
      </w:r>
    </w:p>
    <w:p>
      <w:pPr>
        <w:sectPr>
          <w:pgSz w:w="11900" w:h="16838" w:orient="portrait"/>
          <w:cols w:equalWidth="0" w:num="1">
            <w:col w:w="9779"/>
          </w:cols>
          <w:pgMar w:left="680" w:top="638" w:right="1440" w:bottom="1440" w:gutter="0" w:footer="0" w:header="0"/>
        </w:sectPr>
      </w:pPr>
    </w:p>
    <w:bookmarkStart w:id="5" w:name="page6"/>
    <w:bookmarkEnd w:id="5"/>
    <w:p>
      <w:pPr>
        <w:ind w:right="3279"/>
        <w:spacing w:after="0" w:line="243" w:lineRule="auto"/>
        <w:rPr>
          <w:sz w:val="20"/>
          <w:szCs w:val="20"/>
          <w:color w:val="auto"/>
        </w:rPr>
      </w:pPr>
      <w:r>
        <w:rPr>
          <w:rFonts w:ascii="Courier New" w:cs="Courier New" w:eastAsia="Courier New" w:hAnsi="Courier New"/>
          <w:sz w:val="15"/>
          <w:szCs w:val="15"/>
          <w:color w:val="auto"/>
        </w:rPr>
        <w:t>other programming investments. The Company's consolidated and affiliated operations serve more than ten million customers worldwide.</w:t>
      </w:r>
    </w:p>
    <w:p>
      <w:pPr>
        <w:spacing w:after="0" w:line="176"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Comcast's Class A and Class A Special Common Stock are traded on The NASDAQ Stock Market under the symbols CMCSA and CMCSK, respectively.</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779"/>
          </w:cols>
          <w:pgMar w:left="680" w:top="638" w:right="1440" w:bottom="1440" w:gutter="0" w:footer="0" w:header="0"/>
        </w:sectPr>
      </w:pPr>
    </w:p>
    <w:bookmarkStart w:id="6" w:name="page7"/>
    <w:bookmarkEnd w:id="6"/>
    <w:p>
      <w:pPr>
        <w:jc w:val="center"/>
        <w:ind w:right="390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Condensed Consolidated Statement of Operations (Unaudited)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(in thousands, except per share data)</w:t>
            </w:r>
          </w:p>
        </w:tc>
        <w:tc>
          <w:tcPr>
            <w:tcW w:w="1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20"/>
        </w:trPr>
        <w:tc>
          <w:tcPr>
            <w:tcW w:w="4460" w:type="dxa"/>
            <w:vAlign w:val="bottom"/>
          </w:tcPr>
          <w:p>
            <w:pPr>
              <w:spacing w:after="0"/>
              <w:rPr>
                <w:sz w:val="24"/>
                <w:szCs w:val="24"/>
                <w:color w:val="auto"/>
              </w:rPr>
            </w:pPr>
          </w:p>
        </w:tc>
        <w:tc>
          <w:tcPr>
            <w:tcW w:w="3520" w:type="dxa"/>
            <w:vAlign w:val="bottom"/>
            <w:gridSpan w:val="2"/>
          </w:tcPr>
          <w:p>
            <w:pPr>
              <w:jc w:val="right"/>
              <w:ind w:right="885"/>
              <w:spacing w:after="0"/>
              <w:rPr>
                <w:sz w:val="20"/>
                <w:szCs w:val="20"/>
                <w:color w:val="auto"/>
              </w:rPr>
            </w:pPr>
            <w:r>
              <w:rPr>
                <w:rFonts w:ascii="Courier New" w:cs="Courier New" w:eastAsia="Courier New" w:hAnsi="Courier New"/>
                <w:sz w:val="15"/>
                <w:szCs w:val="15"/>
                <w:color w:val="auto"/>
              </w:rPr>
              <w:t>Three Months Ended</w:t>
            </w:r>
          </w:p>
        </w:tc>
        <w:tc>
          <w:tcPr>
            <w:tcW w:w="320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460" w:type="dxa"/>
            <w:vAlign w:val="bottom"/>
          </w:tcPr>
          <w:p>
            <w:pPr>
              <w:spacing w:after="0"/>
              <w:rPr>
                <w:sz w:val="15"/>
                <w:szCs w:val="15"/>
                <w:color w:val="auto"/>
              </w:rPr>
            </w:pPr>
          </w:p>
        </w:tc>
        <w:tc>
          <w:tcPr>
            <w:tcW w:w="3520" w:type="dxa"/>
            <w:vAlign w:val="bottom"/>
            <w:gridSpan w:val="2"/>
          </w:tcPr>
          <w:p>
            <w:pPr>
              <w:jc w:val="right"/>
              <w:ind w:right="1065"/>
              <w:spacing w:after="0"/>
              <w:rPr>
                <w:sz w:val="20"/>
                <w:szCs w:val="20"/>
                <w:color w:val="auto"/>
              </w:rPr>
            </w:pPr>
            <w:r>
              <w:rPr>
                <w:rFonts w:ascii="Courier New" w:cs="Courier New" w:eastAsia="Courier New" w:hAnsi="Courier New"/>
                <w:sz w:val="15"/>
                <w:szCs w:val="15"/>
                <w:color w:val="auto"/>
              </w:rPr>
              <w:t>September 30,</w:t>
            </w:r>
          </w:p>
        </w:tc>
        <w:tc>
          <w:tcPr>
            <w:tcW w:w="32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1996</w:t>
            </w:r>
          </w:p>
        </w:tc>
        <w:tc>
          <w:tcPr>
            <w:tcW w:w="17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$543,540</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$478,758</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$1,584,000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$1,381,510</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431,023</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391,491</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1,286,869</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975,917</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974,563</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870,249</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2,870,869</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2,357,427</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262,338</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234,369</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774,718</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584,615</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3"/>
        </w:trPr>
        <w:tc>
          <w:tcPr>
            <w:tcW w:w="446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416,415</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371,736</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1,234,144</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1,028,238</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Cash Flow</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295,810</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264,144</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862,007</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744,574</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78,325</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59,244</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223,718</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278,610</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88,393</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88,388</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267,272</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256,065</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135,742</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137,816</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403,735</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388,367</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(16,215)</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(44,727)</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(63,706)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(202,307)</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Equity in Net Losses of Affiliates</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28,877</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25,628</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89,198</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63,534</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Gain from Equity Offering of Affiliate</w:t>
            </w:r>
          </w:p>
        </w:tc>
        <w:tc>
          <w:tcPr>
            <w:tcW w:w="18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(40,638)</w:t>
            </w:r>
          </w:p>
        </w:tc>
        <w:tc>
          <w:tcPr>
            <w:tcW w:w="1400" w:type="dxa"/>
            <w:vAlign w:val="bottom"/>
          </w:tcPr>
          <w:p>
            <w:pPr>
              <w:spacing w:after="0"/>
              <w:rPr>
                <w:sz w:val="15"/>
                <w:szCs w:val="15"/>
                <w:color w:val="auto"/>
              </w:rPr>
            </w:pP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(293)</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(5,891)</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22,673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(5,523)</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314,829</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260,458</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902,252</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778,746</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and Extraordinary Items</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(19,019)</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3,686</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(40,245)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(34,172)</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9,282</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18,435</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33,894</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32,470</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(18,329)</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(12,796)</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(47,423)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(34,767)</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(9,972)</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(1,953)</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(26,716)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(31,875)</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0" w:type="dxa"/>
            <w:vAlign w:val="bottom"/>
          </w:tcPr>
          <w:p>
            <w:pPr>
              <w:spacing w:after="0"/>
              <w:rPr>
                <w:sz w:val="24"/>
                <w:szCs w:val="24"/>
                <w:color w:val="auto"/>
              </w:rPr>
            </w:pP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(5,407)</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(1,013)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(5,407)</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($9,972)</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($7,360)</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($27,729)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($37,282)</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Loss Before Extraordinary Items</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($0.04)</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($0.01)</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($0.11)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1800" w:type="dxa"/>
            <w:vAlign w:val="bottom"/>
          </w:tcPr>
          <w:p>
            <w:pPr>
              <w:spacing w:after="0"/>
              <w:rPr>
                <w:sz w:val="15"/>
                <w:szCs w:val="15"/>
                <w:color w:val="auto"/>
              </w:rPr>
            </w:pP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(0.02)</w:t>
            </w:r>
          </w:p>
        </w:tc>
        <w:tc>
          <w:tcPr>
            <w:tcW w:w="18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($0.04)</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($0.03)</w:t>
            </w:r>
          </w:p>
        </w:tc>
        <w:tc>
          <w:tcPr>
            <w:tcW w:w="1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($0.11)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Outstanding During the Period</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233,318</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239,819</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236,189</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239,634</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Cash Dividends per Share</w:t>
            </w: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$0.023</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$0.023</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$0.070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$0.070</w:t>
            </w:r>
          </w:p>
        </w:tc>
      </w:tr>
      <w:tr>
        <w:trPr>
          <w:trHeight w:val="173"/>
        </w:trPr>
        <w:tc>
          <w:tcPr>
            <w:tcW w:w="4460" w:type="dxa"/>
            <w:vAlign w:val="bottom"/>
          </w:tcPr>
          <w:p>
            <w:pPr>
              <w:spacing w:after="0"/>
              <w:rPr>
                <w:sz w:val="15"/>
                <w:szCs w:val="15"/>
                <w:color w:val="auto"/>
              </w:rPr>
            </w:pPr>
          </w:p>
        </w:tc>
        <w:tc>
          <w:tcPr>
            <w:tcW w:w="18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80"/>
          </w:cols>
          <w:pgMar w:left="240" w:top="638" w:right="479" w:bottom="1440" w:gutter="0" w:footer="0" w:header="0"/>
        </w:sectPr>
      </w:pPr>
    </w:p>
    <w:bookmarkStart w:id="7" w:name="page8"/>
    <w:bookmarkEnd w:id="7"/>
    <w:p>
      <w:pPr>
        <w:jc w:val="center"/>
        <w:ind w:right="293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Condensed Consolidated Balance Sheet (Unaudited)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September 30,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4820" w:type="dxa"/>
            <w:vAlign w:val="bottom"/>
          </w:tcPr>
          <w:p>
            <w:pPr>
              <w:spacing w:after="0"/>
              <w:rPr>
                <w:sz w:val="15"/>
                <w:szCs w:val="15"/>
                <w:color w:val="auto"/>
              </w:rPr>
            </w:pPr>
          </w:p>
        </w:tc>
        <w:tc>
          <w:tcPr>
            <w:tcW w:w="18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 Investments</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$526,662</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$910,043</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350,675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390,698</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256,251</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243,447</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123,748</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109,470</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1,278,733</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906,383</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2,051,562</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1,643,602</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5,241,677</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5,376,665</w:t>
            </w:r>
          </w:p>
        </w:tc>
      </w:tr>
      <w:tr>
        <w:trPr>
          <w:trHeight w:val="173"/>
        </w:trPr>
        <w:tc>
          <w:tcPr>
            <w:tcW w:w="4820" w:type="dxa"/>
            <w:vAlign w:val="bottom"/>
          </w:tcPr>
          <w:p>
            <w:pPr>
              <w:spacing w:after="0"/>
              <w:rPr>
                <w:sz w:val="15"/>
                <w:szCs w:val="15"/>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$9,829,308</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$9,580,308</w:t>
            </w:r>
          </w:p>
        </w:tc>
      </w:tr>
      <w:tr>
        <w:trPr>
          <w:trHeight w:val="173"/>
        </w:trPr>
        <w:tc>
          <w:tcPr>
            <w:tcW w:w="4820" w:type="dxa"/>
            <w:vAlign w:val="bottom"/>
          </w:tcPr>
          <w:p>
            <w:pPr>
              <w:spacing w:after="0"/>
              <w:rPr>
                <w:sz w:val="15"/>
                <w:szCs w:val="15"/>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$1,140,964</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$1,122,069</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7,233,745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6,943,766</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1,501,820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1,517,995</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891,492</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824,129</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Stockholders' Deficiency</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(938,713)</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(827,651)</w:t>
            </w:r>
          </w:p>
        </w:tc>
      </w:tr>
      <w:tr>
        <w:trPr>
          <w:trHeight w:val="173"/>
        </w:trPr>
        <w:tc>
          <w:tcPr>
            <w:tcW w:w="4820" w:type="dxa"/>
            <w:vAlign w:val="bottom"/>
          </w:tcPr>
          <w:p>
            <w:pPr>
              <w:spacing w:after="0"/>
              <w:rPr>
                <w:sz w:val="15"/>
                <w:szCs w:val="15"/>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&amp; Stockholders' Deficiency</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$9,829,308</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$9,580,308</w:t>
            </w:r>
          </w:p>
        </w:tc>
      </w:tr>
      <w:tr>
        <w:trPr>
          <w:trHeight w:val="173"/>
        </w:trPr>
        <w:tc>
          <w:tcPr>
            <w:tcW w:w="4820" w:type="dxa"/>
            <w:vAlign w:val="bottom"/>
          </w:tcPr>
          <w:p>
            <w:pPr>
              <w:spacing w:after="0"/>
              <w:rPr>
                <w:sz w:val="15"/>
                <w:szCs w:val="15"/>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38" w:right="1440" w:bottom="1440" w:gutter="0" w:footer="0" w:header="0"/>
        </w:sectPr>
      </w:pPr>
    </w:p>
    <w:bookmarkStart w:id="8" w:name="page9"/>
    <w:bookmarkEnd w:id="8"/>
    <w:p>
      <w:pPr>
        <w:jc w:val="center"/>
        <w:ind w:right="4212"/>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Pro Forma Financial and Other Data by Business Segment (Unaudited) (1)</w:t>
      </w:r>
    </w:p>
    <w:p>
      <w:pPr>
        <w:spacing w:after="0" w:line="3"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w:t>
            </w:r>
          </w:p>
        </w:tc>
        <w:tc>
          <w:tcPr>
            <w:tcW w:w="1660" w:type="dxa"/>
            <w:vAlign w:val="bottom"/>
          </w:tcPr>
          <w:p>
            <w:pPr>
              <w:spacing w:after="0"/>
              <w:rPr>
                <w:sz w:val="14"/>
                <w:szCs w:val="14"/>
                <w:color w:val="auto"/>
              </w:rPr>
            </w:pPr>
          </w:p>
        </w:tc>
        <w:tc>
          <w:tcPr>
            <w:tcW w:w="1640" w:type="dxa"/>
            <w:vAlign w:val="bottom"/>
          </w:tcPr>
          <w:p>
            <w:pPr>
              <w:jc w:val="center"/>
              <w:ind w:left="5"/>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spacing w:after="0"/>
              <w:rPr>
                <w:sz w:val="14"/>
                <w:szCs w:val="14"/>
                <w:color w:val="auto"/>
              </w:rPr>
            </w:pPr>
          </w:p>
        </w:tc>
      </w:tr>
      <w:tr>
        <w:trPr>
          <w:trHeight w:val="173"/>
        </w:trPr>
        <w:tc>
          <w:tcPr>
            <w:tcW w:w="3680" w:type="dxa"/>
            <w:vAlign w:val="bottom"/>
          </w:tcPr>
          <w:p>
            <w:pPr>
              <w:spacing w:after="0"/>
              <w:rPr>
                <w:sz w:val="15"/>
                <w:szCs w:val="15"/>
                <w:color w:val="auto"/>
              </w:rPr>
            </w:pP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Domestic</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Electronic</w:t>
            </w:r>
          </w:p>
        </w:tc>
        <w:tc>
          <w:tcPr>
            <w:tcW w:w="1660" w:type="dxa"/>
            <w:vAlign w:val="bottom"/>
          </w:tcPr>
          <w:p>
            <w:pPr>
              <w:spacing w:after="0"/>
              <w:rPr>
                <w:sz w:val="15"/>
                <w:szCs w:val="15"/>
                <w:color w:val="auto"/>
              </w:rPr>
            </w:pPr>
          </w:p>
        </w:tc>
        <w:tc>
          <w:tcPr>
            <w:tcW w:w="16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Corporate</w:t>
            </w:r>
          </w:p>
        </w:tc>
        <w:tc>
          <w:tcPr>
            <w:tcW w:w="124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5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Cable</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Retailing</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Cellular</w:t>
            </w:r>
          </w:p>
        </w:tc>
        <w:tc>
          <w:tcPr>
            <w:tcW w:w="16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and Other</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Total</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1996</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$392,619</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$431,023</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$110,020</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$40,901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$974,563</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Cash Flow (Deficit)</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193,875</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69,238</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47,739</w:t>
            </w:r>
          </w:p>
        </w:tc>
        <w:tc>
          <w:tcPr>
            <w:tcW w:w="16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(15,042)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295,810</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67,025</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19,317</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32,475</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52,483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171,300</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1995</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$368,453</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$391,491</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$97,830</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$12,475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$870,249</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Cash Flow (Deficit)</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181,955</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59,705</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39,955</w:t>
            </w:r>
          </w:p>
        </w:tc>
        <w:tc>
          <w:tcPr>
            <w:tcW w:w="16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(17,471)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264,144</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69,395</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7,465</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24,020</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36,731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137,611</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1996</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$1,170,951</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$1,286,869</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$317,116</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$95,933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$2,870,869</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Cash Flow (Deficit)</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578,880</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208,646</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118,826</w:t>
            </w:r>
          </w:p>
        </w:tc>
        <w:tc>
          <w:tcPr>
            <w:tcW w:w="16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(44,345)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862,007</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203,841</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38,864</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69,026</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138,474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450,205</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1995</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$1,078,033</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$1,107,386</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$274,243</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$28,139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$2,487,801</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Cash Flow (Deficit)</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529,655</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178,501</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110,736</w:t>
            </w:r>
          </w:p>
        </w:tc>
        <w:tc>
          <w:tcPr>
            <w:tcW w:w="16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(51,519)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767,373</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180,437</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21,516</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191,983</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88,214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482,150</w:t>
            </w:r>
          </w:p>
        </w:tc>
      </w:tr>
    </w:tbl>
    <w:p>
      <w:pPr>
        <w:spacing w:after="0" w:line="178" w:lineRule="exact"/>
        <w:rPr>
          <w:sz w:val="20"/>
          <w:szCs w:val="20"/>
          <w:color w:val="auto"/>
        </w:rPr>
      </w:pPr>
    </w:p>
    <w:p>
      <w:pPr>
        <w:ind w:left="448" w:right="4320" w:hanging="448"/>
        <w:spacing w:after="0" w:line="244"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acquired QVC in February 1995. Pro forma financial data by business segment is presented as if the QVC acquisition occurred at the beginning of 1995. Accordingly, each period presented includes QVC's operating results for the entire period. The information presented above is not necessarily indicative of what the results would have been had the Company operated QVC since the beginning of 1995. Historical financial data by business segment is available in the Company's Quarterly Report on Form 10-Q.</w:t>
      </w:r>
    </w:p>
    <w:p>
      <w:pPr>
        <w:spacing w:after="0" w:line="178" w:lineRule="exact"/>
        <w:rPr>
          <w:rFonts w:ascii="Courier New" w:cs="Courier New" w:eastAsia="Courier New" w:hAnsi="Courier New"/>
          <w:sz w:val="15"/>
          <w:szCs w:val="15"/>
          <w:color w:val="auto"/>
        </w:rPr>
      </w:pPr>
    </w:p>
    <w:p>
      <w:pPr>
        <w:ind w:left="448" w:right="4400" w:hanging="448"/>
        <w:spacing w:after="0" w:line="244"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April 1, 1995, QVC began consolidating its United Kingdom operations. Pro forma financial data by business segment for periods prior to April 1, 1995 excludes QVC's United Kingdom operations. For the three months ended March 31, 1995, revenues of QVC's United Kingdom operations were $7.4 million and operating cash flow (deficit) was ($2.2 million).</w:t>
      </w:r>
    </w:p>
    <w:p>
      <w:pPr>
        <w:spacing w:after="0" w:line="176" w:lineRule="exact"/>
        <w:rPr>
          <w:rFonts w:ascii="Courier New" w:cs="Courier New" w:eastAsia="Courier New" w:hAnsi="Courier New"/>
          <w:sz w:val="15"/>
          <w:szCs w:val="15"/>
          <w:color w:val="auto"/>
        </w:rPr>
      </w:pPr>
    </w:p>
    <w:p>
      <w:pPr>
        <w:ind w:left="448" w:right="4500" w:hanging="448"/>
        <w:spacing w:after="0" w:line="243"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and other includes certain operating businesses and elimination entries related to the segments presented.</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Data</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(at end of period)</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3Q95-</w:t>
            </w:r>
          </w:p>
        </w:tc>
      </w:tr>
      <w:tr>
        <w:trPr>
          <w:trHeight w:val="173"/>
        </w:trPr>
        <w:tc>
          <w:tcPr>
            <w:tcW w:w="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3Q96</w:t>
            </w:r>
          </w:p>
        </w:tc>
      </w:tr>
      <w:tr>
        <w:trPr>
          <w:trHeight w:val="173"/>
        </w:trPr>
        <w:tc>
          <w:tcPr>
            <w:tcW w:w="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3Q95</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2Q96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3Q96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Growth</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Domestic Cable</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Homes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Passed</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5,547</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5,624</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5,649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Cable Subscribers</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3,361</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3,429</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Cable Penetration</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60.6%</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 pts.</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Primestar Subscribers</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81</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134.9%</w:t>
            </w:r>
          </w:p>
        </w:tc>
      </w:tr>
    </w:tbl>
    <w:p>
      <w:pPr>
        <w:spacing w:after="0" w:line="1" w:lineRule="exact"/>
        <w:rPr>
          <w:sz w:val="20"/>
          <w:szCs w:val="20"/>
          <w:color w:val="auto"/>
        </w:rPr>
      </w:pPr>
    </w:p>
    <w:sectPr>
      <w:pgSz w:w="11900" w:h="16838" w:orient="portrait"/>
      <w:cols w:equalWidth="0" w:num="1">
        <w:col w:w="11528"/>
      </w:cols>
      <w:pgMar w:left="232" w:top="464"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2019-12-12T23:16:52Z</dcterms:created>
  <dcterms:modified xsi:type="dcterms:W3CDTF">2019-12-12T23:16:52Z</dcterms:modified>
</cp:coreProperties>
</file>