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November 23, 2015</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333-191239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62865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 EFFECTIVE AMENDMENT NO. 2</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line="230" w:lineRule="auto"/>
        <w:rPr>
          <w:sz w:val="20"/>
          <w:szCs w:val="20"/>
          <w:color w:val="auto"/>
        </w:rPr>
      </w:pPr>
      <w:r>
        <w:rPr>
          <w:rFonts w:ascii="Arial" w:cs="Arial" w:eastAsia="Arial" w:hAnsi="Arial"/>
          <w:sz w:val="22"/>
          <w:szCs w:val="22"/>
          <w:b w:val="1"/>
          <w:bCs w:val="1"/>
          <w:color w:val="auto"/>
        </w:rPr>
        <w:t>FORM S-3</w:t>
      </w: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8"/>
          <w:szCs w:val="18"/>
          <w:b w:val="1"/>
          <w:bCs w:val="1"/>
          <w:i w:val="1"/>
          <w:iCs w:val="1"/>
          <w:color w:val="auto"/>
        </w:rPr>
        <w:t>UNDER THE SECURITIES ACT OF 1933</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-311785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NBCUniversal Media, LLC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Cable Communications,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Registrants as Specified in Their Charters)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45085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7" w:lineRule="exact"/>
        <w:rPr>
          <w:sz w:val="24"/>
          <w:szCs w:val="24"/>
          <w:color w:val="auto"/>
        </w:rPr>
      </w:pPr>
    </w:p>
    <w:tbl>
      <w:tblPr>
        <w:tblLayout w:type="fixed"/>
        <w:tblInd w:w="140" w:type="dxa"/>
        <w:tblCellMar>
          <w:top w:w="0" w:type="dxa"/>
          <w:left w:w="0" w:type="dxa"/>
          <w:bottom w:w="0" w:type="dxa"/>
          <w:right w:w="0" w:type="dxa"/>
        </w:tblCellMar>
      </w:tblPr>
      <w:tr>
        <w:trPr>
          <w:trHeight w:val="161"/>
        </w:trPr>
        <w:tc>
          <w:tcPr>
            <w:tcW w:w="4060" w:type="dxa"/>
            <w:vAlign w:val="bottom"/>
          </w:tcPr>
          <w:p>
            <w:pPr>
              <w:jc w:val="center"/>
              <w:ind w:right="392"/>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w w:val="90"/>
              </w:rPr>
              <w:t>(I.R.S. Employer Identification Number)</w:t>
            </w:r>
          </w:p>
        </w:tc>
        <w:tc>
          <w:tcPr>
            <w:tcW w:w="3760" w:type="dxa"/>
            <w:vAlign w:val="bottom"/>
          </w:tcPr>
          <w:p>
            <w:pPr>
              <w:jc w:val="center"/>
              <w:ind w:left="412"/>
              <w:spacing w:after="0"/>
              <w:rPr>
                <w:sz w:val="20"/>
                <w:szCs w:val="20"/>
                <w:color w:val="auto"/>
              </w:rPr>
            </w:pPr>
            <w:r>
              <w:rPr>
                <w:rFonts w:ascii="Arial" w:cs="Arial" w:eastAsia="Arial" w:hAnsi="Arial"/>
                <w:sz w:val="14"/>
                <w:szCs w:val="14"/>
                <w:b w:val="1"/>
                <w:bCs w:val="1"/>
                <w:color w:val="auto"/>
                <w:w w:val="87"/>
              </w:rPr>
              <w:t>(Address, Including Zip Code, and Telephone Number,</w:t>
            </w:r>
          </w:p>
        </w:tc>
      </w:tr>
      <w:tr>
        <w:trPr>
          <w:trHeight w:val="149"/>
        </w:trPr>
        <w:tc>
          <w:tcPr>
            <w:tcW w:w="40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76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7"/>
              </w:rPr>
              <w:t>Including Area Code, of Registrant’s Principal Executive</w:t>
            </w:r>
          </w:p>
        </w:tc>
      </w:tr>
      <w:tr>
        <w:trPr>
          <w:trHeight w:val="149"/>
        </w:trPr>
        <w:tc>
          <w:tcPr>
            <w:tcW w:w="40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76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4"/>
              </w:rPr>
              <w:t>Offices)</w:t>
            </w:r>
          </w:p>
        </w:tc>
      </w:tr>
      <w:tr>
        <w:trPr>
          <w:trHeight w:val="149"/>
        </w:trPr>
        <w:tc>
          <w:tcPr>
            <w:tcW w:w="4060" w:type="dxa"/>
            <w:vAlign w:val="bottom"/>
          </w:tcPr>
          <w:p>
            <w:pPr>
              <w:jc w:val="center"/>
              <w:ind w:right="392"/>
              <w:spacing w:after="0" w:line="149" w:lineRule="exact"/>
              <w:rPr>
                <w:sz w:val="20"/>
                <w:szCs w:val="20"/>
                <w:color w:val="auto"/>
              </w:rPr>
            </w:pPr>
            <w:r>
              <w:rPr>
                <w:rFonts w:ascii="Arial" w:cs="Arial" w:eastAsia="Arial" w:hAnsi="Arial"/>
                <w:sz w:val="14"/>
                <w:szCs w:val="14"/>
                <w:b w:val="1"/>
                <w:bCs w:val="1"/>
                <w:color w:val="auto"/>
                <w:w w:val="84"/>
              </w:rPr>
              <w:t>Pennsylvania</w:t>
            </w:r>
          </w:p>
        </w:tc>
        <w:tc>
          <w:tcPr>
            <w:tcW w:w="3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27-0000798</w:t>
            </w:r>
          </w:p>
        </w:tc>
        <w:tc>
          <w:tcPr>
            <w:tcW w:w="376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6"/>
              </w:rPr>
              <w:t>One Comcast Center</w:t>
            </w:r>
          </w:p>
        </w:tc>
      </w:tr>
      <w:tr>
        <w:trPr>
          <w:trHeight w:val="149"/>
        </w:trPr>
        <w:tc>
          <w:tcPr>
            <w:tcW w:w="40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76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6"/>
              </w:rPr>
              <w:t>Philadelphia, Pennsylvania 19103-2838</w:t>
            </w:r>
          </w:p>
        </w:tc>
      </w:tr>
      <w:tr>
        <w:trPr>
          <w:trHeight w:val="162"/>
        </w:trPr>
        <w:tc>
          <w:tcPr>
            <w:tcW w:w="40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760" w:type="dxa"/>
            <w:vAlign w:val="bottom"/>
          </w:tcPr>
          <w:p>
            <w:pPr>
              <w:jc w:val="center"/>
              <w:ind w:left="412"/>
              <w:spacing w:after="0"/>
              <w:rPr>
                <w:sz w:val="20"/>
                <w:szCs w:val="20"/>
                <w:color w:val="auto"/>
              </w:rPr>
            </w:pPr>
            <w:r>
              <w:rPr>
                <w:rFonts w:ascii="Arial" w:cs="Arial" w:eastAsia="Arial" w:hAnsi="Arial"/>
                <w:sz w:val="14"/>
                <w:szCs w:val="14"/>
                <w:b w:val="1"/>
                <w:bCs w:val="1"/>
                <w:color w:val="auto"/>
                <w:w w:val="87"/>
              </w:rPr>
              <w:t>(215) 286-1700</w:t>
            </w:r>
          </w:p>
        </w:tc>
      </w:tr>
      <w:tr>
        <w:trPr>
          <w:trHeight w:val="149"/>
        </w:trPr>
        <w:tc>
          <w:tcPr>
            <w:tcW w:w="4060" w:type="dxa"/>
            <w:vAlign w:val="bottom"/>
          </w:tcPr>
          <w:p>
            <w:pPr>
              <w:jc w:val="center"/>
              <w:ind w:right="372"/>
              <w:spacing w:after="0" w:line="149" w:lineRule="exact"/>
              <w:rPr>
                <w:sz w:val="20"/>
                <w:szCs w:val="20"/>
                <w:color w:val="auto"/>
              </w:rPr>
            </w:pPr>
            <w:r>
              <w:rPr>
                <w:rFonts w:ascii="Arial" w:cs="Arial" w:eastAsia="Arial" w:hAnsi="Arial"/>
                <w:sz w:val="14"/>
                <w:szCs w:val="14"/>
                <w:b w:val="1"/>
                <w:bCs w:val="1"/>
                <w:color w:val="auto"/>
                <w:w w:val="87"/>
              </w:rPr>
              <w:t>Delaware</w:t>
            </w:r>
          </w:p>
        </w:tc>
        <w:tc>
          <w:tcPr>
            <w:tcW w:w="3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14-1682529</w:t>
            </w:r>
          </w:p>
        </w:tc>
        <w:tc>
          <w:tcPr>
            <w:tcW w:w="376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87"/>
              </w:rPr>
              <w:t>30 Rockefeller Plaza</w:t>
            </w:r>
          </w:p>
        </w:tc>
      </w:tr>
      <w:tr>
        <w:trPr>
          <w:trHeight w:val="149"/>
        </w:trPr>
        <w:tc>
          <w:tcPr>
            <w:tcW w:w="40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76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88"/>
              </w:rPr>
              <w:t>New York, New York 10112-0015</w:t>
            </w:r>
          </w:p>
        </w:tc>
      </w:tr>
      <w:tr>
        <w:trPr>
          <w:trHeight w:val="162"/>
        </w:trPr>
        <w:tc>
          <w:tcPr>
            <w:tcW w:w="40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760" w:type="dxa"/>
            <w:vAlign w:val="bottom"/>
          </w:tcPr>
          <w:p>
            <w:pPr>
              <w:jc w:val="center"/>
              <w:ind w:left="412"/>
              <w:spacing w:after="0"/>
              <w:rPr>
                <w:sz w:val="20"/>
                <w:szCs w:val="20"/>
                <w:color w:val="auto"/>
              </w:rPr>
            </w:pPr>
            <w:r>
              <w:rPr>
                <w:rFonts w:ascii="Arial" w:cs="Arial" w:eastAsia="Arial" w:hAnsi="Arial"/>
                <w:sz w:val="14"/>
                <w:szCs w:val="14"/>
                <w:b w:val="1"/>
                <w:bCs w:val="1"/>
                <w:color w:val="auto"/>
                <w:w w:val="87"/>
              </w:rPr>
              <w:t>(212) 664-4444</w:t>
            </w:r>
          </w:p>
        </w:tc>
      </w:tr>
      <w:tr>
        <w:trPr>
          <w:trHeight w:val="149"/>
        </w:trPr>
        <w:tc>
          <w:tcPr>
            <w:tcW w:w="4060" w:type="dxa"/>
            <w:vAlign w:val="bottom"/>
          </w:tcPr>
          <w:p>
            <w:pPr>
              <w:jc w:val="center"/>
              <w:ind w:right="372"/>
              <w:spacing w:after="0" w:line="149" w:lineRule="exact"/>
              <w:rPr>
                <w:sz w:val="20"/>
                <w:szCs w:val="20"/>
                <w:color w:val="auto"/>
              </w:rPr>
            </w:pPr>
            <w:r>
              <w:rPr>
                <w:rFonts w:ascii="Arial" w:cs="Arial" w:eastAsia="Arial" w:hAnsi="Arial"/>
                <w:sz w:val="14"/>
                <w:szCs w:val="14"/>
                <w:b w:val="1"/>
                <w:bCs w:val="1"/>
                <w:color w:val="auto"/>
                <w:w w:val="87"/>
              </w:rPr>
              <w:t>Delaware</w:t>
            </w:r>
          </w:p>
        </w:tc>
        <w:tc>
          <w:tcPr>
            <w:tcW w:w="3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23-2175755</w:t>
            </w:r>
          </w:p>
        </w:tc>
        <w:tc>
          <w:tcPr>
            <w:tcW w:w="376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6"/>
              </w:rPr>
              <w:t>One Comcast Center</w:t>
            </w:r>
          </w:p>
        </w:tc>
      </w:tr>
      <w:tr>
        <w:trPr>
          <w:trHeight w:val="149"/>
        </w:trPr>
        <w:tc>
          <w:tcPr>
            <w:tcW w:w="40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76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6"/>
              </w:rPr>
              <w:t>Philadelphia, Pennsylvania 19103-2838</w:t>
            </w:r>
          </w:p>
        </w:tc>
      </w:tr>
      <w:tr>
        <w:trPr>
          <w:trHeight w:val="174"/>
        </w:trPr>
        <w:tc>
          <w:tcPr>
            <w:tcW w:w="40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760" w:type="dxa"/>
            <w:vAlign w:val="bottom"/>
          </w:tcPr>
          <w:p>
            <w:pPr>
              <w:jc w:val="center"/>
              <w:ind w:left="412"/>
              <w:spacing w:after="0"/>
              <w:rPr>
                <w:sz w:val="20"/>
                <w:szCs w:val="20"/>
                <w:color w:val="auto"/>
              </w:rPr>
            </w:pPr>
            <w:r>
              <w:rPr>
                <w:rFonts w:ascii="Arial" w:cs="Arial" w:eastAsia="Arial" w:hAnsi="Arial"/>
                <w:sz w:val="14"/>
                <w:szCs w:val="14"/>
                <w:b w:val="1"/>
                <w:bCs w:val="1"/>
                <w:color w:val="auto"/>
                <w:w w:val="87"/>
              </w:rPr>
              <w:t>(215) 286-1700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Arthur R. Block, Esq.</w:t>
      </w:r>
    </w:p>
    <w:p>
      <w:pPr>
        <w:jc w:val="center"/>
        <w:spacing w:after="0" w:line="223" w:lineRule="auto"/>
        <w:rPr>
          <w:sz w:val="20"/>
          <w:szCs w:val="20"/>
          <w:color w:val="auto"/>
        </w:rPr>
      </w:pPr>
      <w:r>
        <w:rPr>
          <w:rFonts w:ascii="Arial" w:cs="Arial" w:eastAsia="Arial" w:hAnsi="Arial"/>
          <w:sz w:val="14"/>
          <w:szCs w:val="14"/>
          <w:b w:val="1"/>
          <w:bCs w:val="1"/>
          <w:color w:val="auto"/>
        </w:rPr>
        <w:t>Executive Vice President,</w:t>
      </w:r>
    </w:p>
    <w:p>
      <w:pPr>
        <w:jc w:val="center"/>
        <w:spacing w:after="0" w:line="222" w:lineRule="auto"/>
        <w:rPr>
          <w:sz w:val="20"/>
          <w:szCs w:val="20"/>
          <w:color w:val="auto"/>
        </w:rPr>
      </w:pPr>
      <w:r>
        <w:rPr>
          <w:rFonts w:ascii="Arial" w:cs="Arial" w:eastAsia="Arial" w:hAnsi="Arial"/>
          <w:sz w:val="14"/>
          <w:szCs w:val="14"/>
          <w:b w:val="1"/>
          <w:bCs w:val="1"/>
          <w:color w:val="auto"/>
        </w:rPr>
        <w:t>General Counsel and Secretary</w:t>
      </w:r>
    </w:p>
    <w:p>
      <w:pPr>
        <w:jc w:val="center"/>
        <w:spacing w:after="0" w:line="221" w:lineRule="auto"/>
        <w:rPr>
          <w:sz w:val="20"/>
          <w:szCs w:val="20"/>
          <w:color w:val="auto"/>
        </w:rPr>
      </w:pPr>
      <w:r>
        <w:rPr>
          <w:rFonts w:ascii="Arial" w:cs="Arial" w:eastAsia="Arial" w:hAnsi="Arial"/>
          <w:sz w:val="14"/>
          <w:szCs w:val="14"/>
          <w:b w:val="1"/>
          <w:bCs w:val="1"/>
          <w:color w:val="auto"/>
        </w:rPr>
        <w:t>Comcast Corporation</w:t>
      </w:r>
    </w:p>
    <w:p>
      <w:pPr>
        <w:jc w:val="center"/>
        <w:spacing w:after="0" w:line="222" w:lineRule="auto"/>
        <w:rPr>
          <w:sz w:val="20"/>
          <w:szCs w:val="20"/>
          <w:color w:val="auto"/>
        </w:rPr>
      </w:pPr>
      <w:r>
        <w:rPr>
          <w:rFonts w:ascii="Arial" w:cs="Arial" w:eastAsia="Arial" w:hAnsi="Arial"/>
          <w:sz w:val="14"/>
          <w:szCs w:val="14"/>
          <w:b w:val="1"/>
          <w:bCs w:val="1"/>
          <w:color w:val="auto"/>
        </w:rPr>
        <w:t>One Comcast Center</w:t>
      </w:r>
    </w:p>
    <w:p>
      <w:pPr>
        <w:jc w:val="center"/>
        <w:spacing w:after="0" w:line="221" w:lineRule="auto"/>
        <w:rPr>
          <w:sz w:val="20"/>
          <w:szCs w:val="20"/>
          <w:color w:val="auto"/>
        </w:rPr>
      </w:pPr>
      <w:r>
        <w:rPr>
          <w:rFonts w:ascii="Arial" w:cs="Arial" w:eastAsia="Arial" w:hAnsi="Arial"/>
          <w:sz w:val="14"/>
          <w:szCs w:val="14"/>
          <w:b w:val="1"/>
          <w:bCs w:val="1"/>
          <w:color w:val="auto"/>
        </w:rPr>
        <w:t>Philadelphia, Pennsylvania 19103-2838</w:t>
      </w:r>
    </w:p>
    <w:p>
      <w:pPr>
        <w:jc w:val="center"/>
        <w:spacing w:after="0" w:line="222" w:lineRule="auto"/>
        <w:rPr>
          <w:sz w:val="20"/>
          <w:szCs w:val="20"/>
          <w:color w:val="auto"/>
        </w:rPr>
      </w:pPr>
      <w:r>
        <w:rPr>
          <w:rFonts w:ascii="Arial" w:cs="Arial" w:eastAsia="Arial" w:hAnsi="Arial"/>
          <w:sz w:val="14"/>
          <w:szCs w:val="14"/>
          <w:b w:val="1"/>
          <w:bCs w:val="1"/>
          <w:color w:val="auto"/>
        </w:rPr>
        <w:t>(215) 286-1700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93980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Copy to:</w:t>
      </w:r>
    </w:p>
    <w:p>
      <w:pPr>
        <w:jc w:val="center"/>
        <w:spacing w:after="0" w:line="221" w:lineRule="auto"/>
        <w:rPr>
          <w:sz w:val="20"/>
          <w:szCs w:val="20"/>
          <w:color w:val="auto"/>
        </w:rPr>
      </w:pPr>
      <w:r>
        <w:rPr>
          <w:rFonts w:ascii="Arial" w:cs="Arial" w:eastAsia="Arial" w:hAnsi="Arial"/>
          <w:sz w:val="14"/>
          <w:szCs w:val="14"/>
          <w:b w:val="1"/>
          <w:bCs w:val="1"/>
          <w:color w:val="auto"/>
        </w:rPr>
        <w:t>Bruce K. Dallas, Esq.</w:t>
      </w:r>
    </w:p>
    <w:p>
      <w:pPr>
        <w:jc w:val="center"/>
        <w:spacing w:after="0" w:line="221" w:lineRule="auto"/>
        <w:rPr>
          <w:sz w:val="20"/>
          <w:szCs w:val="20"/>
          <w:color w:val="auto"/>
        </w:rPr>
      </w:pPr>
      <w:r>
        <w:rPr>
          <w:rFonts w:ascii="Arial" w:cs="Arial" w:eastAsia="Arial" w:hAnsi="Arial"/>
          <w:sz w:val="14"/>
          <w:szCs w:val="14"/>
          <w:b w:val="1"/>
          <w:bCs w:val="1"/>
          <w:color w:val="auto"/>
        </w:rPr>
        <w:t>Davis Polk &amp; Wardwell LLP</w:t>
      </w:r>
    </w:p>
    <w:p>
      <w:pPr>
        <w:jc w:val="center"/>
        <w:spacing w:after="0" w:line="222" w:lineRule="auto"/>
        <w:rPr>
          <w:sz w:val="20"/>
          <w:szCs w:val="20"/>
          <w:color w:val="auto"/>
        </w:rPr>
      </w:pPr>
      <w:r>
        <w:rPr>
          <w:rFonts w:ascii="Arial" w:cs="Arial" w:eastAsia="Arial" w:hAnsi="Arial"/>
          <w:sz w:val="14"/>
          <w:szCs w:val="14"/>
          <w:b w:val="1"/>
          <w:bCs w:val="1"/>
          <w:color w:val="auto"/>
        </w:rPr>
        <w:t>1600 El Camino Real</w:t>
      </w:r>
    </w:p>
    <w:p>
      <w:pPr>
        <w:jc w:val="center"/>
        <w:spacing w:after="0" w:line="221" w:lineRule="auto"/>
        <w:rPr>
          <w:sz w:val="20"/>
          <w:szCs w:val="20"/>
          <w:color w:val="auto"/>
        </w:rPr>
      </w:pPr>
      <w:r>
        <w:rPr>
          <w:rFonts w:ascii="Arial" w:cs="Arial" w:eastAsia="Arial" w:hAnsi="Arial"/>
          <w:sz w:val="14"/>
          <w:szCs w:val="14"/>
          <w:b w:val="1"/>
          <w:bCs w:val="1"/>
          <w:color w:val="auto"/>
        </w:rPr>
        <w:t>Menlo Park, California 94025</w:t>
      </w:r>
    </w:p>
    <w:p>
      <w:pPr>
        <w:jc w:val="center"/>
        <w:spacing w:after="0"/>
        <w:rPr>
          <w:sz w:val="20"/>
          <w:szCs w:val="20"/>
          <w:color w:val="auto"/>
        </w:rPr>
      </w:pPr>
      <w:r>
        <w:rPr>
          <w:rFonts w:ascii="Arial" w:cs="Arial" w:eastAsia="Arial" w:hAnsi="Arial"/>
          <w:sz w:val="14"/>
          <w:szCs w:val="14"/>
          <w:b w:val="1"/>
          <w:bCs w:val="1"/>
          <w:color w:val="auto"/>
        </w:rPr>
        <w:t>(650) 752-2000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From time to time after this Registration Statement becomes effective.</w:t>
      </w:r>
    </w:p>
    <w:p>
      <w:pPr>
        <w:spacing w:after="0" w:line="46"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94" w:lineRule="exact"/>
        <w:rPr>
          <w:sz w:val="24"/>
          <w:szCs w:val="24"/>
          <w:color w:val="auto"/>
        </w:rPr>
      </w:pPr>
    </w:p>
    <w:p>
      <w:pPr>
        <w:ind w:right="580" w:firstLine="342"/>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44" w:lineRule="exact"/>
        <w:rPr>
          <w:sz w:val="24"/>
          <w:szCs w:val="24"/>
          <w:color w:val="auto"/>
        </w:rPr>
      </w:pPr>
    </w:p>
    <w:p>
      <w:pPr>
        <w:ind w:right="40" w:firstLine="342"/>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4" w:lineRule="exact"/>
        <w:rPr>
          <w:sz w:val="24"/>
          <w:szCs w:val="24"/>
          <w:color w:val="auto"/>
        </w:rPr>
      </w:pPr>
    </w:p>
    <w:p>
      <w:pPr>
        <w:ind w:right="1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4" w:lineRule="exact"/>
        <w:rPr>
          <w:sz w:val="24"/>
          <w:szCs w:val="24"/>
          <w:color w:val="auto"/>
        </w:rPr>
      </w:pPr>
    </w:p>
    <w:p>
      <w:pPr>
        <w:ind w:firstLine="342"/>
        <w:spacing w:after="0" w:line="168"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44" w:lineRule="exact"/>
        <w:rPr>
          <w:sz w:val="24"/>
          <w:szCs w:val="24"/>
          <w:color w:val="auto"/>
        </w:rPr>
      </w:pPr>
    </w:p>
    <w:p>
      <w:pPr>
        <w:ind w:right="38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44" w:lineRule="exact"/>
        <w:rPr>
          <w:sz w:val="24"/>
          <w:szCs w:val="24"/>
          <w:color w:val="auto"/>
        </w:rPr>
      </w:pPr>
    </w:p>
    <w:p>
      <w:pPr>
        <w:ind w:right="500" w:firstLine="342"/>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3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4180" w:type="dxa"/>
            <w:vAlign w:val="bottom"/>
          </w:tcPr>
          <w:p>
            <w:pPr>
              <w:ind w:left="236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5300" w:type="dxa"/>
            <w:vAlign w:val="bottom"/>
          </w:tcPr>
          <w:p>
            <w:pPr>
              <w:ind w:left="2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4180" w:type="dxa"/>
            <w:vAlign w:val="bottom"/>
          </w:tcPr>
          <w:p>
            <w:pPr>
              <w:ind w:left="236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41"/>
        </w:trPr>
        <w:tc>
          <w:tcPr>
            <w:tcW w:w="1480" w:type="dxa"/>
            <w:vAlign w:val="bottom"/>
            <w:tcBorders>
              <w:bottom w:val="single" w:sz="8" w:color="auto"/>
            </w:tcBorders>
          </w:tcPr>
          <w:p>
            <w:pPr>
              <w:spacing w:after="0"/>
              <w:rPr>
                <w:sz w:val="3"/>
                <w:szCs w:val="3"/>
                <w:color w:val="auto"/>
              </w:rPr>
            </w:pPr>
          </w:p>
        </w:tc>
        <w:tc>
          <w:tcPr>
            <w:tcW w:w="5300" w:type="dxa"/>
            <w:vAlign w:val="bottom"/>
            <w:tcBorders>
              <w:bottom w:val="single" w:sz="8" w:color="auto"/>
            </w:tcBorders>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34"/>
        </w:trPr>
        <w:tc>
          <w:tcPr>
            <w:tcW w:w="148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EXPLANATORY NOTE</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Post-Effective Amendment No. 2 to the Registrant’s Registration Statement on Form S-3 (Registration No. 333-191239) (the “Registration Statement”) is being filed pursuant to Rule 462(e) of the Securities Act of 1933, as amended, to reflect the merger of certain guarantors. In October 2015, Comcast Cable Holdings, LLC, Comcast MO of Delaware, LLC and Comcast MO Group, LLC merged with and into Comcast Cable Communications, LLC.</w:t>
      </w:r>
    </w:p>
    <w:p>
      <w:pPr>
        <w:sectPr>
          <w:pgSz w:w="11900" w:h="16838" w:orient="portrait"/>
          <w:cols w:equalWidth="0" w:num="1">
            <w:col w:w="11080"/>
          </w:cols>
          <w:pgMar w:left="240" w:top="459" w:right="5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872490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194945</wp:posOffset>
            </wp:positionV>
            <wp:extent cx="1397635" cy="488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 Purchase contracts</w:t>
            </w:r>
          </w:p>
        </w:tc>
        <w:tc>
          <w:tcPr>
            <w:tcW w:w="3960" w:type="dxa"/>
            <w:vAlign w:val="bottom"/>
            <w:gridSpan w:val="2"/>
          </w:tcPr>
          <w:p>
            <w:pPr>
              <w:ind w:left="1620"/>
              <w:spacing w:after="0"/>
              <w:rPr>
                <w:sz w:val="20"/>
                <w:szCs w:val="20"/>
                <w:color w:val="auto"/>
              </w:rPr>
            </w:pPr>
            <w:r>
              <w:rPr>
                <w:rFonts w:ascii="Arial" w:cs="Arial" w:eastAsia="Arial" w:hAnsi="Arial"/>
                <w:sz w:val="18"/>
                <w:szCs w:val="18"/>
                <w:color w:val="auto"/>
              </w:rPr>
              <w:t>• Class A common stock</w:t>
            </w: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 Units</w:t>
            </w:r>
          </w:p>
        </w:tc>
        <w:tc>
          <w:tcPr>
            <w:tcW w:w="3960" w:type="dxa"/>
            <w:vAlign w:val="bottom"/>
            <w:gridSpan w:val="2"/>
          </w:tcPr>
          <w:p>
            <w:pPr>
              <w:ind w:left="1620"/>
              <w:spacing w:after="0"/>
              <w:rPr>
                <w:sz w:val="20"/>
                <w:szCs w:val="20"/>
                <w:color w:val="auto"/>
              </w:rPr>
            </w:pPr>
            <w:r>
              <w:rPr>
                <w:rFonts w:ascii="Arial" w:cs="Arial" w:eastAsia="Arial" w:hAnsi="Arial"/>
                <w:sz w:val="18"/>
                <w:szCs w:val="18"/>
                <w:color w:val="auto"/>
                <w:w w:val="89"/>
              </w:rPr>
              <w:t>• Class A Special common stock</w:t>
            </w:r>
          </w:p>
        </w:tc>
      </w:tr>
    </w:tbl>
    <w:p>
      <w:pPr>
        <w:spacing w:after="0" w:line="156"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Class A common stock and Class A Special common stock are quoted on the Nasdaq Global Select Market under the ticker symbols “CMCSA” and “CMCSK”. On November 20, 2015, the reported last sale prices on the Nasdaq Global Select Market for our Class A common stock and our Class A Special common stock were $62.90 and $63.01,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Maturity</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Dividends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w w:val="87"/>
              </w:rPr>
              <w:t>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Redemption terms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Listing on a securities exchange</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Subsidiary guarantees</w:t>
            </w:r>
          </w:p>
        </w:tc>
      </w:tr>
      <w:tr>
        <w:trPr>
          <w:trHeight w:val="222"/>
        </w:trPr>
        <w:tc>
          <w:tcPr>
            <w:tcW w:w="2280" w:type="dxa"/>
            <w:vAlign w:val="bottom"/>
            <w:gridSpan w:val="2"/>
          </w:tcPr>
          <w:p>
            <w:pPr>
              <w:spacing w:after="0"/>
              <w:rPr>
                <w:sz w:val="20"/>
                <w:szCs w:val="20"/>
                <w:color w:val="auto"/>
              </w:rPr>
            </w:pPr>
            <w:r>
              <w:rPr>
                <w:rFonts w:ascii="Arial" w:cs="Arial" w:eastAsia="Arial" w:hAnsi="Arial"/>
                <w:sz w:val="18"/>
                <w:szCs w:val="18"/>
                <w:color w:val="auto"/>
              </w:rPr>
              <w:t>• Currency of payments</w:t>
            </w:r>
          </w:p>
        </w:tc>
        <w:tc>
          <w:tcPr>
            <w:tcW w:w="3720" w:type="dxa"/>
            <w:vAlign w:val="bottom"/>
            <w:gridSpan w:val="2"/>
          </w:tcPr>
          <w:p>
            <w:pPr>
              <w:ind w:left="580"/>
              <w:spacing w:after="0"/>
              <w:rPr>
                <w:sz w:val="20"/>
                <w:szCs w:val="20"/>
                <w:color w:val="auto"/>
              </w:rPr>
            </w:pPr>
            <w:r>
              <w:rPr>
                <w:rFonts w:ascii="Arial" w:cs="Arial" w:eastAsia="Arial" w:hAnsi="Arial"/>
                <w:sz w:val="18"/>
                <w:szCs w:val="18"/>
                <w:color w:val="auto"/>
              </w:rPr>
              <w:t>• Amount payable at maturity</w:t>
            </w: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760" w:firstLine="456"/>
        <w:spacing w:after="0" w:line="339"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30 of Comcast’s and NBCUniversal’s combined annual report on Form 10-K for the year ended December 31, 2014,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2"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170815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November 23, 2015</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520" w:type="dxa"/>
            <w:vAlign w:val="bottom"/>
            <w:gridSpan w:val="3"/>
          </w:tcPr>
          <w:p>
            <w:pPr>
              <w:ind w:left="2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377"/>
        </w:trPr>
        <w:tc>
          <w:tcPr>
            <w:tcW w:w="1120" w:type="dxa"/>
            <w:vAlign w:val="bottom"/>
            <w:gridSpan w:val="3"/>
            <w:vMerge w:val="restart"/>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The Companies</w:t>
              </w:r>
            </w:hyperlink>
          </w:p>
        </w:tc>
        <w:tc>
          <w:tcPr>
            <w:tcW w:w="9920" w:type="dxa"/>
            <w:vAlign w:val="bottom"/>
            <w:gridSpan w:val="12"/>
            <w:vMerge w:val="restart"/>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20" w:type="dxa"/>
            <w:vAlign w:val="bottom"/>
            <w:tcBorders>
              <w:bottom w:val="single" w:sz="8" w:color="0000EE"/>
            </w:tcBorders>
            <w:gridSpan w:val="3"/>
            <w:vMerge w:val="continue"/>
          </w:tcPr>
          <w:p>
            <w:pPr>
              <w:spacing w:after="0"/>
              <w:rPr>
                <w:sz w:val="13"/>
                <w:szCs w:val="13"/>
                <w:color w:val="auto"/>
              </w:rPr>
            </w:pPr>
          </w:p>
        </w:tc>
        <w:tc>
          <w:tcPr>
            <w:tcW w:w="9920" w:type="dxa"/>
            <w:vAlign w:val="bottom"/>
            <w:gridSpan w:val="12"/>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Caution Concerning Forward-Looking Statements</w:t>
              </w:r>
            </w:hyperlink>
          </w:p>
        </w:tc>
        <w:tc>
          <w:tcPr>
            <w:tcW w:w="7500" w:type="dxa"/>
            <w:vAlign w:val="bottom"/>
            <w:gridSpan w:val="4"/>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Dividend Policy</w:t>
              </w:r>
            </w:hyperlink>
          </w:p>
        </w:tc>
        <w:tc>
          <w:tcPr>
            <w:tcW w:w="988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Ratios of Earnings to Fixed Charges and of Earnings to Combined Fixed Charges and Preferred Dividends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Description of Debt Securities and Guarantees</w:t>
              </w:r>
            </w:hyperlink>
          </w:p>
        </w:tc>
        <w:tc>
          <w:tcPr>
            <w:tcW w:w="3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Global Securities</w:t>
              </w:r>
            </w:hyperlink>
          </w:p>
        </w:tc>
        <w:tc>
          <w:tcPr>
            <w:tcW w:w="77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Description of Capital Stock</w:t>
              </w:r>
            </w:hyperlink>
          </w:p>
        </w:tc>
        <w:tc>
          <w:tcPr>
            <w:tcW w:w="902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Plan of Distribution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Legal Matters</w:t>
              </w:r>
            </w:hyperlink>
          </w:p>
        </w:tc>
        <w:tc>
          <w:tcPr>
            <w:tcW w:w="96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Experts</w:t>
              </w:r>
            </w:hyperlink>
          </w:p>
        </w:tc>
        <w:tc>
          <w:tcPr>
            <w:tcW w:w="100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Available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Incorporation of Certain Documents by Reference</w:t>
              </w:r>
            </w:hyperlink>
          </w:p>
        </w:tc>
        <w:tc>
          <w:tcPr>
            <w:tcW w:w="75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refer to Comcast Corporation in this prospectus as “Comcast;” Comcast and its consolidated subsidiaries, including NBCUniversal, as “we,” “us,” “our” or comparable terms and to Comcast Holdings Corporation as “Comcast Holdings.” We refer to NBCUniversal Media, LLC as “NBCUniversal,” Comcast Cable Communications, LLC as “Comcast Cable,” and both of them collectively as the “Guarantors.”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 The Cable Networks, Broadcast Television, Filmed Entertainment and Theme Parks segments comprise the NBCUniversal businesses (collectively, the “NBCUniversal segments”).</w:t>
      </w:r>
    </w:p>
    <w:p>
      <w:pPr>
        <w:spacing w:after="0" w:line="56" w:lineRule="exact"/>
        <w:rPr>
          <w:sz w:val="20"/>
          <w:szCs w:val="20"/>
          <w:color w:val="auto"/>
        </w:rPr>
      </w:pPr>
    </w:p>
    <w:p>
      <w:pPr>
        <w:ind w:left="900" w:right="240" w:hanging="325"/>
        <w:spacing w:after="0" w:line="262"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Cable Communications</w:t>
      </w:r>
      <w:r>
        <w:rPr>
          <w:rFonts w:ascii="Arial" w:cs="Arial" w:eastAsia="Arial" w:hAnsi="Arial"/>
          <w:sz w:val="18"/>
          <w:szCs w:val="18"/>
          <w:color w:val="auto"/>
        </w:rPr>
        <w:t>: Consists of the operations of Comcast Cable, which is one of the nation’s largest providers of video,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and voice services to residential customers under the XFINITY brand, and we also provide these and other services to businesses and sell advertising.</w:t>
      </w:r>
    </w:p>
    <w:p>
      <w:pPr>
        <w:spacing w:after="0" w:line="51" w:lineRule="exact"/>
        <w:rPr>
          <w:rFonts w:ascii="Arial" w:cs="Arial" w:eastAsia="Arial" w:hAnsi="Arial"/>
          <w:sz w:val="18"/>
          <w:szCs w:val="18"/>
          <w:color w:val="auto"/>
        </w:rPr>
      </w:pPr>
    </w:p>
    <w:p>
      <w:pPr>
        <w:ind w:left="900" w:right="20" w:hanging="325"/>
        <w:spacing w:after="0" w:line="275"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networks, our regional sports and news networks, our international cable networks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cable television production operations.</w:t>
      </w:r>
    </w:p>
    <w:p>
      <w:pPr>
        <w:spacing w:after="0" w:line="38" w:lineRule="exact"/>
        <w:rPr>
          <w:rFonts w:ascii="Arial" w:cs="Arial" w:eastAsia="Arial" w:hAnsi="Arial"/>
          <w:sz w:val="18"/>
          <w:szCs w:val="18"/>
          <w:color w:val="auto"/>
        </w:rPr>
      </w:pPr>
    </w:p>
    <w:p>
      <w:pPr>
        <w:ind w:left="900" w:hanging="325"/>
        <w:spacing w:after="0" w:line="275"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NBC and Telemundo owned local broadcast television</w:t>
      </w:r>
      <w:r>
        <w:rPr>
          <w:rFonts w:ascii="Arial" w:cs="Arial" w:eastAsia="Arial" w:hAnsi="Arial"/>
          <w:sz w:val="18"/>
          <w:szCs w:val="18"/>
          <w:b w:val="1"/>
          <w:bCs w:val="1"/>
          <w:color w:val="auto"/>
        </w:rPr>
        <w:t xml:space="preserve"> </w:t>
      </w:r>
      <w:r>
        <w:rPr>
          <w:rFonts w:ascii="Arial" w:cs="Arial" w:eastAsia="Arial" w:hAnsi="Arial"/>
          <w:sz w:val="18"/>
          <w:szCs w:val="18"/>
          <w:color w:val="auto"/>
        </w:rPr>
        <w:t>stations, the NBC Universo national cable network, and our broadcast television production operations.</w:t>
      </w:r>
    </w:p>
    <w:p>
      <w:pPr>
        <w:spacing w:after="0" w:line="38" w:lineRule="exact"/>
        <w:rPr>
          <w:rFonts w:ascii="Arial" w:cs="Arial" w:eastAsia="Arial" w:hAnsi="Arial"/>
          <w:sz w:val="18"/>
          <w:szCs w:val="18"/>
          <w:color w:val="auto"/>
        </w:rPr>
      </w:pPr>
    </w:p>
    <w:p>
      <w:pPr>
        <w:ind w:left="900" w:right="160" w:hanging="325"/>
        <w:spacing w:after="0" w:line="275"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studio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38"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177"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In 2014, our Cable Communications segment generated 64% of our consolidated revenue and 79% of our operating income before depreciation and amortization. The Cable Networks, Broadcast Television, Filmed Entertainment and Theme Parks segments comprise NBCUniversal’s businesses.</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a description of the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1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make any payment of principal, interest or premium, if any, on or repay, repurchase or redeem any debt securities of that Guarantor.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NBCUniversal is one of the world’s leading media and entertainment companies. It develops, produces and distributes entertainment, news and information, sports and other content for global audiences and owns and operates a diversified and integrated portfolio of some of the most recognizable media brands in the world.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2014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900" w:right="4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consumer behavior driven by new products and services may adversely affect our businesses and challenge existing business models;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advertising expenditures or changes in advertising markets could negatively impact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to existing statutes, rules, regulations, or interpretations thereof, or adoption of new ones, could have an adverse effect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our Cable Communications segment’s businesses;</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 ;</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intend to pay quarterly dividends at an annual rate currently of $1.00 per share, although each dividend is subject to approval by our Board of Directors.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retains the right to change our dividend policy at any time.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 CHARGES AND PREFERRED DIVIDENDS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Arial" w:cs="Arial" w:eastAsia="Arial" w:hAnsi="Arial"/>
                <w:sz w:val="14"/>
                <w:szCs w:val="14"/>
                <w:b w:val="1"/>
                <w:bCs w:val="1"/>
                <w:color w:val="auto"/>
                <w:w w:val="91"/>
              </w:rPr>
              <w:t>For the Nine Months</w:t>
            </w:r>
          </w:p>
        </w:tc>
        <w:tc>
          <w:tcPr>
            <w:tcW w:w="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2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w w:val="87"/>
              </w:rPr>
              <w:t>For the Years Ended December 31,</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1300" w:type="dxa"/>
            <w:vAlign w:val="bottom"/>
            <w:vMerge w:val="restart"/>
          </w:tcPr>
          <w:p>
            <w:pPr>
              <w:ind w:left="40"/>
              <w:spacing w:after="0" w:line="149" w:lineRule="exact"/>
              <w:rPr>
                <w:sz w:val="20"/>
                <w:szCs w:val="20"/>
                <w:color w:val="auto"/>
              </w:rPr>
            </w:pPr>
            <w:r>
              <w:rPr>
                <w:rFonts w:ascii="Arial" w:cs="Arial" w:eastAsia="Arial" w:hAnsi="Arial"/>
                <w:sz w:val="14"/>
                <w:szCs w:val="14"/>
                <w:b w:val="1"/>
                <w:bCs w:val="1"/>
                <w:color w:val="auto"/>
                <w:w w:val="87"/>
              </w:rPr>
              <w:t>Ended September 30,</w:t>
            </w:r>
          </w:p>
        </w:tc>
        <w:tc>
          <w:tcPr>
            <w:tcW w:w="680" w:type="dxa"/>
            <w:vAlign w:val="bottom"/>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gridSpan w:val="4"/>
            <w:vMerge w:val="continue"/>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56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jc w:val="right"/>
              <w:ind w:right="446"/>
              <w:spacing w:after="0"/>
              <w:rPr>
                <w:sz w:val="20"/>
                <w:szCs w:val="20"/>
                <w:color w:val="auto"/>
              </w:rPr>
            </w:pPr>
            <w:r>
              <w:rPr>
                <w:rFonts w:ascii="Arial" w:cs="Arial" w:eastAsia="Arial" w:hAnsi="Arial"/>
                <w:sz w:val="14"/>
                <w:szCs w:val="14"/>
                <w:b w:val="1"/>
                <w:bCs w:val="1"/>
                <w:color w:val="auto"/>
              </w:rPr>
              <w:t>2015</w:t>
            </w:r>
          </w:p>
        </w:tc>
        <w:tc>
          <w:tcPr>
            <w:tcW w:w="238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Arial" w:cs="Arial" w:eastAsia="Arial" w:hAnsi="Arial"/>
                <w:sz w:val="14"/>
                <w:szCs w:val="14"/>
                <w:b w:val="1"/>
                <w:bCs w:val="1"/>
                <w:color w:val="auto"/>
              </w:rPr>
              <w:t>2013</w:t>
            </w:r>
          </w:p>
        </w:tc>
        <w:tc>
          <w:tcPr>
            <w:tcW w:w="2200" w:type="dxa"/>
            <w:vAlign w:val="bottom"/>
            <w:gridSpan w:val="3"/>
          </w:tcPr>
          <w:p>
            <w:pPr>
              <w:jc w:val="right"/>
              <w:ind w:right="61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5"/>
                <w:szCs w:val="15"/>
                <w:color w:val="auto"/>
              </w:rPr>
            </w:pPr>
          </w:p>
        </w:tc>
        <w:tc>
          <w:tcPr>
            <w:tcW w:w="1700" w:type="dxa"/>
            <w:vAlign w:val="bottom"/>
          </w:tcPr>
          <w:p>
            <w:pPr>
              <w:jc w:val="right"/>
              <w:ind w:right="64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1600" w:type="dxa"/>
            <w:vAlign w:val="bottom"/>
          </w:tcPr>
          <w:p>
            <w:pPr>
              <w:jc w:val="right"/>
              <w:ind w:right="58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03"/>
        </w:trPr>
        <w:tc>
          <w:tcPr>
            <w:tcW w:w="5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5.51x</w:t>
            </w:r>
          </w:p>
        </w:tc>
        <w:tc>
          <w:tcPr>
            <w:tcW w:w="6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5.22x</w:t>
            </w:r>
          </w:p>
        </w:tc>
        <w:tc>
          <w:tcPr>
            <w:tcW w:w="1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ind w:left="302"/>
              <w:spacing w:after="0" w:line="203" w:lineRule="exact"/>
              <w:rPr>
                <w:sz w:val="20"/>
                <w:szCs w:val="20"/>
                <w:color w:val="auto"/>
              </w:rPr>
            </w:pPr>
            <w:r>
              <w:rPr>
                <w:rFonts w:ascii="Arial" w:cs="Arial" w:eastAsia="Arial" w:hAnsi="Arial"/>
                <w:sz w:val="18"/>
                <w:szCs w:val="18"/>
                <w:color w:val="auto"/>
                <w:w w:val="86"/>
              </w:rPr>
              <w:t>4.85x</w:t>
            </w: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4.82x</w:t>
            </w: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4.04x</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3.57x</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5"/>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Our debt securities, consisting of notes, debentures or other evidences of indebtedness, may be issued from time to time in one or more series under a senior indenture dated September 18, 2013, entered into among us, the Guarantors and The Bank of New York Mellon, as trustee.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is included as an exhibit to the registration statement of which this prospectus is a part.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900" w:right="56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Debt</w:t>
      </w:r>
      <w:r>
        <w:rPr>
          <w:rFonts w:ascii="Arial" w:cs="Arial" w:eastAsia="Arial" w:hAnsi="Arial"/>
          <w:sz w:val="18"/>
          <w:szCs w:val="18"/>
          <w:color w:val="auto"/>
        </w:rPr>
        <w:t>” means, with respect to an Obligor, the sum of the following as of the date of determination:</w:t>
      </w:r>
    </w:p>
    <w:p>
      <w:pPr>
        <w:spacing w:after="0" w:line="96" w:lineRule="exact"/>
        <w:rPr>
          <w:sz w:val="20"/>
          <w:szCs w:val="20"/>
          <w:color w:val="auto"/>
        </w:rPr>
      </w:pPr>
    </w:p>
    <w:p>
      <w:pPr>
        <w:ind w:right="320" w:firstLine="464"/>
        <w:spacing w:after="0" w:line="268"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and</w:t>
      </w:r>
    </w:p>
    <w:p>
      <w:pPr>
        <w:spacing w:after="0" w:line="131" w:lineRule="exact"/>
        <w:rPr>
          <w:rFonts w:ascii="Arial" w:cs="Arial" w:eastAsia="Arial" w:hAnsi="Arial"/>
          <w:sz w:val="18"/>
          <w:szCs w:val="18"/>
          <w:color w:val="auto"/>
        </w:rPr>
      </w:pPr>
    </w:p>
    <w:p>
      <w:pPr>
        <w:ind w:right="460" w:firstLine="464"/>
        <w:spacing w:after="0" w:line="268"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Liens</w:t>
      </w:r>
      <w:r>
        <w:rPr>
          <w:rFonts w:ascii="Arial" w:cs="Arial" w:eastAsia="Arial" w:hAnsi="Arial"/>
          <w:sz w:val="18"/>
          <w:szCs w:val="18"/>
          <w:color w:val="auto"/>
        </w:rPr>
        <w:t>” means in connection with a sale and lease-back transaction of an Obligor the lesser of:</w:t>
      </w:r>
    </w:p>
    <w:p>
      <w:pPr>
        <w:spacing w:after="0" w:line="96" w:lineRule="exact"/>
        <w:rPr>
          <w:sz w:val="20"/>
          <w:szCs w:val="20"/>
          <w:color w:val="auto"/>
        </w:rPr>
      </w:pPr>
    </w:p>
    <w:p>
      <w:pPr>
        <w:ind w:right="480" w:firstLine="464"/>
        <w:spacing w:after="0" w:line="268"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34"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97"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of any Person means, as of any date of determination, stockholders’ equity or members’ capital of such Person as reflected on the most recent consolidated balance sheet of such Person and prepared in accordance with GAAP.</w:t>
      </w:r>
    </w:p>
    <w:p>
      <w:pPr>
        <w:spacing w:after="0" w:line="120" w:lineRule="exact"/>
        <w:rPr>
          <w:sz w:val="20"/>
          <w:szCs w:val="20"/>
          <w:color w:val="auto"/>
        </w:rPr>
      </w:pPr>
    </w:p>
    <w:p>
      <w:pPr>
        <w:ind w:right="80" w:firstLine="456"/>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89" w:lineRule="exact"/>
        <w:rPr>
          <w:sz w:val="20"/>
          <w:szCs w:val="20"/>
          <w:color w:val="auto"/>
        </w:rPr>
      </w:pPr>
    </w:p>
    <w:p>
      <w:pPr>
        <w:ind w:right="160" w:firstLine="456"/>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Governmental Obligations</w:t>
      </w:r>
      <w:r>
        <w:rPr>
          <w:rFonts w:ascii="Arial" w:cs="Arial" w:eastAsia="Arial" w:hAnsi="Arial"/>
          <w:sz w:val="15"/>
          <w:szCs w:val="15"/>
          <w:color w:val="auto"/>
        </w:rPr>
        <w:t>”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0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08"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us and the Guarantors.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with respect to an Obligor:</w:t>
      </w:r>
    </w:p>
    <w:p>
      <w:pPr>
        <w:spacing w:after="0" w:line="96" w:lineRule="exact"/>
        <w:rPr>
          <w:sz w:val="20"/>
          <w:szCs w:val="20"/>
          <w:color w:val="auto"/>
        </w:rPr>
      </w:pPr>
    </w:p>
    <w:p>
      <w:pPr>
        <w:ind w:right="120" w:firstLine="464"/>
        <w:spacing w:after="0" w:line="259"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20" w:lineRule="exact"/>
        <w:rPr>
          <w:sz w:val="20"/>
          <w:szCs w:val="20"/>
          <w:color w:val="auto"/>
        </w:rPr>
      </w:pPr>
    </w:p>
    <w:p>
      <w:pPr>
        <w:ind w:left="700" w:hanging="236"/>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 the importation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goods;</w:t>
      </w:r>
    </w:p>
    <w:p>
      <w:pPr>
        <w:spacing w:after="0" w:line="164" w:lineRule="exact"/>
        <w:rPr>
          <w:rFonts w:ascii="Arial" w:cs="Arial" w:eastAsia="Arial" w:hAnsi="Arial"/>
          <w:sz w:val="16"/>
          <w:szCs w:val="16"/>
          <w:color w:val="auto"/>
        </w:rPr>
      </w:pPr>
    </w:p>
    <w:p>
      <w:pPr>
        <w:ind w:right="60" w:firstLine="464"/>
        <w:spacing w:after="0" w:line="268"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right="160" w:firstLine="464"/>
        <w:spacing w:after="0" w:line="268"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right="360" w:firstLine="464"/>
        <w:spacing w:after="0" w:line="259" w:lineRule="auto"/>
        <w:tabs>
          <w:tab w:leader="none" w:pos="6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ind w:right="320" w:firstLine="464"/>
        <w:spacing w:after="0" w:line="259"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40" w:lineRule="exact"/>
        <w:rPr>
          <w:rFonts w:ascii="Arial" w:cs="Arial" w:eastAsia="Arial" w:hAnsi="Arial"/>
          <w:sz w:val="18"/>
          <w:szCs w:val="18"/>
          <w:color w:val="auto"/>
        </w:rPr>
      </w:pPr>
    </w:p>
    <w:p>
      <w:pPr>
        <w:ind w:right="360" w:firstLine="464"/>
        <w:spacing w:after="0" w:line="268" w:lineRule="auto"/>
        <w:tabs>
          <w:tab w:leader="none" w:pos="6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right="380" w:firstLine="464"/>
        <w:spacing w:after="0" w:line="268" w:lineRule="auto"/>
        <w:tabs>
          <w:tab w:leader="none" w:pos="6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64"/>
        <w:spacing w:after="0" w:line="268" w:lineRule="auto"/>
        <w:tabs>
          <w:tab w:leader="none" w:pos="754" w:val="left"/>
        </w:tabs>
        <w:numPr>
          <w:ilvl w:val="1"/>
          <w:numId w:val="12"/>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right="240" w:firstLine="464"/>
        <w:spacing w:after="0" w:line="268" w:lineRule="auto"/>
        <w:tabs>
          <w:tab w:leader="none" w:pos="7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right="600" w:firstLine="464"/>
        <w:spacing w:after="0" w:line="268" w:lineRule="auto"/>
        <w:tabs>
          <w:tab w:leader="none" w:pos="7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firstLine="464"/>
        <w:spacing w:after="0" w:line="332" w:lineRule="auto"/>
        <w:tabs>
          <w:tab w:leader="none" w:pos="705" w:val="left"/>
        </w:tabs>
        <w:numPr>
          <w:ilvl w:val="1"/>
          <w:numId w:val="12"/>
        </w:numPr>
        <w:rPr>
          <w:rFonts w:ascii="Arial" w:cs="Arial" w:eastAsia="Arial" w:hAnsi="Arial"/>
          <w:sz w:val="16"/>
          <w:szCs w:val="16"/>
          <w:color w:val="auto"/>
        </w:rPr>
      </w:pPr>
      <w:r>
        <w:rPr>
          <w:rFonts w:ascii="Arial" w:cs="Arial" w:eastAsia="Arial" w:hAnsi="Arial"/>
          <w:sz w:val="16"/>
          <w:szCs w:val="16"/>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85" w:lineRule="exact"/>
        <w:rPr>
          <w:rFonts w:ascii="Arial" w:cs="Arial" w:eastAsia="Arial" w:hAnsi="Arial"/>
          <w:sz w:val="16"/>
          <w:szCs w:val="16"/>
          <w:color w:val="auto"/>
        </w:rPr>
      </w:pPr>
    </w:p>
    <w:p>
      <w:pPr>
        <w:ind w:right="200" w:firstLine="464"/>
        <w:spacing w:after="0" w:line="286" w:lineRule="auto"/>
        <w:tabs>
          <w:tab w:leader="none" w:pos="676" w:val="left"/>
        </w:tabs>
        <w:numPr>
          <w:ilvl w:val="1"/>
          <w:numId w:val="12"/>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w:t>
      </w: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attaching to other prepayments, deposits or earnest money in the ordinary course of business; and</w:t>
      </w:r>
    </w:p>
    <w:p>
      <w:pPr>
        <w:spacing w:after="0" w:line="164" w:lineRule="exact"/>
        <w:rPr>
          <w:rFonts w:ascii="Arial" w:cs="Arial" w:eastAsia="Arial" w:hAnsi="Arial"/>
          <w:sz w:val="18"/>
          <w:szCs w:val="18"/>
          <w:color w:val="auto"/>
        </w:rPr>
      </w:pPr>
    </w:p>
    <w:p>
      <w:pPr>
        <w:ind w:left="700" w:hanging="236"/>
        <w:spacing w:after="0"/>
        <w:tabs>
          <w:tab w:leader="none" w:pos="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65"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Property</w:t>
      </w:r>
      <w:r>
        <w:rPr>
          <w:rFonts w:ascii="Arial" w:cs="Arial" w:eastAsia="Arial" w:hAnsi="Arial"/>
          <w:sz w:val="16"/>
          <w:szCs w:val="16"/>
          <w:color w:val="auto"/>
        </w:rPr>
        <w:t>” means with respect to any Person any property or asset, whether real, personal or mixed, or tangible or intangible, including shares of capital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59"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1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With respect to the senior debt securities of each series, each Obligor will covenant under the senior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6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900" w:right="20" w:hanging="325"/>
        <w:spacing w:after="0" w:line="323" w:lineRule="auto"/>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16" w:lineRule="exact"/>
        <w:rPr>
          <w:rFonts w:ascii="Arial" w:cs="Arial" w:eastAsia="Arial" w:hAnsi="Arial"/>
          <w:sz w:val="15"/>
          <w:szCs w:val="15"/>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1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above; or</w:t>
      </w:r>
    </w:p>
    <w:p>
      <w:pPr>
        <w:spacing w:after="0" w:line="59"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We will not consolidate or combine with or merge with or into or, directly or indirectly, sell, assign, convey,</w:t>
      </w:r>
      <w:r>
        <w:rPr>
          <w:rFonts w:ascii="Arial" w:cs="Arial" w:eastAsia="Arial" w:hAnsi="Arial"/>
          <w:sz w:val="18"/>
          <w:szCs w:val="18"/>
          <w:i w:val="1"/>
          <w:iCs w:val="1"/>
          <w:color w:val="auto"/>
        </w:rPr>
        <w:t xml:space="preserve"> </w:t>
      </w:r>
      <w:r>
        <w:rPr>
          <w:rFonts w:ascii="Arial" w:cs="Arial" w:eastAsia="Arial" w:hAnsi="Arial"/>
          <w:sz w:val="18"/>
          <w:szCs w:val="18"/>
          <w:color w:val="auto"/>
        </w:rPr>
        <w:t>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59" w:lineRule="exact"/>
        <w:rPr>
          <w:sz w:val="20"/>
          <w:szCs w:val="20"/>
          <w:color w:val="auto"/>
        </w:rPr>
      </w:pPr>
    </w:p>
    <w:p>
      <w:pPr>
        <w:ind w:left="900" w:right="30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113" w:lineRule="exact"/>
        <w:rPr>
          <w:rFonts w:ascii="Arial" w:cs="Arial" w:eastAsia="Arial" w:hAnsi="Arial"/>
          <w:sz w:val="16"/>
          <w:szCs w:val="16"/>
          <w:color w:val="auto"/>
        </w:rPr>
      </w:pPr>
    </w:p>
    <w:p>
      <w:pPr>
        <w:ind w:left="900" w:right="42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900" w:right="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permitted under “—</w:t>
      </w: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the indenture requires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Information</w:t>
      </w:r>
      <w:r>
        <w:rPr>
          <w:rFonts w:ascii="Arial" w:cs="Arial" w:eastAsia="Arial" w:hAnsi="Arial"/>
          <w:sz w:val="18"/>
          <w:szCs w:val="18"/>
          <w:color w:val="auto"/>
        </w:rPr>
        <w:t>. We will furnish to the trustee any document or report we are required to file with the SEC pursuant to Section 13 or Section 15(d)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90" w:lineRule="exact"/>
        <w:rPr>
          <w:sz w:val="20"/>
          <w:szCs w:val="20"/>
          <w:color w:val="auto"/>
        </w:rPr>
      </w:pPr>
    </w:p>
    <w:p>
      <w:pPr>
        <w:ind w:left="700" w:hanging="236"/>
        <w:spacing w:after="0"/>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default in paying interest on the senior debt securities of such series when it becomes due and the default continues for a period of 30 days or more;</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right="180" w:firstLine="464"/>
        <w:spacing w:after="0" w:line="256"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may terminate our obligations and the obligations of the Guarantors under the indenture with respect to the senior debt securities of any series and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Guarantees of such series of senior debt securities, when:</w:t>
      </w:r>
    </w:p>
    <w:p>
      <w:pPr>
        <w:spacing w:after="0" w:line="84"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right="400" w:hanging="446"/>
        <w:spacing w:after="0" w:line="268"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480" w:hanging="446"/>
        <w:spacing w:after="0" w:line="294" w:lineRule="auto"/>
        <w:tabs>
          <w:tab w:leader="none" w:pos="14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34"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900" w:right="420" w:hanging="325"/>
        <w:spacing w:after="0" w:line="370" w:lineRule="auto"/>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jc w:val="both"/>
        <w:ind w:left="900" w:right="16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59"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“—Events of Default” will no longer constitute an event of default for that series.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900" w:right="40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900" w:right="100" w:hanging="325"/>
        <w:spacing w:after="0" w:line="298"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case of legal defeasance, we have delivered to the trustee an opinion of counsel stating that, as a result of an Internal Revenue Service (“IRS”) ruling or a change in applicable federal income tax law, the holders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31"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case of covenant defeasance, we have delivered to the trustee an opinion of counsel to the effect that the holders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25"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31"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9" w:lineRule="exact"/>
        <w:rPr>
          <w:rFonts w:ascii="Arial" w:cs="Arial" w:eastAsia="Arial" w:hAnsi="Arial"/>
          <w:sz w:val="18"/>
          <w:szCs w:val="18"/>
          <w:color w:val="auto"/>
        </w:rPr>
      </w:pPr>
    </w:p>
    <w:p>
      <w:pPr>
        <w:ind w:left="900" w:right="460" w:hanging="325"/>
        <w:spacing w:after="0" w:line="357" w:lineRule="auto"/>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ind w:left="900" w:right="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900" w:right="4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9" w:lineRule="exact"/>
        <w:rPr>
          <w:sz w:val="20"/>
          <w:szCs w:val="20"/>
          <w:color w:val="auto"/>
        </w:rPr>
      </w:pPr>
    </w:p>
    <w:p>
      <w:pPr>
        <w:ind w:left="900" w:right="18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 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senior indenture, including any Guarantee, and each senior debt security is governed by and construed in accordance with the laws of the State of New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the Chairman and Chief Executive Officer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intend to pay quarterly dividends at an annual rate currently of $1.00 per share, although each dividend is subject to approval by our Board of Directors.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See “Dividend Policy” above.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6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As of December 31, 2014, on all matters submitted for a vote of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aggregate voting power of our capital stock. As of December 31, 2014, our Class B common stock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common stock. This nondilutable voting power is subject to proportional decrease to the extent the number of shares of Class B common stock is reduced below 9,444,375, subject to adjustment in specified situations. Stock dividends payable on the Class B common stock in the form of Class B or Class A Special common stock do not decrease the nondilutable voting power of the Class B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 Holders of our Class B common stock have an approval right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or Class A Special common stock. As of September 30, 2015, if Mr. Roberts were to convert the Class B common stock he beneficially owns into Class A common stock, Mr. Roberts would beneficially own 15,182,592 shares of Class A common stock, which is less than 1% of the Class A common stock that would be outstanding after the conversion.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 common stock offered hereby, or issuable upon conversion, exchange or exercise of securities offered hereby,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will, when issued, be, fully paid and nonassessable. We have been advised that the Class A common stock and Class A Special common stock are exempt from existing Pennsylvania personal property tax.</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transfer agent and registrar for our Class A Special common stock and Class A common stock is Wells Fargo Shareowner Services, P.O. Box 64874, 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Paul, Minnesota 55164-0874 . Their telephone number is (888) 883-8903.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As to matters governed by Pennsylvania law, Arthur R. Block, Esquire, Executive Vice President, General Counsel and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herein by reference from Comcast Corporation ’s Annual Report on Form 10-K for the year ended December 31, 2014,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Media, LLC and its subsidiaries, incorporated herein by reference from NBCUniversal Media, LLC’s Annual Report on Form 10-K for the year ended December 31, 2014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 You may read and copy any document we or NBCUniversal files at the SEC’s public reference room located at 100 F Street, NE, Washington, D.C. 20549. Please call the SEC at 1-800-SEC-0330 for further information on the public reference rooms. Our and NBCUniversal’s SEC filings, including the complete registration statement and all of the exhibits to it, are available through the SEC’s website at http://www.sec.gov.</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in any free writing prospectus prepared by or on behalf of us or to which we have referred you and in material we or NBCUniversal file with the SEC and incorporate by reference herein.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any such free writing prospectus and our and NBCUniversal’s filings with the SEC is accurate as of any date other than their respective dates.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Comcast’s and NBCUniversal’s combined Annual Report on Form 10-K for the year ended December 31, 2014, filed on February 27, 2015.</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Comcast’s and NBCUniversal’s combined Quarterly Reports on Form 10-Q for the quarters ended March 31, 2015, June 30, 2015 and September 30, 2015, filed on May 4, 2015, July 23, 2015 and October 27, 2015, respectively.</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Comcast’s Current Reports on Form 8-K and amendments thereto filed on January 29, 2015, March 31, 2015, April 24, 2015, May 11, 2015, May 22, 2015, May 27, 2015, June 18, 2015, July 1, 2015 and July 7, 2015.</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NBCUniversal’s Current Reports on Form 8-K and amendments thereto filed on March 31, 2015, May 11, 2015 and July 1, 2015.</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section of Comcast’s Definitive Proxy Statement on Schedule 14A for the 2015 annual meeting of shareholders incorporated by reference in Comcast’s Annual Report on Form 10-K for the year ended December 31, 2014.</w:t>
      </w:r>
    </w:p>
    <w:p>
      <w:pPr>
        <w:spacing w:after="0" w:line="50"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Comcast’s Current Report on Form 8-K12G3 and Registration Statement on Form 8-A12G, each filed on November 18, 2002, as amended by our Registration Statement on Form 8-A12B/A filed on December 20, 2010, as the same may be further amended from time to time.</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sets forth the estimated costs and expenses payable by the Registrants in connection with this Registration Statement.</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Legal fees and expenses</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Printing and engraving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  Omitted because the registration fee is being deferred pursuant to Rule 456(b).</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1919"/>
        <w:spacing w:after="0"/>
        <w:rPr>
          <w:sz w:val="20"/>
          <w:szCs w:val="20"/>
          <w:color w:val="auto"/>
        </w:rPr>
      </w:pPr>
      <w:r>
        <w:rPr>
          <w:rFonts w:ascii="Arial" w:cs="Arial" w:eastAsia="Arial" w:hAnsi="Arial"/>
          <w:sz w:val="12"/>
          <w:szCs w:val="12"/>
          <w:b w:val="1"/>
          <w:bCs w:val="1"/>
          <w:color w:val="auto"/>
        </w:rPr>
        <w:t>Amount to be</w:t>
      </w:r>
    </w:p>
    <w:p>
      <w:pPr>
        <w:spacing w:after="0" w:line="24" w:lineRule="exact"/>
        <w:rPr>
          <w:sz w:val="20"/>
          <w:szCs w:val="20"/>
          <w:color w:val="auto"/>
        </w:rPr>
      </w:pPr>
    </w:p>
    <w:p>
      <w:pPr>
        <w:jc w:val="center"/>
        <w:ind w:right="1919"/>
        <w:spacing w:after="0"/>
        <w:rPr>
          <w:sz w:val="20"/>
          <w:szCs w:val="20"/>
          <w:color w:val="auto"/>
        </w:rPr>
      </w:pPr>
      <w:r>
        <w:rPr>
          <w:rFonts w:ascii="Arial" w:cs="Arial" w:eastAsia="Arial" w:hAnsi="Arial"/>
          <w:sz w:val="14"/>
          <w:szCs w:val="14"/>
          <w:b w:val="1"/>
          <w:bCs w:val="1"/>
          <w:color w:val="auto"/>
        </w:rPr>
        <w:t>Paid</w:t>
      </w:r>
    </w:p>
    <w:p>
      <w:pPr>
        <w:ind w:left="701" w:hanging="701"/>
        <w:spacing w:after="0"/>
        <w:tabs>
          <w:tab w:leader="none" w:pos="701"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321"/>
        <w:spacing w:after="0"/>
        <w:rPr>
          <w:rFonts w:ascii="Arial" w:cs="Arial" w:eastAsia="Arial" w:hAnsi="Arial"/>
          <w:sz w:val="18"/>
          <w:szCs w:val="18"/>
          <w:color w:val="auto"/>
        </w:rPr>
      </w:pPr>
      <w:r>
        <w:rPr>
          <w:rFonts w:ascii="Arial" w:cs="Arial" w:eastAsia="Arial" w:hAnsi="Arial"/>
          <w:sz w:val="15"/>
          <w:szCs w:val="15"/>
          <w:color w:val="auto"/>
        </w:rPr>
        <w:t>50,000</w:t>
      </w:r>
    </w:p>
    <w:p>
      <w:pPr>
        <w:spacing w:after="0" w:line="43" w:lineRule="exact"/>
        <w:rPr>
          <w:rFonts w:ascii="Arial" w:cs="Arial" w:eastAsia="Arial" w:hAnsi="Arial"/>
          <w:sz w:val="18"/>
          <w:szCs w:val="18"/>
          <w:color w:val="auto"/>
        </w:rPr>
      </w:pPr>
    </w:p>
    <w:p>
      <w:pPr>
        <w:ind w:left="321"/>
        <w:spacing w:after="0"/>
        <w:rPr>
          <w:rFonts w:ascii="Arial" w:cs="Arial" w:eastAsia="Arial" w:hAnsi="Arial"/>
          <w:sz w:val="18"/>
          <w:szCs w:val="18"/>
          <w:color w:val="auto"/>
        </w:rPr>
      </w:pPr>
      <w:r>
        <w:rPr>
          <w:rFonts w:ascii="Arial" w:cs="Arial" w:eastAsia="Arial" w:hAnsi="Arial"/>
          <w:sz w:val="15"/>
          <w:szCs w:val="15"/>
          <w:color w:val="auto"/>
        </w:rPr>
        <w:t>50,000</w:t>
      </w:r>
    </w:p>
    <w:p>
      <w:pPr>
        <w:spacing w:after="0" w:line="43" w:lineRule="exact"/>
        <w:rPr>
          <w:rFonts w:ascii="Arial" w:cs="Arial" w:eastAsia="Arial" w:hAnsi="Arial"/>
          <w:sz w:val="18"/>
          <w:szCs w:val="18"/>
          <w:color w:val="auto"/>
        </w:rPr>
      </w:pPr>
    </w:p>
    <w:p>
      <w:pPr>
        <w:ind w:left="321"/>
        <w:spacing w:after="0"/>
        <w:rPr>
          <w:rFonts w:ascii="Arial" w:cs="Arial" w:eastAsia="Arial" w:hAnsi="Arial"/>
          <w:sz w:val="18"/>
          <w:szCs w:val="18"/>
          <w:color w:val="auto"/>
        </w:rPr>
      </w:pPr>
      <w:r>
        <w:rPr>
          <w:rFonts w:ascii="Arial" w:cs="Arial" w:eastAsia="Arial" w:hAnsi="Arial"/>
          <w:sz w:val="15"/>
          <w:szCs w:val="15"/>
          <w:color w:val="auto"/>
        </w:rPr>
        <w:t>70,000</w:t>
      </w:r>
    </w:p>
    <w:p>
      <w:pPr>
        <w:spacing w:after="0" w:line="43" w:lineRule="exact"/>
        <w:rPr>
          <w:rFonts w:ascii="Arial" w:cs="Arial" w:eastAsia="Arial" w:hAnsi="Arial"/>
          <w:sz w:val="18"/>
          <w:szCs w:val="18"/>
          <w:color w:val="auto"/>
        </w:rPr>
      </w:pPr>
    </w:p>
    <w:p>
      <w:pPr>
        <w:ind w:left="321"/>
        <w:spacing w:after="0"/>
        <w:rPr>
          <w:rFonts w:ascii="Arial" w:cs="Arial" w:eastAsia="Arial" w:hAnsi="Arial"/>
          <w:sz w:val="18"/>
          <w:szCs w:val="18"/>
          <w:color w:val="auto"/>
        </w:rPr>
      </w:pPr>
      <w:r>
        <w:rPr>
          <w:rFonts w:ascii="Arial" w:cs="Arial" w:eastAsia="Arial" w:hAnsi="Arial"/>
          <w:sz w:val="15"/>
          <w:szCs w:val="15"/>
          <w:color w:val="auto"/>
        </w:rPr>
        <w:t>30,000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5060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44" w:lineRule="exact"/>
        <w:rPr>
          <w:sz w:val="20"/>
          <w:szCs w:val="20"/>
          <w:color w:val="auto"/>
        </w:rPr>
      </w:pPr>
    </w:p>
    <w:p>
      <w:pPr>
        <w:ind w:left="1"/>
        <w:spacing w:after="0"/>
        <w:tabs>
          <w:tab w:leader="none" w:pos="201"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5060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595" w:lineRule="exact"/>
        <w:rPr>
          <w:sz w:val="20"/>
          <w:szCs w:val="20"/>
          <w:color w:val="auto"/>
        </w:rPr>
      </w:pPr>
    </w:p>
    <w:p>
      <w:pPr>
        <w:sectPr>
          <w:pgSz w:w="11900" w:h="16838" w:orient="portrait"/>
          <w:cols w:equalWidth="0" w:num="2">
            <w:col w:w="7979" w:space="720"/>
            <w:col w:w="2721"/>
          </w:cols>
          <w:pgMar w:left="240" w:top="459" w:right="239" w:bottom="1440" w:gutter="0" w:footer="0" w:header="0"/>
          <w:type w:val="continuous"/>
        </w:sectPr>
      </w:pPr>
    </w:p>
    <w:p>
      <w:pPr>
        <w:spacing w:after="0" w:line="1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Indemnification under Pennsylvania Law and Comcast’s Charter and By-laws.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conduct was unlawful.</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Section 1742 of the PBCL permits indemnification in derivative and corporate actions if the director or officer acted in good faith and in a manner he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by (i)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9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16"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shall inure to the benefit of the heirs and personal representatives of such person.</w:t>
      </w:r>
    </w:p>
    <w:p>
      <w:pPr>
        <w:spacing w:after="0" w:line="14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Article Twelfth of the Comcast charter provides that no director of Comcast will be personally liable, as such, for monetary damages (other than under criminal statutes and under laws imposing such liability on directors for the payment of taxes) unless such person’s conduct constitutes self-dealing, willful misconduct or recklessness. Article Twelfth of the Comcast charter extends such protection to officers.</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Article 7 of the Comcast by-laws provides that each officer and director of Comcast will be indemnified and held harmless by Comcast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Comcast), whether civil, criminal, administrative or investigative (a “Proceeding”). No indemnification will be made,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unless the Proceeding (or part of the Proceeding) was authorized by the Board of Directors. The right to indemnification includes the right to have the expenses incurred by such director or officer in participating in any Proceeding paid by Comcast in advance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of the final disposition of the Proceeding automatically and without any action or approval required by the Board of Directors, provided that, if Pennsylvania law requires, the payment of expenses incurred by such director or officer in advance of the final disposition of a Proceeding shall only be made upon delivery to Comcast of an undertaking, by or on behalf of the director or officer, to repay all advanced amounts without interest if it is ultimately determined that the director or officer is not entitled to be so indemnified.</w:t>
      </w:r>
    </w:p>
    <w:p>
      <w:pPr>
        <w:spacing w:after="0" w:line="143"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Article 7 of the Comcast by-laws also provides that Comcast may purchase and maintain insurance, at its expense, for the benefit of any person on behalf of whom insurance is permitted to be purchased by Pennsylvania law against any expense, liability or loss, whether or not Comcast would have the power to indemnify such person under Pennsylvania or any other law. Comcast may also purchase and maintain insurance to insure its indemnification obligations.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foregoing statements are subject to the detailed provisions of the PBCL and to the applicable provisions of the Comcast charter and by-laws.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9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NBCUniversal Media, LLC is a limited liability company organized under the laws of the State of Delaware. Section 18-108 of the Limited Liability Company Act of Delaware permits a limited liability company, subject to any restrictions set forth in its limited liability company agreement, to indemnify its members, managers and officers from and against any and all claims and demands. Members, managers and officers of NBCUniversal Media, LLC are also entitled to mandatory and discretionary indemnification as described above under “Comcast Corporation.” NBCUniversal, LLC is the sole member of NBCUniversal Media, LLC.</w:t>
      </w:r>
    </w:p>
    <w:p>
      <w:pPr>
        <w:spacing w:after="0" w:line="14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Comcast maintains standard policies of insurance on behalf of NBCUniversal Media, LLC and NBCUniversal, LLC under which coverage is provided to their respective officers and NBCUniversal, LLC’s directors against loss arising from claims made by reason of a breach of duty or other wrongful act.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Cable Communications, LLC</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Comcast Cable is a limited liability company organized under the laws of the State of Delaware. Section 18-108 of the Delaware Limited Liability Company Act permits a limited liability company, subject to any restrictions that may be set forth in its limited liability company agreement, to indemnify its members and managers from and against any and all claims and demands.</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Section 18.1 of Comcast Cable’s Limited Liability Company Agreement (“LLC Agreement”) provides that Comcast Cable will indemnify the member, Comcast Holdings Corporation, any officer of Comcast Cable and any officer of Comcast Cable who is or was serving as a director, officer, employee or agent of another entity at Comcast Cable’s request (each, an “Indemnified Person”) against expenses (including attorneys’ fees), judgments, fines and amounts paid in settlement, actually and reasonably incurred by such Indemnified Person, to the fullest extent permitted by law in connection with any threatened, pending or contemplated action, suit or proceeding, whether civil, criminal, administrative or investigative (hereinafter, a “proceeding”), brought or threatened to be brought against such Indemnified Person by reason of the fact that he or she is or was serving in any such capacity or in any other capacity on behalf of Comcast Cable, the member or any of Comcast Cable’s subsidiaries. In addition, the member may, by resolution, similarly indemnify any other person (hereinafter, an “Other Person”) for liabilities incurred by him or her in connection with services rendered by him or her for or at the request of Comcast Cable, the member or any of Comcast Cable’s subsidiaries.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Section 18.2 of Comcast Cable’s LLC Agreement provides that expenses (including attorneys’ fees) incurred by any Indemnified Person in defending a proceeding will be paid by Comcast Cable in advance of the final disposition of such proceeding as authorized by the member upon receipt of an undertaking, by or on behalf</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 such Indemnified Person, to repay such amount if it is ultimately determined that he or she is not entitled to be indemnified by Comcast Cable as authorized by law. Advance expenses (including attorneys’ fees) incurred by Other Persons may be paid by Comcast Cable if the member deems appropriate and upon such terms and conditions, including the giving of an undertaking, as the member deems appropriate.</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Section 18.4 of Comcast Cable’s LLC Agreement provides that Comcast Cable may purchase and maintain insurance on behalf of any person who is or was an Indemnified Person or Other Person against any liability asserted against him or her and incurred by him or her in any such capacity, or arising out of his or her status as such, whether or not Comcast Cable would have the power to indemnify him or her against such liability under applicable law.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10480" w:type="dxa"/>
            <w:vAlign w:val="bottom"/>
            <w:gridSpan w:val="3"/>
          </w:tcPr>
          <w:p>
            <w:pPr>
              <w:ind w:left="320"/>
              <w:spacing w:after="0"/>
              <w:rPr>
                <w:sz w:val="20"/>
                <w:szCs w:val="20"/>
                <w:color w:val="auto"/>
              </w:rPr>
            </w:pPr>
            <w:r>
              <w:rPr>
                <w:rFonts w:ascii="Arial" w:cs="Arial" w:eastAsia="Arial" w:hAnsi="Arial"/>
                <w:sz w:val="18"/>
                <w:szCs w:val="18"/>
                <w:b w:val="1"/>
                <w:bCs w:val="1"/>
                <w:i w:val="1"/>
                <w:iCs w:val="1"/>
                <w:color w:val="auto"/>
              </w:rPr>
              <w:t>Exhibits and Financial Statement Schedules</w:t>
            </w:r>
          </w:p>
        </w:tc>
      </w:tr>
      <w:tr>
        <w:trPr>
          <w:trHeight w:val="297"/>
        </w:trPr>
        <w:tc>
          <w:tcPr>
            <w:tcW w:w="11200" w:type="dxa"/>
            <w:vAlign w:val="bottom"/>
            <w:gridSpan w:val="4"/>
          </w:tcPr>
          <w:p>
            <w:pPr>
              <w:ind w:left="460"/>
              <w:spacing w:after="0"/>
              <w:rPr>
                <w:sz w:val="20"/>
                <w:szCs w:val="20"/>
                <w:color w:val="auto"/>
              </w:rPr>
            </w:pPr>
            <w:r>
              <w:rPr>
                <w:rFonts w:ascii="Arial" w:cs="Arial" w:eastAsia="Arial" w:hAnsi="Arial"/>
                <w:sz w:val="18"/>
                <w:szCs w:val="18"/>
                <w:color w:val="auto"/>
              </w:rPr>
              <w:t>(a)   The following exhibits are filed as part of this Registration Statement:</w:t>
            </w:r>
          </w:p>
        </w:tc>
      </w:tr>
      <w:tr>
        <w:trPr>
          <w:trHeight w:val="353"/>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480" w:type="dxa"/>
            <w:vAlign w:val="bottom"/>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Document</w:t>
            </w:r>
          </w:p>
        </w:tc>
        <w:tc>
          <w:tcPr>
            <w:tcW w:w="4380" w:type="dxa"/>
            <w:vAlign w:val="bottom"/>
          </w:tcPr>
          <w:p>
            <w:pPr>
              <w:spacing w:after="0"/>
              <w:rPr>
                <w:sz w:val="24"/>
                <w:szCs w:val="24"/>
                <w:color w:val="auto"/>
              </w:rPr>
            </w:pPr>
          </w:p>
        </w:tc>
      </w:tr>
      <w:tr>
        <w:trPr>
          <w:trHeight w:val="316"/>
        </w:trPr>
        <w:tc>
          <w:tcPr>
            <w:tcW w:w="720" w:type="dxa"/>
            <w:vAlign w:val="bottom"/>
          </w:tcPr>
          <w:p>
            <w:pPr>
              <w:ind w:left="100"/>
              <w:spacing w:after="0"/>
              <w:rPr>
                <w:sz w:val="20"/>
                <w:szCs w:val="20"/>
                <w:color w:val="auto"/>
              </w:rPr>
            </w:pPr>
            <w:r>
              <w:rPr>
                <w:rFonts w:ascii="Arial" w:cs="Arial" w:eastAsia="Arial" w:hAnsi="Arial"/>
                <w:sz w:val="18"/>
                <w:szCs w:val="18"/>
                <w:color w:val="auto"/>
              </w:rPr>
              <w:t>1.1</w:t>
            </w:r>
          </w:p>
        </w:tc>
        <w:tc>
          <w:tcPr>
            <w:tcW w:w="10480" w:type="dxa"/>
            <w:vAlign w:val="bottom"/>
            <w:gridSpan w:val="3"/>
          </w:tcPr>
          <w:p>
            <w:pPr>
              <w:ind w:left="860"/>
              <w:spacing w:after="0"/>
              <w:rPr>
                <w:sz w:val="20"/>
                <w:szCs w:val="20"/>
                <w:color w:val="auto"/>
              </w:rPr>
            </w:pPr>
            <w:r>
              <w:rPr>
                <w:rFonts w:ascii="Arial" w:cs="Arial" w:eastAsia="Arial" w:hAnsi="Arial"/>
                <w:sz w:val="18"/>
                <w:szCs w:val="18"/>
                <w:color w:val="auto"/>
              </w:rPr>
              <w:t>Form of Underwriting Agreement (Debt Securities)*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1.2</w:t>
            </w:r>
          </w:p>
        </w:tc>
        <w:tc>
          <w:tcPr>
            <w:tcW w:w="10480" w:type="dxa"/>
            <w:vAlign w:val="bottom"/>
            <w:gridSpan w:val="3"/>
          </w:tcPr>
          <w:p>
            <w:pPr>
              <w:ind w:left="860"/>
              <w:spacing w:after="0"/>
              <w:rPr>
                <w:sz w:val="20"/>
                <w:szCs w:val="20"/>
                <w:color w:val="auto"/>
              </w:rPr>
            </w:pPr>
            <w:r>
              <w:rPr>
                <w:rFonts w:ascii="Arial" w:cs="Arial" w:eastAsia="Arial" w:hAnsi="Arial"/>
                <w:sz w:val="18"/>
                <w:szCs w:val="18"/>
                <w:color w:val="auto"/>
              </w:rPr>
              <w:t>Form of Underwriting Agreement Standard Provisions (Debt Securities)*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1.3</w:t>
            </w:r>
          </w:p>
        </w:tc>
        <w:tc>
          <w:tcPr>
            <w:tcW w:w="10480" w:type="dxa"/>
            <w:vAlign w:val="bottom"/>
            <w:gridSpan w:val="3"/>
          </w:tcPr>
          <w:p>
            <w:pPr>
              <w:ind w:left="860"/>
              <w:spacing w:after="0"/>
              <w:rPr>
                <w:sz w:val="20"/>
                <w:szCs w:val="20"/>
                <w:color w:val="auto"/>
              </w:rPr>
            </w:pPr>
            <w:r>
              <w:rPr>
                <w:rFonts w:ascii="Arial" w:cs="Arial" w:eastAsia="Arial" w:hAnsi="Arial"/>
                <w:sz w:val="18"/>
                <w:szCs w:val="18"/>
                <w:color w:val="auto"/>
                <w:w w:val="92"/>
              </w:rPr>
              <w:t>Form of Underwriting Agreement (Preferred Stock, Depositary Shares, Common Stock, Warrants, Purchase Contracts and Units)**</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4.1</w:t>
            </w:r>
          </w:p>
        </w:tc>
        <w:tc>
          <w:tcPr>
            <w:tcW w:w="10480" w:type="dxa"/>
            <w:vAlign w:val="bottom"/>
            <w:gridSpan w:val="3"/>
          </w:tcPr>
          <w:p>
            <w:pPr>
              <w:ind w:left="860"/>
              <w:spacing w:after="0"/>
              <w:rPr>
                <w:sz w:val="20"/>
                <w:szCs w:val="20"/>
                <w:color w:val="auto"/>
              </w:rPr>
            </w:pPr>
            <w:r>
              <w:rPr>
                <w:rFonts w:ascii="Arial" w:cs="Arial" w:eastAsia="Arial" w:hAnsi="Arial"/>
                <w:sz w:val="18"/>
                <w:szCs w:val="18"/>
                <w:color w:val="auto"/>
                <w:w w:val="89"/>
              </w:rPr>
              <w:t>Specimen Class A Common Stock Certificate (incorporated by reference to Comcast’s Annual Report on Form 10-K for the year ended</w:t>
            </w:r>
          </w:p>
        </w:tc>
      </w:tr>
      <w:tr>
        <w:trPr>
          <w:trHeight w:val="222"/>
        </w:trPr>
        <w:tc>
          <w:tcPr>
            <w:tcW w:w="720" w:type="dxa"/>
            <w:vAlign w:val="bottom"/>
          </w:tcPr>
          <w:p>
            <w:pPr>
              <w:spacing w:after="0"/>
              <w:rPr>
                <w:sz w:val="19"/>
                <w:szCs w:val="19"/>
                <w:color w:val="auto"/>
              </w:rPr>
            </w:pPr>
          </w:p>
        </w:tc>
        <w:tc>
          <w:tcPr>
            <w:tcW w:w="10480" w:type="dxa"/>
            <w:vAlign w:val="bottom"/>
            <w:gridSpan w:val="3"/>
          </w:tcPr>
          <w:p>
            <w:pPr>
              <w:ind w:left="860"/>
              <w:spacing w:after="0"/>
              <w:rPr>
                <w:sz w:val="20"/>
                <w:szCs w:val="20"/>
                <w:color w:val="auto"/>
              </w:rPr>
            </w:pPr>
            <w:r>
              <w:rPr>
                <w:rFonts w:ascii="Arial" w:cs="Arial" w:eastAsia="Arial" w:hAnsi="Arial"/>
                <w:sz w:val="18"/>
                <w:szCs w:val="18"/>
                <w:color w:val="auto"/>
              </w:rPr>
              <w:t>December 31, 2002, filed on March 20, 2003)</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4.2</w:t>
            </w:r>
          </w:p>
        </w:tc>
        <w:tc>
          <w:tcPr>
            <w:tcW w:w="10480" w:type="dxa"/>
            <w:vAlign w:val="bottom"/>
            <w:gridSpan w:val="3"/>
          </w:tcPr>
          <w:p>
            <w:pPr>
              <w:ind w:left="860"/>
              <w:spacing w:after="0"/>
              <w:rPr>
                <w:sz w:val="20"/>
                <w:szCs w:val="20"/>
                <w:color w:val="auto"/>
              </w:rPr>
            </w:pPr>
            <w:r>
              <w:rPr>
                <w:rFonts w:ascii="Arial" w:cs="Arial" w:eastAsia="Arial" w:hAnsi="Arial"/>
                <w:sz w:val="18"/>
                <w:szCs w:val="18"/>
                <w:color w:val="auto"/>
                <w:w w:val="88"/>
              </w:rPr>
              <w:t>Specimen Class A Special Common Stock Certificate (incorporated by reference to Comcast’s Annual Report on Form 10-K for the year</w:t>
            </w:r>
          </w:p>
        </w:tc>
      </w:tr>
      <w:tr>
        <w:trPr>
          <w:trHeight w:val="222"/>
        </w:trPr>
        <w:tc>
          <w:tcPr>
            <w:tcW w:w="720" w:type="dxa"/>
            <w:vAlign w:val="bottom"/>
          </w:tcPr>
          <w:p>
            <w:pPr>
              <w:spacing w:after="0"/>
              <w:rPr>
                <w:sz w:val="19"/>
                <w:szCs w:val="19"/>
                <w:color w:val="auto"/>
              </w:rPr>
            </w:pPr>
          </w:p>
        </w:tc>
        <w:tc>
          <w:tcPr>
            <w:tcW w:w="10480" w:type="dxa"/>
            <w:vAlign w:val="bottom"/>
            <w:gridSpan w:val="3"/>
          </w:tcPr>
          <w:p>
            <w:pPr>
              <w:ind w:left="860"/>
              <w:spacing w:after="0"/>
              <w:rPr>
                <w:sz w:val="20"/>
                <w:szCs w:val="20"/>
                <w:color w:val="auto"/>
              </w:rPr>
            </w:pPr>
            <w:r>
              <w:rPr>
                <w:rFonts w:ascii="Arial" w:cs="Arial" w:eastAsia="Arial" w:hAnsi="Arial"/>
                <w:sz w:val="18"/>
                <w:szCs w:val="18"/>
                <w:color w:val="auto"/>
              </w:rPr>
              <w:t>ended December 31, 2002, filed on March 20, 2003)</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4.3</w:t>
            </w:r>
          </w:p>
        </w:tc>
        <w:tc>
          <w:tcPr>
            <w:tcW w:w="10480" w:type="dxa"/>
            <w:vAlign w:val="bottom"/>
            <w:gridSpan w:val="3"/>
          </w:tcPr>
          <w:p>
            <w:pPr>
              <w:ind w:left="860"/>
              <w:spacing w:after="0"/>
              <w:rPr>
                <w:sz w:val="20"/>
                <w:szCs w:val="20"/>
                <w:color w:val="auto"/>
              </w:rPr>
            </w:pPr>
            <w:r>
              <w:rPr>
                <w:rFonts w:ascii="Arial" w:cs="Arial" w:eastAsia="Arial" w:hAnsi="Arial"/>
                <w:sz w:val="18"/>
                <w:szCs w:val="18"/>
                <w:color w:val="auto"/>
                <w:w w:val="90"/>
              </w:rPr>
              <w:t>Senior Indenture dated September 18, 2013 among the Company, the guarantors party thereto and The Bank of New York Mellon, as</w:t>
            </w:r>
          </w:p>
        </w:tc>
      </w:tr>
      <w:tr>
        <w:trPr>
          <w:trHeight w:val="222"/>
        </w:trPr>
        <w:tc>
          <w:tcPr>
            <w:tcW w:w="720" w:type="dxa"/>
            <w:vAlign w:val="bottom"/>
          </w:tcPr>
          <w:p>
            <w:pPr>
              <w:spacing w:after="0"/>
              <w:rPr>
                <w:sz w:val="19"/>
                <w:szCs w:val="19"/>
                <w:color w:val="auto"/>
              </w:rPr>
            </w:pPr>
          </w:p>
        </w:tc>
        <w:tc>
          <w:tcPr>
            <w:tcW w:w="10480" w:type="dxa"/>
            <w:vAlign w:val="bottom"/>
            <w:gridSpan w:val="3"/>
          </w:tcPr>
          <w:p>
            <w:pPr>
              <w:ind w:left="860"/>
              <w:spacing w:after="0"/>
              <w:rPr>
                <w:sz w:val="20"/>
                <w:szCs w:val="20"/>
                <w:color w:val="auto"/>
              </w:rPr>
            </w:pPr>
            <w:r>
              <w:rPr>
                <w:rFonts w:ascii="Arial" w:cs="Arial" w:eastAsia="Arial" w:hAnsi="Arial"/>
                <w:sz w:val="18"/>
                <w:szCs w:val="18"/>
                <w:color w:val="auto"/>
                <w:w w:val="93"/>
              </w:rPr>
              <w:t>Trustee (incorporated by reference to Comcast’s Registration Statement on Form S-3, as amended, filed on September 18, 2013)</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4.4</w:t>
            </w:r>
          </w:p>
        </w:tc>
        <w:tc>
          <w:tcPr>
            <w:tcW w:w="10480" w:type="dxa"/>
            <w:vAlign w:val="bottom"/>
            <w:gridSpan w:val="3"/>
          </w:tcPr>
          <w:p>
            <w:pPr>
              <w:ind w:left="860"/>
              <w:spacing w:after="0"/>
              <w:rPr>
                <w:sz w:val="20"/>
                <w:szCs w:val="20"/>
                <w:color w:val="auto"/>
              </w:rPr>
            </w:pPr>
            <w:r>
              <w:rPr>
                <w:rFonts w:ascii="Arial" w:cs="Arial" w:eastAsia="Arial" w:hAnsi="Arial"/>
                <w:sz w:val="18"/>
                <w:szCs w:val="18"/>
                <w:color w:val="auto"/>
                <w:w w:val="89"/>
              </w:rPr>
              <w:t>First Supplemental Indenture dated November 17, 2015 among the Company, the guarantors party thereto and The Bank of New York</w:t>
            </w:r>
          </w:p>
        </w:tc>
      </w:tr>
      <w:tr>
        <w:trPr>
          <w:trHeight w:val="222"/>
        </w:trPr>
        <w:tc>
          <w:tcPr>
            <w:tcW w:w="720" w:type="dxa"/>
            <w:vAlign w:val="bottom"/>
          </w:tcPr>
          <w:p>
            <w:pPr>
              <w:spacing w:after="0"/>
              <w:rPr>
                <w:sz w:val="19"/>
                <w:szCs w:val="19"/>
                <w:color w:val="auto"/>
              </w:rPr>
            </w:pPr>
          </w:p>
        </w:tc>
        <w:tc>
          <w:tcPr>
            <w:tcW w:w="10480" w:type="dxa"/>
            <w:vAlign w:val="bottom"/>
            <w:gridSpan w:val="3"/>
          </w:tcPr>
          <w:p>
            <w:pPr>
              <w:ind w:left="860"/>
              <w:spacing w:after="0"/>
              <w:rPr>
                <w:sz w:val="20"/>
                <w:szCs w:val="20"/>
                <w:color w:val="auto"/>
              </w:rPr>
            </w:pPr>
            <w:r>
              <w:rPr>
                <w:rFonts w:ascii="Arial" w:cs="Arial" w:eastAsia="Arial" w:hAnsi="Arial"/>
                <w:sz w:val="18"/>
                <w:szCs w:val="18"/>
                <w:color w:val="auto"/>
              </w:rPr>
              <w:t>Mellon, as Trustee*</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4.5</w:t>
            </w:r>
          </w:p>
        </w:tc>
        <w:tc>
          <w:tcPr>
            <w:tcW w:w="10480" w:type="dxa"/>
            <w:vAlign w:val="bottom"/>
            <w:gridSpan w:val="3"/>
          </w:tcPr>
          <w:p>
            <w:pPr>
              <w:ind w:left="860"/>
              <w:spacing w:after="0"/>
              <w:rPr>
                <w:sz w:val="20"/>
                <w:szCs w:val="20"/>
                <w:color w:val="auto"/>
              </w:rPr>
            </w:pPr>
            <w:r>
              <w:rPr>
                <w:rFonts w:ascii="Arial" w:cs="Arial" w:eastAsia="Arial" w:hAnsi="Arial"/>
                <w:sz w:val="18"/>
                <w:szCs w:val="18"/>
                <w:color w:val="auto"/>
                <w:w w:val="93"/>
              </w:rPr>
              <w:t>Form of Senior Debt Security (incorporated by reference to Comcast’s Registration Statement on Form S-3, as amended, filed on</w:t>
            </w:r>
          </w:p>
        </w:tc>
      </w:tr>
      <w:tr>
        <w:trPr>
          <w:trHeight w:val="222"/>
        </w:trPr>
        <w:tc>
          <w:tcPr>
            <w:tcW w:w="720" w:type="dxa"/>
            <w:vAlign w:val="bottom"/>
          </w:tcPr>
          <w:p>
            <w:pPr>
              <w:spacing w:after="0"/>
              <w:rPr>
                <w:sz w:val="19"/>
                <w:szCs w:val="19"/>
                <w:color w:val="auto"/>
              </w:rPr>
            </w:pPr>
          </w:p>
        </w:tc>
        <w:tc>
          <w:tcPr>
            <w:tcW w:w="10480" w:type="dxa"/>
            <w:vAlign w:val="bottom"/>
            <w:gridSpan w:val="3"/>
          </w:tcPr>
          <w:p>
            <w:pPr>
              <w:ind w:left="860"/>
              <w:spacing w:after="0"/>
              <w:rPr>
                <w:sz w:val="20"/>
                <w:szCs w:val="20"/>
                <w:color w:val="auto"/>
              </w:rPr>
            </w:pPr>
            <w:r>
              <w:rPr>
                <w:rFonts w:ascii="Arial" w:cs="Arial" w:eastAsia="Arial" w:hAnsi="Arial"/>
                <w:sz w:val="18"/>
                <w:szCs w:val="18"/>
                <w:color w:val="auto"/>
              </w:rPr>
              <w:t>September 18, 2013)</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4.6</w:t>
            </w:r>
          </w:p>
        </w:tc>
        <w:tc>
          <w:tcPr>
            <w:tcW w:w="10480" w:type="dxa"/>
            <w:vAlign w:val="bottom"/>
            <w:gridSpan w:val="3"/>
          </w:tcPr>
          <w:p>
            <w:pPr>
              <w:ind w:left="860"/>
              <w:spacing w:after="0"/>
              <w:rPr>
                <w:sz w:val="20"/>
                <w:szCs w:val="20"/>
                <w:color w:val="auto"/>
              </w:rPr>
            </w:pPr>
            <w:r>
              <w:rPr>
                <w:rFonts w:ascii="Arial" w:cs="Arial" w:eastAsia="Arial" w:hAnsi="Arial"/>
                <w:sz w:val="18"/>
                <w:szCs w:val="18"/>
                <w:color w:val="auto"/>
              </w:rPr>
              <w:t>Form of Purchase Contract Agreement relating to Purchase Contracts**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4.7</w:t>
            </w:r>
          </w:p>
        </w:tc>
        <w:tc>
          <w:tcPr>
            <w:tcW w:w="10480" w:type="dxa"/>
            <w:vAlign w:val="bottom"/>
            <w:gridSpan w:val="3"/>
          </w:tcPr>
          <w:p>
            <w:pPr>
              <w:ind w:left="860"/>
              <w:spacing w:after="0"/>
              <w:rPr>
                <w:sz w:val="20"/>
                <w:szCs w:val="20"/>
                <w:color w:val="auto"/>
              </w:rPr>
            </w:pPr>
            <w:r>
              <w:rPr>
                <w:rFonts w:ascii="Arial" w:cs="Arial" w:eastAsia="Arial" w:hAnsi="Arial"/>
                <w:sz w:val="18"/>
                <w:szCs w:val="18"/>
                <w:color w:val="auto"/>
              </w:rPr>
              <w:t>Form of Unit Agreement**</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4.8</w:t>
            </w:r>
          </w:p>
        </w:tc>
        <w:tc>
          <w:tcPr>
            <w:tcW w:w="10480" w:type="dxa"/>
            <w:vAlign w:val="bottom"/>
            <w:gridSpan w:val="3"/>
          </w:tcPr>
          <w:p>
            <w:pPr>
              <w:ind w:left="860"/>
              <w:spacing w:after="0"/>
              <w:rPr>
                <w:sz w:val="20"/>
                <w:szCs w:val="20"/>
                <w:color w:val="auto"/>
              </w:rPr>
            </w:pPr>
            <w:r>
              <w:rPr>
                <w:rFonts w:ascii="Arial" w:cs="Arial" w:eastAsia="Arial" w:hAnsi="Arial"/>
                <w:sz w:val="18"/>
                <w:szCs w:val="18"/>
                <w:color w:val="auto"/>
              </w:rPr>
              <w:t>Form of Warrant Agreement for Warrants sold separately**</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4.9</w:t>
            </w:r>
          </w:p>
        </w:tc>
        <w:tc>
          <w:tcPr>
            <w:tcW w:w="10480" w:type="dxa"/>
            <w:vAlign w:val="bottom"/>
            <w:gridSpan w:val="3"/>
          </w:tcPr>
          <w:p>
            <w:pPr>
              <w:ind w:left="860"/>
              <w:spacing w:after="0"/>
              <w:rPr>
                <w:sz w:val="20"/>
                <w:szCs w:val="20"/>
                <w:color w:val="auto"/>
              </w:rPr>
            </w:pPr>
            <w:r>
              <w:rPr>
                <w:rFonts w:ascii="Arial" w:cs="Arial" w:eastAsia="Arial" w:hAnsi="Arial"/>
                <w:sz w:val="18"/>
                <w:szCs w:val="18"/>
                <w:color w:val="auto"/>
              </w:rPr>
              <w:t>Form of Warrant for Warrants sold separately**</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4.10</w:t>
            </w:r>
          </w:p>
        </w:tc>
        <w:tc>
          <w:tcPr>
            <w:tcW w:w="10480" w:type="dxa"/>
            <w:vAlign w:val="bottom"/>
            <w:gridSpan w:val="3"/>
          </w:tcPr>
          <w:p>
            <w:pPr>
              <w:ind w:left="860"/>
              <w:spacing w:after="0"/>
              <w:rPr>
                <w:sz w:val="20"/>
                <w:szCs w:val="20"/>
                <w:color w:val="auto"/>
              </w:rPr>
            </w:pPr>
            <w:r>
              <w:rPr>
                <w:rFonts w:ascii="Arial" w:cs="Arial" w:eastAsia="Arial" w:hAnsi="Arial"/>
                <w:sz w:val="18"/>
                <w:szCs w:val="18"/>
                <w:color w:val="auto"/>
              </w:rPr>
              <w:t>Form of Warrant Agreement for Warrants sold attached to other Securities**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4.11</w:t>
            </w:r>
          </w:p>
        </w:tc>
        <w:tc>
          <w:tcPr>
            <w:tcW w:w="10480" w:type="dxa"/>
            <w:vAlign w:val="bottom"/>
            <w:gridSpan w:val="3"/>
          </w:tcPr>
          <w:p>
            <w:pPr>
              <w:ind w:left="860"/>
              <w:spacing w:after="0"/>
              <w:rPr>
                <w:sz w:val="20"/>
                <w:szCs w:val="20"/>
                <w:color w:val="auto"/>
              </w:rPr>
            </w:pPr>
            <w:r>
              <w:rPr>
                <w:rFonts w:ascii="Arial" w:cs="Arial" w:eastAsia="Arial" w:hAnsi="Arial"/>
                <w:sz w:val="18"/>
                <w:szCs w:val="18"/>
                <w:color w:val="auto"/>
              </w:rPr>
              <w:t>Form of Warrant for Warrants sold attached to other Securities**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4.12</w:t>
            </w:r>
          </w:p>
        </w:tc>
        <w:tc>
          <w:tcPr>
            <w:tcW w:w="10480" w:type="dxa"/>
            <w:vAlign w:val="bottom"/>
            <w:gridSpan w:val="3"/>
          </w:tcPr>
          <w:p>
            <w:pPr>
              <w:ind w:left="860"/>
              <w:spacing w:after="0"/>
              <w:rPr>
                <w:sz w:val="20"/>
                <w:szCs w:val="20"/>
                <w:color w:val="auto"/>
              </w:rPr>
            </w:pPr>
            <w:r>
              <w:rPr>
                <w:rFonts w:ascii="Arial" w:cs="Arial" w:eastAsia="Arial" w:hAnsi="Arial"/>
                <w:sz w:val="18"/>
                <w:szCs w:val="18"/>
                <w:color w:val="auto"/>
              </w:rPr>
              <w:t>Form of Pledge Agreement**</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4.13</w:t>
            </w:r>
          </w:p>
        </w:tc>
        <w:tc>
          <w:tcPr>
            <w:tcW w:w="10480" w:type="dxa"/>
            <w:vAlign w:val="bottom"/>
            <w:gridSpan w:val="3"/>
          </w:tcPr>
          <w:p>
            <w:pPr>
              <w:ind w:left="860"/>
              <w:spacing w:after="0"/>
              <w:rPr>
                <w:sz w:val="20"/>
                <w:szCs w:val="20"/>
                <w:color w:val="auto"/>
              </w:rPr>
            </w:pPr>
            <w:r>
              <w:rPr>
                <w:rFonts w:ascii="Arial" w:cs="Arial" w:eastAsia="Arial" w:hAnsi="Arial"/>
                <w:sz w:val="18"/>
                <w:szCs w:val="18"/>
                <w:color w:val="auto"/>
              </w:rPr>
              <w:t>Form of Deposit Agreement**</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4.14</w:t>
            </w:r>
          </w:p>
        </w:tc>
        <w:tc>
          <w:tcPr>
            <w:tcW w:w="10480" w:type="dxa"/>
            <w:vAlign w:val="bottom"/>
            <w:gridSpan w:val="3"/>
          </w:tcPr>
          <w:p>
            <w:pPr>
              <w:ind w:left="860"/>
              <w:spacing w:after="0"/>
              <w:rPr>
                <w:sz w:val="20"/>
                <w:szCs w:val="20"/>
                <w:color w:val="auto"/>
              </w:rPr>
            </w:pPr>
            <w:r>
              <w:rPr>
                <w:rFonts w:ascii="Arial" w:cs="Arial" w:eastAsia="Arial" w:hAnsi="Arial"/>
                <w:sz w:val="18"/>
                <w:szCs w:val="18"/>
                <w:color w:val="auto"/>
              </w:rPr>
              <w:t>Form of Depositary Share**</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4.15</w:t>
            </w:r>
          </w:p>
        </w:tc>
        <w:tc>
          <w:tcPr>
            <w:tcW w:w="10480" w:type="dxa"/>
            <w:vAlign w:val="bottom"/>
            <w:gridSpan w:val="3"/>
          </w:tcPr>
          <w:p>
            <w:pPr>
              <w:ind w:left="860"/>
              <w:spacing w:after="0"/>
              <w:rPr>
                <w:sz w:val="20"/>
                <w:szCs w:val="20"/>
                <w:color w:val="auto"/>
              </w:rPr>
            </w:pPr>
            <w:r>
              <w:rPr>
                <w:rFonts w:ascii="Arial" w:cs="Arial" w:eastAsia="Arial" w:hAnsi="Arial"/>
                <w:sz w:val="18"/>
                <w:szCs w:val="18"/>
                <w:color w:val="auto"/>
              </w:rPr>
              <w:t>Form of Guarantee (Warrants, Purchase Contracts and Units)**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5.1</w:t>
            </w:r>
          </w:p>
        </w:tc>
        <w:tc>
          <w:tcPr>
            <w:tcW w:w="10480" w:type="dxa"/>
            <w:vAlign w:val="bottom"/>
            <w:gridSpan w:val="3"/>
          </w:tcPr>
          <w:p>
            <w:pPr>
              <w:ind w:left="860"/>
              <w:spacing w:after="0"/>
              <w:rPr>
                <w:sz w:val="20"/>
                <w:szCs w:val="20"/>
                <w:color w:val="auto"/>
              </w:rPr>
            </w:pPr>
            <w:r>
              <w:rPr>
                <w:rFonts w:ascii="Arial" w:cs="Arial" w:eastAsia="Arial" w:hAnsi="Arial"/>
                <w:sz w:val="18"/>
                <w:szCs w:val="18"/>
                <w:color w:val="auto"/>
              </w:rPr>
              <w:t>Opinion of Arthur R. Block, Esquire*</w:t>
            </w:r>
          </w:p>
        </w:tc>
      </w:tr>
      <w:tr>
        <w:trPr>
          <w:trHeight w:val="365"/>
        </w:trPr>
        <w:tc>
          <w:tcPr>
            <w:tcW w:w="720" w:type="dxa"/>
            <w:vAlign w:val="bottom"/>
          </w:tcPr>
          <w:p>
            <w:pPr>
              <w:spacing w:after="0"/>
              <w:rPr>
                <w:sz w:val="24"/>
                <w:szCs w:val="24"/>
                <w:color w:val="auto"/>
              </w:rPr>
            </w:pPr>
          </w:p>
        </w:tc>
        <w:tc>
          <w:tcPr>
            <w:tcW w:w="10480" w:type="dxa"/>
            <w:vAlign w:val="bottom"/>
            <w:gridSpan w:val="3"/>
          </w:tcPr>
          <w:p>
            <w:pPr>
              <w:ind w:left="4860"/>
              <w:spacing w:after="0"/>
              <w:rPr>
                <w:sz w:val="20"/>
                <w:szCs w:val="20"/>
                <w:color w:val="auto"/>
              </w:rPr>
            </w:pPr>
            <w:r>
              <w:rPr>
                <w:rFonts w:ascii="Arial" w:cs="Arial" w:eastAsia="Arial" w:hAnsi="Arial"/>
                <w:sz w:val="18"/>
                <w:szCs w:val="18"/>
                <w:color w:val="auto"/>
              </w:rPr>
              <w:t>II-4</w:t>
            </w:r>
          </w:p>
        </w:tc>
      </w:tr>
    </w:tbl>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5520" w:type="dxa"/>
            <w:vAlign w:val="bottom"/>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Document</w:t>
            </w:r>
          </w:p>
        </w:tc>
        <w:tc>
          <w:tcPr>
            <w:tcW w:w="4500" w:type="dxa"/>
            <w:vAlign w:val="bottom"/>
          </w:tcPr>
          <w:p>
            <w:pPr>
              <w:spacing w:after="0"/>
              <w:rPr>
                <w:sz w:val="14"/>
                <w:szCs w:val="14"/>
                <w:color w:val="auto"/>
              </w:rPr>
            </w:pPr>
          </w:p>
        </w:tc>
      </w:tr>
      <w:tr>
        <w:trPr>
          <w:trHeight w:val="316"/>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5.2</w:t>
            </w: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rPr>
              <w:t>Opinion of Davis Polk &amp; Wardwell LLP*</w:t>
            </w:r>
          </w:p>
        </w:tc>
      </w:tr>
      <w:tr>
        <w:trPr>
          <w:trHeight w:val="318"/>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12.1</w:t>
            </w: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w w:val="94"/>
              </w:rPr>
              <w:t>Statement Regarding Computation of Ratio of Earnings to Fixed Charges and Ratio of Earnings to Combined Fixed Charges and</w:t>
            </w:r>
          </w:p>
        </w:tc>
      </w:tr>
      <w:tr>
        <w:trPr>
          <w:trHeight w:val="216"/>
        </w:trPr>
        <w:tc>
          <w:tcPr>
            <w:tcW w:w="720" w:type="dxa"/>
            <w:vAlign w:val="bottom"/>
          </w:tcPr>
          <w:p>
            <w:pPr>
              <w:spacing w:after="0"/>
              <w:rPr>
                <w:sz w:val="18"/>
                <w:szCs w:val="18"/>
                <w:color w:val="auto"/>
              </w:rPr>
            </w:pP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w w:val="95"/>
              </w:rPr>
              <w:t>Preferred Dividends of Comcast Corporation (incorporated by reference to our Annual Report on Form 10-K for the year ended</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rPr>
              <w:t>December 31, 2014, filed on February 27, 2015)</w:t>
            </w:r>
          </w:p>
        </w:tc>
      </w:tr>
      <w:tr>
        <w:trPr>
          <w:trHeight w:val="318"/>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12.2</w:t>
            </w: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w w:val="94"/>
              </w:rPr>
              <w:t>Statement Regarding Computation of Ratio of Earnings to Fixed Charges and Ratio of Earnings to Combined Fixed Charges and</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rPr>
              <w:t>Preferred Dividends of Comcast Corporation for the nine months ended September 30, 2015*</w:t>
            </w:r>
          </w:p>
        </w:tc>
      </w:tr>
      <w:tr>
        <w:trPr>
          <w:trHeight w:val="324"/>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23.1</w:t>
            </w: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rPr>
              <w:t>Consent of Deloitte &amp; Touche LLP (Comcast Corporation)*</w:t>
            </w:r>
          </w:p>
        </w:tc>
      </w:tr>
      <w:tr>
        <w:trPr>
          <w:trHeight w:val="324"/>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23.2</w:t>
            </w: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rPr>
              <w:t>Consent of Deloitte &amp; Touche LLP (NBCUniversal Media, LLC)*</w:t>
            </w:r>
          </w:p>
        </w:tc>
      </w:tr>
      <w:tr>
        <w:trPr>
          <w:trHeight w:val="324"/>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23.3</w:t>
            </w: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rPr>
              <w:t>Consent of Arthur R. Block, Esquire (included in Exhibit 5.1)</w:t>
            </w:r>
          </w:p>
        </w:tc>
      </w:tr>
      <w:tr>
        <w:trPr>
          <w:trHeight w:val="324"/>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23.4</w:t>
            </w: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rPr>
              <w:t>Consent of Davis Polk &amp; Wardwell LLP (included in Exhibit 5.2)</w:t>
            </w:r>
          </w:p>
        </w:tc>
      </w:tr>
      <w:tr>
        <w:trPr>
          <w:trHeight w:val="318"/>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24.1</w:t>
            </w: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w w:val="90"/>
              </w:rPr>
              <w:t>Powers of Attorney (incorporated by reference to Comcast’s Registration Statement on Form S-3, as amended, filed on September 18,</w:t>
            </w:r>
          </w:p>
        </w:tc>
      </w:tr>
      <w:tr>
        <w:trPr>
          <w:trHeight w:val="222"/>
        </w:trPr>
        <w:tc>
          <w:tcPr>
            <w:tcW w:w="720" w:type="dxa"/>
            <w:vAlign w:val="bottom"/>
          </w:tcPr>
          <w:p>
            <w:pPr>
              <w:spacing w:after="0"/>
              <w:rPr>
                <w:sz w:val="19"/>
                <w:szCs w:val="19"/>
                <w:color w:val="auto"/>
              </w:rPr>
            </w:pPr>
          </w:p>
        </w:tc>
        <w:tc>
          <w:tcPr>
            <w:tcW w:w="5520" w:type="dxa"/>
            <w:vAlign w:val="bottom"/>
          </w:tcPr>
          <w:p>
            <w:pPr>
              <w:ind w:left="980"/>
              <w:spacing w:after="0"/>
              <w:rPr>
                <w:sz w:val="20"/>
                <w:szCs w:val="20"/>
                <w:color w:val="auto"/>
              </w:rPr>
            </w:pPr>
            <w:r>
              <w:rPr>
                <w:rFonts w:ascii="Arial" w:cs="Arial" w:eastAsia="Arial" w:hAnsi="Arial"/>
                <w:sz w:val="18"/>
                <w:szCs w:val="18"/>
                <w:color w:val="auto"/>
              </w:rPr>
              <w:t>2013)</w:t>
            </w:r>
          </w:p>
        </w:tc>
        <w:tc>
          <w:tcPr>
            <w:tcW w:w="620" w:type="dxa"/>
            <w:vAlign w:val="bottom"/>
          </w:tcPr>
          <w:p>
            <w:pPr>
              <w:spacing w:after="0"/>
              <w:rPr>
                <w:sz w:val="19"/>
                <w:szCs w:val="19"/>
                <w:color w:val="auto"/>
              </w:rPr>
            </w:pPr>
          </w:p>
        </w:tc>
        <w:tc>
          <w:tcPr>
            <w:tcW w:w="4500" w:type="dxa"/>
            <w:vAlign w:val="bottom"/>
          </w:tcPr>
          <w:p>
            <w:pPr>
              <w:spacing w:after="0"/>
              <w:rPr>
                <w:sz w:val="19"/>
                <w:szCs w:val="19"/>
                <w:color w:val="auto"/>
              </w:rPr>
            </w:pPr>
          </w:p>
        </w:tc>
      </w:tr>
      <w:tr>
        <w:trPr>
          <w:trHeight w:val="318"/>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25.1</w:t>
            </w: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w w:val="93"/>
              </w:rPr>
              <w:t>Statement of Eligibility under the Trust Indenture Act of 1939, as amended, of The Bank of New York Mellon, as Trustee under the</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w w:val="87"/>
              </w:rPr>
              <w:t>Senior Indenture (incorporated by reference to Comcast’s Registration Statement on Form S-3, as amended, filed on September 18, 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be filed by Current Report on Form 8-K.</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96"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undersigned registrants hereby undertake: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920" w:firstLine="421"/>
        <w:spacing w:after="0" w:line="253" w:lineRule="auto"/>
        <w:tabs>
          <w:tab w:leader="none" w:pos="1598" w:val="left"/>
        </w:tabs>
        <w:numPr>
          <w:ilvl w:val="2"/>
          <w:numId w:val="3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66" w:lineRule="exact"/>
        <w:rPr>
          <w:rFonts w:ascii="Arial" w:cs="Arial" w:eastAsia="Arial" w:hAnsi="Arial"/>
          <w:sz w:val="18"/>
          <w:szCs w:val="18"/>
          <w:color w:val="auto"/>
        </w:rPr>
      </w:pPr>
    </w:p>
    <w:p>
      <w:pPr>
        <w:ind w:left="920" w:right="260" w:firstLine="421"/>
        <w:spacing w:after="0" w:line="268" w:lineRule="auto"/>
        <w:tabs>
          <w:tab w:leader="none" w:pos="1647" w:val="left"/>
        </w:tabs>
        <w:numPr>
          <w:ilvl w:val="2"/>
          <w:numId w:val="3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left="460" w:right="360"/>
        <w:spacing w:after="0" w:line="256"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of this section do not apply if the information required to be included in a post-effective amendment by those paragraphs is contained in reports filed with or furnished to the Commission by the registrants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43"/>
        <w:spacing w:after="0" w:line="259" w:lineRule="auto"/>
        <w:tabs>
          <w:tab w:leader="none" w:pos="11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left="460" w:right="820" w:firstLine="443"/>
        <w:spacing w:after="0" w:line="268" w:lineRule="auto"/>
        <w:tabs>
          <w:tab w:leader="none" w:pos="11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90" w:lineRule="exact"/>
        <w:rPr>
          <w:rFonts w:ascii="Arial" w:cs="Arial" w:eastAsia="Arial" w:hAnsi="Arial"/>
          <w:sz w:val="18"/>
          <w:szCs w:val="18"/>
          <w:color w:val="auto"/>
        </w:rPr>
      </w:pPr>
    </w:p>
    <w:p>
      <w:pPr>
        <w:ind w:left="920" w:right="60" w:firstLine="421"/>
        <w:spacing w:after="0" w:line="268" w:lineRule="auto"/>
        <w:tabs>
          <w:tab w:leader="none" w:pos="1549" w:val="left"/>
        </w:tabs>
        <w:numPr>
          <w:ilvl w:val="1"/>
          <w:numId w:val="35"/>
        </w:numPr>
        <w:rPr>
          <w:rFonts w:ascii="Arial" w:cs="Arial" w:eastAsia="Arial" w:hAnsi="Arial"/>
          <w:sz w:val="18"/>
          <w:szCs w:val="18"/>
          <w:color w:val="auto"/>
        </w:rPr>
      </w:pPr>
      <w:r>
        <w:rPr>
          <w:rFonts w:ascii="Arial" w:cs="Arial" w:eastAsia="Arial" w:hAnsi="Arial"/>
          <w:sz w:val="18"/>
          <w:szCs w:val="18"/>
          <w:color w:val="auto"/>
        </w:rPr>
        <w:t>Each prospectus filed by the registrants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920" w:firstLine="421"/>
        <w:spacing w:after="0" w:line="286" w:lineRule="auto"/>
        <w:tabs>
          <w:tab w:leader="none" w:pos="1598" w:val="left"/>
        </w:tabs>
        <w:numPr>
          <w:ilvl w:val="1"/>
          <w:numId w:val="35"/>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46" w:lineRule="exact"/>
        <w:rPr>
          <w:rFonts w:ascii="Arial" w:cs="Arial" w:eastAsia="Arial" w:hAnsi="Arial"/>
          <w:sz w:val="16"/>
          <w:szCs w:val="16"/>
          <w:color w:val="auto"/>
        </w:rPr>
      </w:pPr>
    </w:p>
    <w:p>
      <w:pPr>
        <w:ind w:left="460" w:right="180" w:firstLine="443"/>
        <w:spacing w:after="0" w:line="268" w:lineRule="auto"/>
        <w:tabs>
          <w:tab w:leader="none" w:pos="11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registrants under the Securities Act of 1933 to any purchaser in the initial distribution of the securities:</w:t>
      </w:r>
    </w:p>
    <w:p>
      <w:pPr>
        <w:spacing w:after="0" w:line="51" w:lineRule="exact"/>
        <w:rPr>
          <w:sz w:val="20"/>
          <w:szCs w:val="20"/>
          <w:color w:val="auto"/>
        </w:rPr>
      </w:pPr>
    </w:p>
    <w:p>
      <w:pPr>
        <w:ind w:left="920" w:right="120" w:firstLine="420"/>
        <w:spacing w:after="0" w:line="256" w:lineRule="auto"/>
        <w:rPr>
          <w:sz w:val="20"/>
          <w:szCs w:val="20"/>
          <w:color w:val="auto"/>
        </w:rPr>
      </w:pPr>
      <w:r>
        <w:rPr>
          <w:rFonts w:ascii="Arial" w:cs="Arial" w:eastAsia="Arial" w:hAnsi="Arial"/>
          <w:sz w:val="18"/>
          <w:szCs w:val="18"/>
          <w:color w:val="auto"/>
        </w:rPr>
        <w:t>The undersigned registrants undertake that in a primary offering of securities of the undersigned registrants pursuant to this registration statement, regardless of the underwriting method used to sell the securities to the purchaser, if the securities are offered or sold to such purchaser by means of any of the following communications, the undersigned registrants will be sellers to the purchaser and will be considered to offer or sell such securities to such purchaser:</w:t>
      </w:r>
    </w:p>
    <w:p>
      <w:pPr>
        <w:spacing w:after="0" w:line="62" w:lineRule="exact"/>
        <w:rPr>
          <w:sz w:val="20"/>
          <w:szCs w:val="20"/>
          <w:color w:val="auto"/>
        </w:rPr>
      </w:pPr>
    </w:p>
    <w:p>
      <w:pPr>
        <w:ind w:left="1560" w:hanging="219"/>
        <w:spacing w:after="0"/>
        <w:tabs>
          <w:tab w:leader="none" w:pos="15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registrants relating to the offering required to be filed pursuant to Rule 424;</w:t>
      </w:r>
    </w:p>
    <w:p>
      <w:pPr>
        <w:spacing w:after="0" w:line="113" w:lineRule="exact"/>
        <w:rPr>
          <w:rFonts w:ascii="Arial" w:cs="Arial" w:eastAsia="Arial" w:hAnsi="Arial"/>
          <w:sz w:val="16"/>
          <w:szCs w:val="16"/>
          <w:color w:val="auto"/>
        </w:rPr>
      </w:pPr>
    </w:p>
    <w:p>
      <w:pPr>
        <w:ind w:left="920" w:right="340" w:firstLine="421"/>
        <w:spacing w:after="0" w:line="268" w:lineRule="auto"/>
        <w:tabs>
          <w:tab w:leader="none" w:pos="159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registrants or used or referred to by the undersigned registrants;</w:t>
      </w:r>
    </w:p>
    <w:p>
      <w:pPr>
        <w:spacing w:after="0" w:line="50" w:lineRule="exact"/>
        <w:rPr>
          <w:rFonts w:ascii="Arial" w:cs="Arial" w:eastAsia="Arial" w:hAnsi="Arial"/>
          <w:sz w:val="18"/>
          <w:szCs w:val="18"/>
          <w:color w:val="auto"/>
        </w:rPr>
      </w:pPr>
    </w:p>
    <w:p>
      <w:pPr>
        <w:ind w:left="920" w:right="120" w:firstLine="421"/>
        <w:spacing w:after="0" w:line="268" w:lineRule="auto"/>
        <w:tabs>
          <w:tab w:leader="none" w:pos="1647"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registrants or their securities provided by or on behalf of the undersigned registrants;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registrants to the purchaser.</w:t>
      </w:r>
    </w:p>
    <w:p>
      <w:pPr>
        <w:spacing w:after="0" w:line="90" w:lineRule="exact"/>
        <w:rPr>
          <w:rFonts w:ascii="Arial" w:cs="Arial" w:eastAsia="Arial" w:hAnsi="Arial"/>
          <w:sz w:val="18"/>
          <w:szCs w:val="18"/>
          <w:color w:val="auto"/>
        </w:rPr>
      </w:pPr>
    </w:p>
    <w:p>
      <w:pPr>
        <w:ind w:left="900" w:right="80" w:hanging="446"/>
        <w:spacing w:after="0" w:line="306"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undersigned registrants hereby undertake that, for purposes of determining any liability under the Securities Act of 1933, each filing of Comcast Corporation’s or NBCUniversal’s annual report pursuant to Section 13(a) or 15(d) of the Securities Exchange Act of 1934 (and, where applicable, each filing of an employee benefit plan’s annual report pursuant to Section 15(d) of the Securities Exchange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80"/>
        <w:spacing w:after="0" w:line="332" w:lineRule="auto"/>
        <w:rPr>
          <w:sz w:val="20"/>
          <w:szCs w:val="20"/>
          <w:color w:val="auto"/>
        </w:rPr>
      </w:pPr>
      <w:r>
        <w:rPr>
          <w:rFonts w:ascii="Arial" w:cs="Arial" w:eastAsia="Arial" w:hAnsi="Arial"/>
          <w:sz w:val="16"/>
          <w:szCs w:val="16"/>
          <w:color w:val="auto"/>
        </w:rPr>
        <w:t>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4" w:lineRule="exact"/>
        <w:rPr>
          <w:sz w:val="20"/>
          <w:szCs w:val="20"/>
          <w:color w:val="auto"/>
        </w:rPr>
      </w:pPr>
    </w:p>
    <w:p>
      <w:pPr>
        <w:ind w:left="900" w:right="60" w:hanging="446"/>
        <w:spacing w:after="0" w:line="298"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undersigned registrants hereby undertake 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31" w:lineRule="exact"/>
        <w:rPr>
          <w:rFonts w:ascii="Arial" w:cs="Arial" w:eastAsia="Arial" w:hAnsi="Arial"/>
          <w:sz w:val="16"/>
          <w:szCs w:val="16"/>
          <w:color w:val="auto"/>
        </w:rPr>
      </w:pPr>
    </w:p>
    <w:p>
      <w:pPr>
        <w:ind w:left="900" w:hanging="446"/>
        <w:spacing w:after="0" w:line="289"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FOR COMCAST CORPORATION</w:t>
      </w:r>
    </w:p>
    <w:p>
      <w:pPr>
        <w:spacing w:after="0" w:line="17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Comcast Corporation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November 23, 2015.</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right"/>
              <w:ind w:right="1206"/>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jc w:val="right"/>
              <w:ind w:right="1446"/>
              <w:spacing w:after="0"/>
              <w:rPr>
                <w:sz w:val="20"/>
                <w:szCs w:val="20"/>
                <w:color w:val="auto"/>
              </w:rPr>
            </w:pPr>
            <w:r>
              <w:rPr>
                <w:rFonts w:ascii="Arial" w:cs="Arial" w:eastAsia="Arial" w:hAnsi="Arial"/>
                <w:sz w:val="14"/>
                <w:szCs w:val="14"/>
                <w:b w:val="1"/>
                <w:bCs w:val="1"/>
                <w:color w:val="auto"/>
              </w:rPr>
              <w:t>Arthur R. Block</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right"/>
              <w:ind w:right="1206"/>
              <w:spacing w:after="0"/>
              <w:rPr>
                <w:sz w:val="20"/>
                <w:szCs w:val="20"/>
                <w:color w:val="auto"/>
              </w:rPr>
            </w:pPr>
            <w:r>
              <w:rPr>
                <w:rFonts w:ascii="Arial" w:cs="Arial" w:eastAsia="Arial" w:hAnsi="Arial"/>
                <w:sz w:val="14"/>
                <w:szCs w:val="14"/>
                <w:b w:val="1"/>
                <w:bCs w:val="1"/>
                <w:color w:val="auto"/>
              </w:rPr>
              <w:t>Executive Vice President</w:t>
            </w:r>
          </w:p>
        </w:tc>
      </w:tr>
    </w:tbl>
    <w:p>
      <w:pPr>
        <w:spacing w:after="0" w:line="14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p>
      <w:pPr>
        <w:ind w:left="1860"/>
        <w:spacing w:after="0"/>
        <w:tabs>
          <w:tab w:leader="none" w:pos="6600" w:val="left"/>
          <w:tab w:leader="none" w:pos="102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020" w:type="dxa"/>
            <w:vAlign w:val="bottom"/>
          </w:tcPr>
          <w:p>
            <w:pPr>
              <w:jc w:val="center"/>
              <w:spacing w:after="0"/>
              <w:rPr>
                <w:sz w:val="20"/>
                <w:szCs w:val="20"/>
                <w:color w:val="auto"/>
              </w:rPr>
            </w:pPr>
            <w:r>
              <w:rPr>
                <w:rFonts w:ascii="Arial" w:cs="Arial" w:eastAsia="Arial" w:hAnsi="Arial"/>
                <w:sz w:val="18"/>
                <w:szCs w:val="18"/>
                <w:color w:val="auto"/>
                <w:w w:val="89"/>
              </w:rPr>
              <w:t>Chairman and CEO; Director</w:t>
            </w:r>
          </w:p>
        </w:tc>
        <w:tc>
          <w:tcPr>
            <w:tcW w:w="1780" w:type="dxa"/>
            <w:vAlign w:val="bottom"/>
          </w:tcPr>
          <w:p>
            <w:pPr>
              <w:ind w:left="380"/>
              <w:spacing w:after="0"/>
              <w:rPr>
                <w:sz w:val="20"/>
                <w:szCs w:val="20"/>
                <w:color w:val="auto"/>
              </w:rPr>
            </w:pPr>
            <w:r>
              <w:rPr>
                <w:rFonts w:ascii="Arial" w:cs="Arial" w:eastAsia="Arial" w:hAnsi="Arial"/>
                <w:sz w:val="18"/>
                <w:szCs w:val="18"/>
                <w:color w:val="auto"/>
                <w:w w:val="87"/>
              </w:rPr>
              <w:t>November 23, 2015</w:t>
            </w:r>
          </w:p>
        </w:tc>
      </w:tr>
      <w:tr>
        <w:trPr>
          <w:trHeight w:val="202"/>
        </w:trPr>
        <w:tc>
          <w:tcPr>
            <w:tcW w:w="4280" w:type="dxa"/>
            <w:vAlign w:val="bottom"/>
          </w:tcPr>
          <w:p>
            <w:pPr>
              <w:jc w:val="center"/>
              <w:spacing w:after="0"/>
              <w:rPr>
                <w:sz w:val="20"/>
                <w:szCs w:val="20"/>
                <w:color w:val="auto"/>
              </w:rPr>
            </w:pPr>
            <w:r>
              <w:rPr>
                <w:rFonts w:ascii="Arial" w:cs="Arial" w:eastAsia="Arial" w:hAnsi="Arial"/>
                <w:sz w:val="14"/>
                <w:szCs w:val="14"/>
                <w:b w:val="1"/>
                <w:bCs w:val="1"/>
                <w:color w:val="auto"/>
                <w:w w:val="89"/>
              </w:rPr>
              <w:t>Brian L. Roberts</w:t>
            </w:r>
          </w:p>
        </w:tc>
        <w:tc>
          <w:tcPr>
            <w:tcW w:w="502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1"/>
              </w:rPr>
              <w:t>(Principal Executive Officer)</w:t>
            </w:r>
          </w:p>
        </w:tc>
        <w:tc>
          <w:tcPr>
            <w:tcW w:w="1780" w:type="dxa"/>
            <w:vAlign w:val="bottom"/>
          </w:tcPr>
          <w:p>
            <w:pPr>
              <w:spacing w:after="0"/>
              <w:rPr>
                <w:sz w:val="17"/>
                <w:szCs w:val="17"/>
                <w:color w:val="auto"/>
              </w:rPr>
            </w:pPr>
          </w:p>
        </w:tc>
      </w:tr>
      <w:tr>
        <w:trPr>
          <w:trHeight w:val="439"/>
        </w:trPr>
        <w:tc>
          <w:tcPr>
            <w:tcW w:w="42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J. C</w:t>
            </w:r>
            <w:r>
              <w:rPr>
                <w:rFonts w:ascii="Arial" w:cs="Arial" w:eastAsia="Arial" w:hAnsi="Arial"/>
                <w:sz w:val="14"/>
                <w:szCs w:val="14"/>
                <w:color w:val="auto"/>
              </w:rPr>
              <w:t>AVANAGH</w:t>
            </w:r>
          </w:p>
        </w:tc>
        <w:tc>
          <w:tcPr>
            <w:tcW w:w="5020" w:type="dxa"/>
            <w:vAlign w:val="bottom"/>
          </w:tcPr>
          <w:p>
            <w:pPr>
              <w:jc w:val="center"/>
              <w:spacing w:after="0"/>
              <w:rPr>
                <w:sz w:val="20"/>
                <w:szCs w:val="20"/>
                <w:color w:val="auto"/>
              </w:rPr>
            </w:pPr>
            <w:r>
              <w:rPr>
                <w:rFonts w:ascii="Arial" w:cs="Arial" w:eastAsia="Arial" w:hAnsi="Arial"/>
                <w:sz w:val="18"/>
                <w:szCs w:val="18"/>
                <w:color w:val="auto"/>
                <w:w w:val="89"/>
              </w:rPr>
              <w:t>Senior Executive Vice President and CFO (Principal Financial</w:t>
            </w:r>
          </w:p>
        </w:tc>
        <w:tc>
          <w:tcPr>
            <w:tcW w:w="1780" w:type="dxa"/>
            <w:vAlign w:val="bottom"/>
          </w:tcPr>
          <w:p>
            <w:pPr>
              <w:ind w:left="380"/>
              <w:spacing w:after="0"/>
              <w:rPr>
                <w:sz w:val="20"/>
                <w:szCs w:val="20"/>
                <w:color w:val="auto"/>
              </w:rPr>
            </w:pPr>
            <w:r>
              <w:rPr>
                <w:rFonts w:ascii="Arial" w:cs="Arial" w:eastAsia="Arial" w:hAnsi="Arial"/>
                <w:sz w:val="18"/>
                <w:szCs w:val="18"/>
                <w:color w:val="auto"/>
                <w:w w:val="87"/>
              </w:rPr>
              <w:t>November 23, 2015</w:t>
            </w:r>
          </w:p>
        </w:tc>
      </w:tr>
      <w:tr>
        <w:trPr>
          <w:trHeight w:val="202"/>
        </w:trPr>
        <w:tc>
          <w:tcPr>
            <w:tcW w:w="4280" w:type="dxa"/>
            <w:vAlign w:val="bottom"/>
          </w:tcPr>
          <w:p>
            <w:pPr>
              <w:jc w:val="center"/>
              <w:spacing w:after="0"/>
              <w:rPr>
                <w:sz w:val="20"/>
                <w:szCs w:val="20"/>
                <w:color w:val="auto"/>
              </w:rPr>
            </w:pPr>
            <w:r>
              <w:rPr>
                <w:rFonts w:ascii="Arial" w:cs="Arial" w:eastAsia="Arial" w:hAnsi="Arial"/>
                <w:sz w:val="14"/>
                <w:szCs w:val="14"/>
                <w:b w:val="1"/>
                <w:bCs w:val="1"/>
                <w:color w:val="auto"/>
                <w:w w:val="88"/>
              </w:rPr>
              <w:t>Michael J. Cavanagh</w:t>
            </w:r>
          </w:p>
        </w:tc>
        <w:tc>
          <w:tcPr>
            <w:tcW w:w="502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4"/>
              </w:rPr>
              <w:t>Officer)</w:t>
            </w:r>
          </w:p>
        </w:tc>
        <w:tc>
          <w:tcPr>
            <w:tcW w:w="1780" w:type="dxa"/>
            <w:vAlign w:val="bottom"/>
          </w:tcPr>
          <w:p>
            <w:pPr>
              <w:spacing w:after="0"/>
              <w:rPr>
                <w:sz w:val="17"/>
                <w:szCs w:val="17"/>
                <w:color w:val="auto"/>
              </w:rPr>
            </w:pPr>
          </w:p>
        </w:tc>
      </w:tr>
      <w:tr>
        <w:trPr>
          <w:trHeight w:val="426"/>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020" w:type="dxa"/>
            <w:vAlign w:val="bottom"/>
          </w:tcPr>
          <w:p>
            <w:pPr>
              <w:jc w:val="center"/>
              <w:ind w:right="12"/>
              <w:spacing w:after="0"/>
              <w:rPr>
                <w:sz w:val="20"/>
                <w:szCs w:val="20"/>
                <w:color w:val="auto"/>
              </w:rPr>
            </w:pPr>
            <w:r>
              <w:rPr>
                <w:rFonts w:ascii="Arial" w:cs="Arial" w:eastAsia="Arial" w:hAnsi="Arial"/>
                <w:sz w:val="18"/>
                <w:szCs w:val="18"/>
                <w:color w:val="auto"/>
                <w:w w:val="89"/>
              </w:rPr>
              <w:t>Executive Vice President, Chief</w:t>
            </w:r>
          </w:p>
        </w:tc>
        <w:tc>
          <w:tcPr>
            <w:tcW w:w="1780" w:type="dxa"/>
            <w:vAlign w:val="bottom"/>
          </w:tcPr>
          <w:p>
            <w:pPr>
              <w:ind w:left="380"/>
              <w:spacing w:after="0"/>
              <w:rPr>
                <w:sz w:val="20"/>
                <w:szCs w:val="20"/>
                <w:color w:val="auto"/>
              </w:rPr>
            </w:pPr>
            <w:r>
              <w:rPr>
                <w:rFonts w:ascii="Arial" w:cs="Arial" w:eastAsia="Arial" w:hAnsi="Arial"/>
                <w:sz w:val="18"/>
                <w:szCs w:val="18"/>
                <w:color w:val="auto"/>
                <w:w w:val="87"/>
              </w:rPr>
              <w:t>November 23, 2015</w:t>
            </w:r>
          </w:p>
        </w:tc>
      </w:tr>
      <w:tr>
        <w:trPr>
          <w:trHeight w:val="190"/>
        </w:trPr>
        <w:tc>
          <w:tcPr>
            <w:tcW w:w="4280" w:type="dxa"/>
            <w:vAlign w:val="bottom"/>
          </w:tcPr>
          <w:p>
            <w:pPr>
              <w:jc w:val="center"/>
              <w:spacing w:after="0"/>
              <w:rPr>
                <w:sz w:val="20"/>
                <w:szCs w:val="20"/>
                <w:color w:val="auto"/>
              </w:rPr>
            </w:pPr>
            <w:r>
              <w:rPr>
                <w:rFonts w:ascii="Arial" w:cs="Arial" w:eastAsia="Arial" w:hAnsi="Arial"/>
                <w:sz w:val="14"/>
                <w:szCs w:val="14"/>
                <w:b w:val="1"/>
                <w:bCs w:val="1"/>
                <w:color w:val="auto"/>
                <w:w w:val="86"/>
              </w:rPr>
              <w:t>Lawrence J. Salva</w:t>
            </w:r>
          </w:p>
        </w:tc>
        <w:tc>
          <w:tcPr>
            <w:tcW w:w="5020" w:type="dxa"/>
            <w:vAlign w:val="bottom"/>
          </w:tcPr>
          <w:p>
            <w:pPr>
              <w:jc w:val="center"/>
              <w:spacing w:after="0" w:line="190" w:lineRule="exact"/>
              <w:rPr>
                <w:sz w:val="20"/>
                <w:szCs w:val="20"/>
                <w:color w:val="auto"/>
              </w:rPr>
            </w:pPr>
            <w:r>
              <w:rPr>
                <w:rFonts w:ascii="Arial" w:cs="Arial" w:eastAsia="Arial" w:hAnsi="Arial"/>
                <w:sz w:val="18"/>
                <w:szCs w:val="18"/>
                <w:color w:val="auto"/>
                <w:w w:val="91"/>
              </w:rPr>
              <w:t>Accounting Officer and Controller</w:t>
            </w:r>
          </w:p>
        </w:tc>
        <w:tc>
          <w:tcPr>
            <w:tcW w:w="1780" w:type="dxa"/>
            <w:vAlign w:val="bottom"/>
          </w:tcPr>
          <w:p>
            <w:pPr>
              <w:spacing w:after="0"/>
              <w:rPr>
                <w:sz w:val="16"/>
                <w:szCs w:val="16"/>
                <w:color w:val="auto"/>
              </w:rPr>
            </w:pPr>
          </w:p>
        </w:tc>
      </w:tr>
      <w:tr>
        <w:trPr>
          <w:trHeight w:val="222"/>
        </w:trPr>
        <w:tc>
          <w:tcPr>
            <w:tcW w:w="4280" w:type="dxa"/>
            <w:vAlign w:val="bottom"/>
          </w:tcPr>
          <w:p>
            <w:pPr>
              <w:spacing w:after="0"/>
              <w:rPr>
                <w:sz w:val="19"/>
                <w:szCs w:val="19"/>
                <w:color w:val="auto"/>
              </w:rPr>
            </w:pPr>
          </w:p>
        </w:tc>
        <w:tc>
          <w:tcPr>
            <w:tcW w:w="5020" w:type="dxa"/>
            <w:vAlign w:val="bottom"/>
          </w:tcPr>
          <w:p>
            <w:pPr>
              <w:jc w:val="center"/>
              <w:ind w:right="12"/>
              <w:spacing w:after="0"/>
              <w:rPr>
                <w:sz w:val="20"/>
                <w:szCs w:val="20"/>
                <w:color w:val="auto"/>
              </w:rPr>
            </w:pPr>
            <w:r>
              <w:rPr>
                <w:rFonts w:ascii="Arial" w:cs="Arial" w:eastAsia="Arial" w:hAnsi="Arial"/>
                <w:sz w:val="18"/>
                <w:szCs w:val="18"/>
                <w:color w:val="auto"/>
                <w:w w:val="92"/>
              </w:rPr>
              <w:t>(Principal Accounting Officer)</w:t>
            </w:r>
          </w:p>
        </w:tc>
        <w:tc>
          <w:tcPr>
            <w:tcW w:w="1780" w:type="dxa"/>
            <w:vAlign w:val="bottom"/>
          </w:tcPr>
          <w:p>
            <w:pPr>
              <w:spacing w:after="0"/>
              <w:rPr>
                <w:sz w:val="19"/>
                <w:szCs w:val="19"/>
                <w:color w:val="auto"/>
              </w:rPr>
            </w:pPr>
          </w:p>
        </w:tc>
      </w:tr>
      <w:tr>
        <w:trPr>
          <w:trHeight w:val="447"/>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1780" w:type="dxa"/>
            <w:vAlign w:val="bottom"/>
          </w:tcPr>
          <w:p>
            <w:pPr>
              <w:ind w:left="380"/>
              <w:spacing w:after="0"/>
              <w:rPr>
                <w:sz w:val="20"/>
                <w:szCs w:val="20"/>
                <w:color w:val="auto"/>
              </w:rPr>
            </w:pPr>
            <w:r>
              <w:rPr>
                <w:rFonts w:ascii="Arial" w:cs="Arial" w:eastAsia="Arial" w:hAnsi="Arial"/>
                <w:sz w:val="18"/>
                <w:szCs w:val="18"/>
                <w:color w:val="auto"/>
                <w:w w:val="87"/>
              </w:rPr>
              <w:t>November 23, 2015</w:t>
            </w:r>
          </w:p>
        </w:tc>
      </w:tr>
      <w:tr>
        <w:trPr>
          <w:trHeight w:val="169"/>
        </w:trPr>
        <w:tc>
          <w:tcPr>
            <w:tcW w:w="4280" w:type="dxa"/>
            <w:vAlign w:val="bottom"/>
          </w:tcPr>
          <w:p>
            <w:pPr>
              <w:jc w:val="center"/>
              <w:spacing w:after="0"/>
              <w:rPr>
                <w:sz w:val="20"/>
                <w:szCs w:val="20"/>
                <w:color w:val="auto"/>
              </w:rPr>
            </w:pPr>
            <w:r>
              <w:rPr>
                <w:rFonts w:ascii="Arial" w:cs="Arial" w:eastAsia="Arial" w:hAnsi="Arial"/>
                <w:sz w:val="14"/>
                <w:szCs w:val="14"/>
                <w:b w:val="1"/>
                <w:bCs w:val="1"/>
                <w:color w:val="auto"/>
                <w:w w:val="87"/>
              </w:rPr>
              <w:t>Kenneth J. Bacon</w:t>
            </w:r>
          </w:p>
        </w:tc>
        <w:tc>
          <w:tcPr>
            <w:tcW w:w="50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419"/>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1780" w:type="dxa"/>
            <w:vAlign w:val="bottom"/>
          </w:tcPr>
          <w:p>
            <w:pPr>
              <w:ind w:left="380"/>
              <w:spacing w:after="0"/>
              <w:rPr>
                <w:sz w:val="20"/>
                <w:szCs w:val="20"/>
                <w:color w:val="auto"/>
              </w:rPr>
            </w:pPr>
            <w:r>
              <w:rPr>
                <w:rFonts w:ascii="Arial" w:cs="Arial" w:eastAsia="Arial" w:hAnsi="Arial"/>
                <w:sz w:val="18"/>
                <w:szCs w:val="18"/>
                <w:color w:val="auto"/>
                <w:w w:val="87"/>
              </w:rPr>
              <w:t>November 23, 2015</w:t>
            </w:r>
          </w:p>
        </w:tc>
      </w:tr>
      <w:tr>
        <w:trPr>
          <w:trHeight w:val="169"/>
        </w:trPr>
        <w:tc>
          <w:tcPr>
            <w:tcW w:w="4280" w:type="dxa"/>
            <w:vAlign w:val="bottom"/>
          </w:tcPr>
          <w:p>
            <w:pPr>
              <w:jc w:val="center"/>
              <w:spacing w:after="0"/>
              <w:rPr>
                <w:sz w:val="20"/>
                <w:szCs w:val="20"/>
                <w:color w:val="auto"/>
              </w:rPr>
            </w:pPr>
            <w:r>
              <w:rPr>
                <w:rFonts w:ascii="Arial" w:cs="Arial" w:eastAsia="Arial" w:hAnsi="Arial"/>
                <w:sz w:val="14"/>
                <w:szCs w:val="14"/>
                <w:b w:val="1"/>
                <w:bCs w:val="1"/>
                <w:color w:val="auto"/>
                <w:w w:val="87"/>
              </w:rPr>
              <w:t>Sheldon M. Bonovitz</w:t>
            </w:r>
          </w:p>
        </w:tc>
        <w:tc>
          <w:tcPr>
            <w:tcW w:w="50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419"/>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1780" w:type="dxa"/>
            <w:vAlign w:val="bottom"/>
          </w:tcPr>
          <w:p>
            <w:pPr>
              <w:ind w:left="380"/>
              <w:spacing w:after="0"/>
              <w:rPr>
                <w:sz w:val="20"/>
                <w:szCs w:val="20"/>
                <w:color w:val="auto"/>
              </w:rPr>
            </w:pPr>
            <w:r>
              <w:rPr>
                <w:rFonts w:ascii="Arial" w:cs="Arial" w:eastAsia="Arial" w:hAnsi="Arial"/>
                <w:sz w:val="18"/>
                <w:szCs w:val="18"/>
                <w:color w:val="auto"/>
                <w:w w:val="87"/>
              </w:rPr>
              <w:t>November 23, 2015</w:t>
            </w:r>
          </w:p>
        </w:tc>
      </w:tr>
      <w:tr>
        <w:trPr>
          <w:trHeight w:val="169"/>
        </w:trPr>
        <w:tc>
          <w:tcPr>
            <w:tcW w:w="4280" w:type="dxa"/>
            <w:vAlign w:val="bottom"/>
          </w:tcPr>
          <w:p>
            <w:pPr>
              <w:jc w:val="center"/>
              <w:spacing w:after="0"/>
              <w:rPr>
                <w:sz w:val="20"/>
                <w:szCs w:val="20"/>
                <w:color w:val="auto"/>
              </w:rPr>
            </w:pPr>
            <w:r>
              <w:rPr>
                <w:rFonts w:ascii="Arial" w:cs="Arial" w:eastAsia="Arial" w:hAnsi="Arial"/>
                <w:sz w:val="14"/>
                <w:szCs w:val="14"/>
                <w:b w:val="1"/>
                <w:bCs w:val="1"/>
                <w:color w:val="auto"/>
                <w:w w:val="83"/>
              </w:rPr>
              <w:t>Joseph J. Collins</w:t>
            </w:r>
          </w:p>
        </w:tc>
        <w:tc>
          <w:tcPr>
            <w:tcW w:w="50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419"/>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1780" w:type="dxa"/>
            <w:vAlign w:val="bottom"/>
          </w:tcPr>
          <w:p>
            <w:pPr>
              <w:ind w:left="380"/>
              <w:spacing w:after="0"/>
              <w:rPr>
                <w:sz w:val="20"/>
                <w:szCs w:val="20"/>
                <w:color w:val="auto"/>
              </w:rPr>
            </w:pPr>
            <w:r>
              <w:rPr>
                <w:rFonts w:ascii="Arial" w:cs="Arial" w:eastAsia="Arial" w:hAnsi="Arial"/>
                <w:sz w:val="18"/>
                <w:szCs w:val="18"/>
                <w:color w:val="auto"/>
                <w:w w:val="87"/>
              </w:rPr>
              <w:t>November 23, 2015</w:t>
            </w:r>
          </w:p>
        </w:tc>
      </w:tr>
      <w:tr>
        <w:trPr>
          <w:trHeight w:val="169"/>
        </w:trPr>
        <w:tc>
          <w:tcPr>
            <w:tcW w:w="4280" w:type="dxa"/>
            <w:vAlign w:val="bottom"/>
          </w:tcPr>
          <w:p>
            <w:pPr>
              <w:jc w:val="center"/>
              <w:spacing w:after="0"/>
              <w:rPr>
                <w:sz w:val="20"/>
                <w:szCs w:val="20"/>
                <w:color w:val="auto"/>
              </w:rPr>
            </w:pPr>
            <w:r>
              <w:rPr>
                <w:rFonts w:ascii="Arial" w:cs="Arial" w:eastAsia="Arial" w:hAnsi="Arial"/>
                <w:sz w:val="14"/>
                <w:szCs w:val="14"/>
                <w:b w:val="1"/>
                <w:bCs w:val="1"/>
                <w:color w:val="auto"/>
                <w:w w:val="88"/>
              </w:rPr>
              <w:t>J. Michael Cook</w:t>
            </w:r>
          </w:p>
        </w:tc>
        <w:tc>
          <w:tcPr>
            <w:tcW w:w="50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419"/>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1780" w:type="dxa"/>
            <w:vAlign w:val="bottom"/>
          </w:tcPr>
          <w:p>
            <w:pPr>
              <w:ind w:left="380"/>
              <w:spacing w:after="0"/>
              <w:rPr>
                <w:sz w:val="20"/>
                <w:szCs w:val="20"/>
                <w:color w:val="auto"/>
              </w:rPr>
            </w:pPr>
            <w:r>
              <w:rPr>
                <w:rFonts w:ascii="Arial" w:cs="Arial" w:eastAsia="Arial" w:hAnsi="Arial"/>
                <w:sz w:val="18"/>
                <w:szCs w:val="18"/>
                <w:color w:val="auto"/>
                <w:w w:val="87"/>
              </w:rPr>
              <w:t>November 23, 2015</w:t>
            </w:r>
          </w:p>
        </w:tc>
      </w:tr>
      <w:tr>
        <w:trPr>
          <w:trHeight w:val="169"/>
        </w:trPr>
        <w:tc>
          <w:tcPr>
            <w:tcW w:w="4280" w:type="dxa"/>
            <w:vAlign w:val="bottom"/>
          </w:tcPr>
          <w:p>
            <w:pPr>
              <w:jc w:val="center"/>
              <w:spacing w:after="0"/>
              <w:rPr>
                <w:sz w:val="20"/>
                <w:szCs w:val="20"/>
                <w:color w:val="auto"/>
              </w:rPr>
            </w:pPr>
            <w:r>
              <w:rPr>
                <w:rFonts w:ascii="Arial" w:cs="Arial" w:eastAsia="Arial" w:hAnsi="Arial"/>
                <w:sz w:val="14"/>
                <w:szCs w:val="14"/>
                <w:b w:val="1"/>
                <w:bCs w:val="1"/>
                <w:color w:val="auto"/>
                <w:w w:val="87"/>
              </w:rPr>
              <w:t>Gerald L. Hassell</w:t>
            </w:r>
          </w:p>
        </w:tc>
        <w:tc>
          <w:tcPr>
            <w:tcW w:w="50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419"/>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1780" w:type="dxa"/>
            <w:vAlign w:val="bottom"/>
          </w:tcPr>
          <w:p>
            <w:pPr>
              <w:ind w:left="380"/>
              <w:spacing w:after="0"/>
              <w:rPr>
                <w:sz w:val="20"/>
                <w:szCs w:val="20"/>
                <w:color w:val="auto"/>
              </w:rPr>
            </w:pPr>
            <w:r>
              <w:rPr>
                <w:rFonts w:ascii="Arial" w:cs="Arial" w:eastAsia="Arial" w:hAnsi="Arial"/>
                <w:sz w:val="18"/>
                <w:szCs w:val="18"/>
                <w:color w:val="auto"/>
                <w:w w:val="87"/>
              </w:rPr>
              <w:t>November 23, 2015</w:t>
            </w:r>
          </w:p>
        </w:tc>
      </w:tr>
      <w:tr>
        <w:trPr>
          <w:trHeight w:val="169"/>
        </w:trPr>
        <w:tc>
          <w:tcPr>
            <w:tcW w:w="4280" w:type="dxa"/>
            <w:vAlign w:val="bottom"/>
          </w:tcPr>
          <w:p>
            <w:pPr>
              <w:jc w:val="center"/>
              <w:spacing w:after="0"/>
              <w:rPr>
                <w:sz w:val="20"/>
                <w:szCs w:val="20"/>
                <w:color w:val="auto"/>
              </w:rPr>
            </w:pPr>
            <w:r>
              <w:rPr>
                <w:rFonts w:ascii="Arial" w:cs="Arial" w:eastAsia="Arial" w:hAnsi="Arial"/>
                <w:sz w:val="14"/>
                <w:szCs w:val="14"/>
                <w:b w:val="1"/>
                <w:bCs w:val="1"/>
                <w:color w:val="auto"/>
                <w:w w:val="89"/>
              </w:rPr>
              <w:t>Jeffrey A. Honickman</w:t>
            </w:r>
          </w:p>
        </w:tc>
        <w:tc>
          <w:tcPr>
            <w:tcW w:w="50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419"/>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1780" w:type="dxa"/>
            <w:vAlign w:val="bottom"/>
          </w:tcPr>
          <w:p>
            <w:pPr>
              <w:ind w:left="380"/>
              <w:spacing w:after="0"/>
              <w:rPr>
                <w:sz w:val="20"/>
                <w:szCs w:val="20"/>
                <w:color w:val="auto"/>
              </w:rPr>
            </w:pPr>
            <w:r>
              <w:rPr>
                <w:rFonts w:ascii="Arial" w:cs="Arial" w:eastAsia="Arial" w:hAnsi="Arial"/>
                <w:sz w:val="18"/>
                <w:szCs w:val="18"/>
                <w:color w:val="auto"/>
                <w:w w:val="87"/>
              </w:rPr>
              <w:t>November 23, 2015</w:t>
            </w:r>
          </w:p>
        </w:tc>
      </w:tr>
      <w:tr>
        <w:trPr>
          <w:trHeight w:val="169"/>
        </w:trPr>
        <w:tc>
          <w:tcPr>
            <w:tcW w:w="4280" w:type="dxa"/>
            <w:vAlign w:val="bottom"/>
          </w:tcPr>
          <w:p>
            <w:pPr>
              <w:jc w:val="center"/>
              <w:spacing w:after="0"/>
              <w:rPr>
                <w:sz w:val="20"/>
                <w:szCs w:val="20"/>
                <w:color w:val="auto"/>
              </w:rPr>
            </w:pPr>
            <w:r>
              <w:rPr>
                <w:rFonts w:ascii="Arial" w:cs="Arial" w:eastAsia="Arial" w:hAnsi="Arial"/>
                <w:sz w:val="14"/>
                <w:szCs w:val="14"/>
                <w:b w:val="1"/>
                <w:bCs w:val="1"/>
                <w:color w:val="auto"/>
                <w:w w:val="89"/>
              </w:rPr>
              <w:t>Eduardo G. Mestre</w:t>
            </w:r>
          </w:p>
        </w:tc>
        <w:tc>
          <w:tcPr>
            <w:tcW w:w="50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50"/>
        </w:trPr>
        <w:tc>
          <w:tcPr>
            <w:tcW w:w="4280" w:type="dxa"/>
            <w:vAlign w:val="bottom"/>
          </w:tcPr>
          <w:p>
            <w:pPr>
              <w:spacing w:after="0"/>
              <w:rPr>
                <w:sz w:val="24"/>
                <w:szCs w:val="24"/>
                <w:color w:val="auto"/>
              </w:rPr>
            </w:pPr>
          </w:p>
        </w:tc>
        <w:tc>
          <w:tcPr>
            <w:tcW w:w="5020" w:type="dxa"/>
            <w:vAlign w:val="bottom"/>
          </w:tcPr>
          <w:p>
            <w:pPr>
              <w:ind w:left="1300"/>
              <w:spacing w:after="0"/>
              <w:rPr>
                <w:sz w:val="20"/>
                <w:szCs w:val="20"/>
                <w:color w:val="auto"/>
              </w:rPr>
            </w:pPr>
            <w:r>
              <w:rPr>
                <w:rFonts w:ascii="Arial" w:cs="Arial" w:eastAsia="Arial" w:hAnsi="Arial"/>
                <w:sz w:val="18"/>
                <w:szCs w:val="18"/>
                <w:color w:val="auto"/>
              </w:rPr>
              <w:t>II-8</w:t>
            </w:r>
          </w:p>
        </w:tc>
        <w:tc>
          <w:tcPr>
            <w:tcW w:w="1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4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90"/>
              </w:rPr>
              <w:t>Title</w:t>
            </w:r>
          </w:p>
        </w:tc>
        <w:tc>
          <w:tcPr>
            <w:tcW w:w="1880" w:type="dxa"/>
            <w:vAlign w:val="bottom"/>
          </w:tcPr>
          <w:p>
            <w:pPr>
              <w:spacing w:after="0"/>
              <w:rPr>
                <w:sz w:val="14"/>
                <w:szCs w:val="14"/>
                <w:color w:val="auto"/>
              </w:rPr>
            </w:pPr>
          </w:p>
        </w:tc>
        <w:tc>
          <w:tcPr>
            <w:tcW w:w="8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5"/>
        </w:trPr>
        <w:tc>
          <w:tcPr>
            <w:tcW w:w="5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gridSpan w:val="3"/>
          </w:tcPr>
          <w:p>
            <w:pPr>
              <w:jc w:val="center"/>
              <w:ind w:left="472"/>
              <w:spacing w:after="0"/>
              <w:rPr>
                <w:sz w:val="20"/>
                <w:szCs w:val="20"/>
                <w:color w:val="auto"/>
              </w:rPr>
            </w:pPr>
            <w:r>
              <w:rPr>
                <w:rFonts w:ascii="Arial" w:cs="Arial" w:eastAsia="Arial" w:hAnsi="Arial"/>
                <w:sz w:val="18"/>
                <w:szCs w:val="18"/>
                <w:color w:val="auto"/>
                <w:w w:val="91"/>
              </w:rPr>
              <w:t>Director</w:t>
            </w:r>
          </w:p>
        </w:tc>
        <w:tc>
          <w:tcPr>
            <w:tcW w:w="2720" w:type="dxa"/>
            <w:vAlign w:val="bottom"/>
            <w:gridSpan w:val="3"/>
          </w:tcPr>
          <w:p>
            <w:pPr>
              <w:jc w:val="center"/>
              <w:ind w:left="1232"/>
              <w:spacing w:after="0"/>
              <w:rPr>
                <w:sz w:val="20"/>
                <w:szCs w:val="20"/>
                <w:color w:val="auto"/>
              </w:rPr>
            </w:pPr>
            <w:r>
              <w:rPr>
                <w:rFonts w:ascii="Arial" w:cs="Arial" w:eastAsia="Arial" w:hAnsi="Arial"/>
                <w:sz w:val="18"/>
                <w:szCs w:val="18"/>
                <w:color w:val="auto"/>
                <w:w w:val="88"/>
              </w:rPr>
              <w:t>November 23, 2015</w:t>
            </w:r>
          </w:p>
        </w:tc>
      </w:tr>
      <w:tr>
        <w:trPr>
          <w:trHeight w:val="169"/>
        </w:trPr>
        <w:tc>
          <w:tcPr>
            <w:tcW w:w="520" w:type="dxa"/>
            <w:vAlign w:val="bottom"/>
          </w:tcPr>
          <w:p>
            <w:pPr>
              <w:spacing w:after="0"/>
              <w:rPr>
                <w:sz w:val="14"/>
                <w:szCs w:val="14"/>
                <w:color w:val="auto"/>
              </w:rPr>
            </w:pPr>
          </w:p>
        </w:tc>
        <w:tc>
          <w:tcPr>
            <w:tcW w:w="3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5"/>
              </w:rPr>
              <w:t>Johnathan A. Rodgers</w:t>
            </w:r>
          </w:p>
        </w:tc>
        <w:tc>
          <w:tcPr>
            <w:tcW w:w="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419"/>
        </w:trPr>
        <w:tc>
          <w:tcPr>
            <w:tcW w:w="5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center"/>
              <w:ind w:left="1244"/>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gridSpan w:val="3"/>
          </w:tcPr>
          <w:p>
            <w:pPr>
              <w:jc w:val="center"/>
              <w:ind w:left="472"/>
              <w:spacing w:after="0"/>
              <w:rPr>
                <w:sz w:val="20"/>
                <w:szCs w:val="20"/>
                <w:color w:val="auto"/>
              </w:rPr>
            </w:pPr>
            <w:r>
              <w:rPr>
                <w:rFonts w:ascii="Arial" w:cs="Arial" w:eastAsia="Arial" w:hAnsi="Arial"/>
                <w:sz w:val="18"/>
                <w:szCs w:val="18"/>
                <w:color w:val="auto"/>
                <w:w w:val="91"/>
              </w:rPr>
              <w:t>Director</w:t>
            </w:r>
          </w:p>
        </w:tc>
        <w:tc>
          <w:tcPr>
            <w:tcW w:w="2720" w:type="dxa"/>
            <w:vAlign w:val="bottom"/>
            <w:gridSpan w:val="3"/>
          </w:tcPr>
          <w:p>
            <w:pPr>
              <w:jc w:val="center"/>
              <w:ind w:left="1232"/>
              <w:spacing w:after="0"/>
              <w:rPr>
                <w:sz w:val="20"/>
                <w:szCs w:val="20"/>
                <w:color w:val="auto"/>
              </w:rPr>
            </w:pPr>
            <w:r>
              <w:rPr>
                <w:rFonts w:ascii="Arial" w:cs="Arial" w:eastAsia="Arial" w:hAnsi="Arial"/>
                <w:sz w:val="18"/>
                <w:szCs w:val="18"/>
                <w:color w:val="auto"/>
                <w:w w:val="88"/>
              </w:rPr>
              <w:t>November 23, 2015</w:t>
            </w:r>
          </w:p>
        </w:tc>
      </w:tr>
      <w:tr>
        <w:trPr>
          <w:trHeight w:val="169"/>
        </w:trPr>
        <w:tc>
          <w:tcPr>
            <w:tcW w:w="520" w:type="dxa"/>
            <w:vAlign w:val="bottom"/>
          </w:tcPr>
          <w:p>
            <w:pPr>
              <w:spacing w:after="0"/>
              <w:rPr>
                <w:sz w:val="14"/>
                <w:szCs w:val="14"/>
                <w:color w:val="auto"/>
              </w:rPr>
            </w:pPr>
          </w:p>
        </w:tc>
        <w:tc>
          <w:tcPr>
            <w:tcW w:w="3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Dr. Judith Rodin</w:t>
            </w:r>
          </w:p>
        </w:tc>
        <w:tc>
          <w:tcPr>
            <w:tcW w:w="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405"/>
        </w:trPr>
        <w:tc>
          <w:tcPr>
            <w:tcW w:w="520" w:type="dxa"/>
            <w:vAlign w:val="bottom"/>
          </w:tcPr>
          <w:p>
            <w:pPr>
              <w:spacing w:after="0"/>
              <w:rPr>
                <w:sz w:val="20"/>
                <w:szCs w:val="20"/>
                <w:color w:val="auto"/>
              </w:rPr>
            </w:pPr>
            <w:r>
              <w:rPr>
                <w:rFonts w:ascii="Arial" w:cs="Arial" w:eastAsia="Arial" w:hAnsi="Arial"/>
                <w:sz w:val="18"/>
                <w:szCs w:val="18"/>
                <w:color w:val="auto"/>
              </w:rPr>
              <w:t>* By:</w:t>
            </w:r>
          </w:p>
        </w:tc>
        <w:tc>
          <w:tcPr>
            <w:tcW w:w="3760" w:type="dxa"/>
            <w:vAlign w:val="bottom"/>
            <w:tcBorders>
              <w:bottom w:val="single" w:sz="8" w:color="auto"/>
            </w:tcBorders>
            <w:gridSpan w:val="3"/>
          </w:tcPr>
          <w:p>
            <w:pPr>
              <w:jc w:val="center"/>
              <w:ind w:left="224"/>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c>
          <w:tcPr>
            <w:tcW w:w="300" w:type="dxa"/>
            <w:vAlign w:val="bottom"/>
            <w:tcBorders>
              <w:bottom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0"/>
        </w:trPr>
        <w:tc>
          <w:tcPr>
            <w:tcW w:w="520" w:type="dxa"/>
            <w:vAlign w:val="bottom"/>
          </w:tcPr>
          <w:p>
            <w:pPr>
              <w:spacing w:after="0"/>
              <w:rPr>
                <w:sz w:val="14"/>
                <w:szCs w:val="14"/>
                <w:color w:val="auto"/>
              </w:rPr>
            </w:pPr>
          </w:p>
        </w:tc>
        <w:tc>
          <w:tcPr>
            <w:tcW w:w="3760" w:type="dxa"/>
            <w:vAlign w:val="bottom"/>
            <w:gridSpan w:val="3"/>
          </w:tcPr>
          <w:p>
            <w:pPr>
              <w:jc w:val="center"/>
              <w:ind w:left="224"/>
              <w:spacing w:after="0"/>
              <w:rPr>
                <w:sz w:val="20"/>
                <w:szCs w:val="20"/>
                <w:color w:val="auto"/>
              </w:rPr>
            </w:pPr>
            <w:r>
              <w:rPr>
                <w:rFonts w:ascii="Arial" w:cs="Arial" w:eastAsia="Arial" w:hAnsi="Arial"/>
                <w:sz w:val="14"/>
                <w:szCs w:val="14"/>
                <w:b w:val="1"/>
                <w:bCs w:val="1"/>
                <w:color w:val="auto"/>
                <w:w w:val="90"/>
              </w:rPr>
              <w:t>Arthur R. Block, Attorney-in-Fact</w:t>
            </w:r>
          </w:p>
        </w:tc>
        <w:tc>
          <w:tcPr>
            <w:tcW w:w="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50"/>
        </w:trPr>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gridSpan w:val="3"/>
          </w:tcPr>
          <w:p>
            <w:pPr>
              <w:ind w:left="1000"/>
              <w:spacing w:after="0"/>
              <w:rPr>
                <w:sz w:val="20"/>
                <w:szCs w:val="20"/>
                <w:color w:val="auto"/>
              </w:rPr>
            </w:pPr>
            <w:r>
              <w:rPr>
                <w:rFonts w:ascii="Arial" w:cs="Arial" w:eastAsia="Arial" w:hAnsi="Arial"/>
                <w:sz w:val="18"/>
                <w:szCs w:val="18"/>
                <w:color w:val="auto"/>
              </w:rPr>
              <w:t>II-9</w:t>
            </w:r>
          </w:p>
        </w:tc>
        <w:tc>
          <w:tcPr>
            <w:tcW w:w="1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080"/>
          </w:cols>
          <w:pgMar w:left="240" w:top="459" w:right="5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FOR NBCUNIVERSAL MEDIA, LLC</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NBCUniversal Media, LLC certifies that it has reasonable grounds to believe that it meets all of the requirements for filing on Form S-3 and has duly caused this Registration Statement to be signed on its behalf by the undersigned, thereunto duly authorized, in the City of New York, State of New York, on November 23, 2015.</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NBCUNIVERSAL MEDIA,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NBCUNIVERSAL, LLC, its sole member</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right"/>
              <w:ind w:right="1206"/>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r>
      <w:tr>
        <w:trPr>
          <w:trHeight w:val="215"/>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jc w:val="right"/>
              <w:ind w:right="1446"/>
              <w:spacing w:after="0"/>
              <w:rPr>
                <w:sz w:val="20"/>
                <w:szCs w:val="20"/>
                <w:color w:val="auto"/>
              </w:rPr>
            </w:pPr>
            <w:r>
              <w:rPr>
                <w:rFonts w:ascii="Arial" w:cs="Arial" w:eastAsia="Arial" w:hAnsi="Arial"/>
                <w:sz w:val="14"/>
                <w:szCs w:val="14"/>
                <w:b w:val="1"/>
                <w:bCs w:val="1"/>
                <w:color w:val="auto"/>
              </w:rPr>
              <w:t>Arthur R. Block</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right"/>
              <w:ind w:right="1206"/>
              <w:spacing w:after="0"/>
              <w:rPr>
                <w:sz w:val="20"/>
                <w:szCs w:val="20"/>
                <w:color w:val="auto"/>
              </w:rPr>
            </w:pPr>
            <w:r>
              <w:rPr>
                <w:rFonts w:ascii="Arial" w:cs="Arial" w:eastAsia="Arial" w:hAnsi="Arial"/>
                <w:sz w:val="14"/>
                <w:szCs w:val="14"/>
                <w:b w:val="1"/>
                <w:bCs w:val="1"/>
                <w:color w:val="auto"/>
              </w:rPr>
              <w:t>Executive Vice President</w:t>
            </w:r>
          </w:p>
        </w:tc>
      </w:tr>
    </w:tbl>
    <w:p>
      <w:pPr>
        <w:spacing w:after="0" w:line="14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640" w:type="dxa"/>
            <w:vAlign w:val="bottom"/>
            <w:gridSpan w:val="2"/>
          </w:tcPr>
          <w:p>
            <w:pPr>
              <w:jc w:val="center"/>
              <w:ind w:right="2380"/>
              <w:spacing w:after="0"/>
              <w:rPr>
                <w:sz w:val="20"/>
                <w:szCs w:val="20"/>
                <w:color w:val="auto"/>
              </w:rPr>
            </w:pPr>
            <w:r>
              <w:rPr>
                <w:rFonts w:ascii="Arial" w:cs="Arial" w:eastAsia="Arial" w:hAnsi="Arial"/>
                <w:sz w:val="14"/>
                <w:szCs w:val="14"/>
                <w:b w:val="1"/>
                <w:bCs w:val="1"/>
                <w:color w:val="auto"/>
                <w:w w:val="90"/>
              </w:rPr>
              <w:t>Title</w:t>
            </w:r>
          </w:p>
        </w:tc>
        <w:tc>
          <w:tcPr>
            <w:tcW w:w="980" w:type="dxa"/>
            <w:vAlign w:val="bottom"/>
          </w:tcPr>
          <w:p>
            <w:pPr>
              <w:spacing w:after="0"/>
              <w:rPr>
                <w:sz w:val="14"/>
                <w:szCs w:val="14"/>
                <w:color w:val="auto"/>
              </w:rPr>
            </w:pPr>
          </w:p>
        </w:tc>
        <w:tc>
          <w:tcPr>
            <w:tcW w:w="8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680" w:type="dxa"/>
            <w:vAlign w:val="bottom"/>
            <w:gridSpan w:val="3"/>
            <w:vMerge w:val="restart"/>
          </w:tcPr>
          <w:p>
            <w:pPr>
              <w:jc w:val="center"/>
              <w:ind w:right="360"/>
              <w:spacing w:after="0"/>
              <w:rPr>
                <w:sz w:val="20"/>
                <w:szCs w:val="20"/>
                <w:color w:val="auto"/>
              </w:rPr>
            </w:pPr>
            <w:r>
              <w:rPr>
                <w:rFonts w:ascii="Arial" w:cs="Arial" w:eastAsia="Arial" w:hAnsi="Arial"/>
                <w:sz w:val="18"/>
                <w:szCs w:val="18"/>
                <w:color w:val="auto"/>
                <w:w w:val="92"/>
              </w:rPr>
              <w:t>Principal Executive Officer of NBCUniversal Media, LLC</w:t>
            </w:r>
          </w:p>
        </w:tc>
        <w:tc>
          <w:tcPr>
            <w:tcW w:w="182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November 23, 2015</w:t>
            </w:r>
          </w:p>
        </w:tc>
        <w:tc>
          <w:tcPr>
            <w:tcW w:w="0" w:type="dxa"/>
            <w:vAlign w:val="bottom"/>
          </w:tcPr>
          <w:p>
            <w:pPr>
              <w:spacing w:after="0"/>
              <w:rPr>
                <w:sz w:val="1"/>
                <w:szCs w:val="1"/>
                <w:color w:val="auto"/>
              </w:rPr>
            </w:pPr>
          </w:p>
        </w:tc>
      </w:tr>
      <w:tr>
        <w:trPr>
          <w:trHeight w:val="170"/>
        </w:trPr>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8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9"/>
              </w:rPr>
              <w:t>Brian L. Roberts</w:t>
            </w:r>
          </w:p>
        </w:tc>
        <w:tc>
          <w:tcPr>
            <w:tcW w:w="300" w:type="dxa"/>
            <w:vAlign w:val="bottom"/>
          </w:tcPr>
          <w:p>
            <w:pPr>
              <w:spacing w:after="0"/>
              <w:rPr>
                <w:sz w:val="14"/>
                <w:szCs w:val="14"/>
                <w:color w:val="auto"/>
              </w:rPr>
            </w:pPr>
          </w:p>
        </w:tc>
        <w:tc>
          <w:tcPr>
            <w:tcW w:w="468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8"/>
        </w:trPr>
        <w:tc>
          <w:tcPr>
            <w:tcW w:w="5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J. C</w:t>
            </w:r>
            <w:r>
              <w:rPr>
                <w:rFonts w:ascii="Arial" w:cs="Arial" w:eastAsia="Arial" w:hAnsi="Arial"/>
                <w:sz w:val="14"/>
                <w:szCs w:val="14"/>
                <w:color w:val="auto"/>
              </w:rPr>
              <w:t>AVANAGH</w:t>
            </w:r>
          </w:p>
        </w:tc>
        <w:tc>
          <w:tcPr>
            <w:tcW w:w="300" w:type="dxa"/>
            <w:vAlign w:val="bottom"/>
          </w:tcPr>
          <w:p>
            <w:pPr>
              <w:spacing w:after="0"/>
              <w:rPr>
                <w:sz w:val="24"/>
                <w:szCs w:val="24"/>
                <w:color w:val="auto"/>
              </w:rPr>
            </w:pPr>
          </w:p>
        </w:tc>
        <w:tc>
          <w:tcPr>
            <w:tcW w:w="468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Principal Financial Officer of NBCUniversal Media, LLC;</w:t>
            </w:r>
          </w:p>
        </w:tc>
        <w:tc>
          <w:tcPr>
            <w:tcW w:w="182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November 23, 2015</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8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8"/>
              </w:rPr>
              <w:t>Michael J. Cavanagh</w:t>
            </w:r>
          </w:p>
        </w:tc>
        <w:tc>
          <w:tcPr>
            <w:tcW w:w="300" w:type="dxa"/>
            <w:vAlign w:val="bottom"/>
          </w:tcPr>
          <w:p>
            <w:pPr>
              <w:spacing w:after="0"/>
              <w:rPr>
                <w:sz w:val="17"/>
                <w:szCs w:val="17"/>
                <w:color w:val="auto"/>
              </w:rPr>
            </w:pPr>
          </w:p>
        </w:tc>
        <w:tc>
          <w:tcPr>
            <w:tcW w:w="4680" w:type="dxa"/>
            <w:vAlign w:val="bottom"/>
            <w:gridSpan w:val="3"/>
          </w:tcPr>
          <w:p>
            <w:pPr>
              <w:jc w:val="center"/>
              <w:ind w:right="360"/>
              <w:spacing w:after="0" w:line="202" w:lineRule="exact"/>
              <w:rPr>
                <w:sz w:val="20"/>
                <w:szCs w:val="20"/>
                <w:color w:val="auto"/>
              </w:rPr>
            </w:pPr>
            <w:r>
              <w:rPr>
                <w:rFonts w:ascii="Arial" w:cs="Arial" w:eastAsia="Arial" w:hAnsi="Arial"/>
                <w:sz w:val="18"/>
                <w:szCs w:val="18"/>
                <w:color w:val="auto"/>
                <w:w w:val="93"/>
              </w:rPr>
              <w:t>Director of NBCUniversal, LLC</w:t>
            </w: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5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680" w:type="dxa"/>
            <w:vAlign w:val="bottom"/>
            <w:gridSpan w:val="3"/>
          </w:tcPr>
          <w:p>
            <w:pPr>
              <w:jc w:val="center"/>
              <w:ind w:right="360"/>
              <w:spacing w:after="0"/>
              <w:rPr>
                <w:sz w:val="20"/>
                <w:szCs w:val="20"/>
                <w:color w:val="auto"/>
              </w:rPr>
            </w:pPr>
            <w:r>
              <w:rPr>
                <w:rFonts w:ascii="Arial" w:cs="Arial" w:eastAsia="Arial" w:hAnsi="Arial"/>
                <w:sz w:val="18"/>
                <w:szCs w:val="18"/>
                <w:color w:val="auto"/>
                <w:w w:val="88"/>
              </w:rPr>
              <w:t>Senior Executive Vice President;</w:t>
            </w:r>
          </w:p>
        </w:tc>
        <w:tc>
          <w:tcPr>
            <w:tcW w:w="182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November 23, 2015</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8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90"/>
              </w:rPr>
              <w:t>David L. Cohen</w:t>
            </w:r>
          </w:p>
        </w:tc>
        <w:tc>
          <w:tcPr>
            <w:tcW w:w="300" w:type="dxa"/>
            <w:vAlign w:val="bottom"/>
          </w:tcPr>
          <w:p>
            <w:pPr>
              <w:spacing w:after="0"/>
              <w:rPr>
                <w:sz w:val="17"/>
                <w:szCs w:val="17"/>
                <w:color w:val="auto"/>
              </w:rPr>
            </w:pPr>
          </w:p>
        </w:tc>
        <w:tc>
          <w:tcPr>
            <w:tcW w:w="4680" w:type="dxa"/>
            <w:vAlign w:val="bottom"/>
            <w:gridSpan w:val="3"/>
          </w:tcPr>
          <w:p>
            <w:pPr>
              <w:jc w:val="center"/>
              <w:ind w:right="360"/>
              <w:spacing w:after="0" w:line="202" w:lineRule="exact"/>
              <w:rPr>
                <w:sz w:val="20"/>
                <w:szCs w:val="20"/>
                <w:color w:val="auto"/>
              </w:rPr>
            </w:pPr>
            <w:r>
              <w:rPr>
                <w:rFonts w:ascii="Arial" w:cs="Arial" w:eastAsia="Arial" w:hAnsi="Arial"/>
                <w:sz w:val="18"/>
                <w:szCs w:val="18"/>
                <w:color w:val="auto"/>
                <w:w w:val="93"/>
              </w:rPr>
              <w:t>Director of NBCUniversal, LLC</w:t>
            </w: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5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73"/>
              </w:rPr>
              <w:t>/s/</w:t>
            </w:r>
          </w:p>
        </w:tc>
        <w:tc>
          <w:tcPr>
            <w:tcW w:w="2980" w:type="dxa"/>
            <w:vAlign w:val="bottom"/>
            <w:tcBorders>
              <w:bottom w:val="single" w:sz="8" w:color="auto"/>
            </w:tcBorders>
            <w:gridSpan w:val="3"/>
          </w:tcPr>
          <w:p>
            <w:pPr>
              <w:jc w:val="center"/>
              <w:ind w:right="1240"/>
              <w:spacing w:after="0"/>
              <w:rPr>
                <w:sz w:val="20"/>
                <w:szCs w:val="20"/>
                <w:color w:val="auto"/>
              </w:rPr>
            </w:pPr>
            <w:r>
              <w:rPr>
                <w:rFonts w:ascii="Arial" w:cs="Arial" w:eastAsia="Arial" w:hAnsi="Arial"/>
                <w:sz w:val="18"/>
                <w:szCs w:val="18"/>
                <w:color w:val="auto"/>
                <w:w w:val="99"/>
              </w:rPr>
              <w:t>A</w:t>
            </w:r>
            <w:r>
              <w:rPr>
                <w:rFonts w:ascii="Arial" w:cs="Arial" w:eastAsia="Arial" w:hAnsi="Arial"/>
                <w:sz w:val="14"/>
                <w:szCs w:val="14"/>
                <w:color w:val="auto"/>
                <w:w w:val="99"/>
              </w:rPr>
              <w:t>RTHUR</w:t>
            </w:r>
            <w:r>
              <w:rPr>
                <w:rFonts w:ascii="Arial" w:cs="Arial" w:eastAsia="Arial" w:hAnsi="Arial"/>
                <w:sz w:val="18"/>
                <w:szCs w:val="18"/>
                <w:color w:val="auto"/>
                <w:w w:val="99"/>
              </w:rPr>
              <w:t xml:space="preserve"> R. B</w:t>
            </w:r>
            <w:r>
              <w:rPr>
                <w:rFonts w:ascii="Arial" w:cs="Arial" w:eastAsia="Arial" w:hAnsi="Arial"/>
                <w:sz w:val="14"/>
                <w:szCs w:val="14"/>
                <w:color w:val="auto"/>
                <w:w w:val="99"/>
              </w:rPr>
              <w:t>LOCK</w:t>
            </w:r>
          </w:p>
        </w:tc>
        <w:tc>
          <w:tcPr>
            <w:tcW w:w="300" w:type="dxa"/>
            <w:vAlign w:val="bottom"/>
          </w:tcPr>
          <w:p>
            <w:pPr>
              <w:spacing w:after="0"/>
              <w:rPr>
                <w:sz w:val="24"/>
                <w:szCs w:val="24"/>
                <w:color w:val="auto"/>
              </w:rPr>
            </w:pPr>
          </w:p>
        </w:tc>
        <w:tc>
          <w:tcPr>
            <w:tcW w:w="4680" w:type="dxa"/>
            <w:vAlign w:val="bottom"/>
            <w:gridSpan w:val="3"/>
            <w:vMerge w:val="restart"/>
          </w:tcPr>
          <w:p>
            <w:pPr>
              <w:jc w:val="center"/>
              <w:ind w:right="340"/>
              <w:spacing w:after="0"/>
              <w:rPr>
                <w:sz w:val="20"/>
                <w:szCs w:val="20"/>
                <w:color w:val="auto"/>
              </w:rPr>
            </w:pPr>
            <w:r>
              <w:rPr>
                <w:rFonts w:ascii="Arial" w:cs="Arial" w:eastAsia="Arial" w:hAnsi="Arial"/>
                <w:sz w:val="18"/>
                <w:szCs w:val="18"/>
                <w:color w:val="auto"/>
                <w:w w:val="91"/>
              </w:rPr>
              <w:t>Executive Vice President; Director of NBCUniversal, LLC</w:t>
            </w:r>
          </w:p>
        </w:tc>
        <w:tc>
          <w:tcPr>
            <w:tcW w:w="182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November 23, 2015</w:t>
            </w:r>
          </w:p>
        </w:tc>
        <w:tc>
          <w:tcPr>
            <w:tcW w:w="0" w:type="dxa"/>
            <w:vAlign w:val="bottom"/>
          </w:tcPr>
          <w:p>
            <w:pPr>
              <w:spacing w:after="0"/>
              <w:rPr>
                <w:sz w:val="1"/>
                <w:szCs w:val="1"/>
                <w:color w:val="auto"/>
              </w:rPr>
            </w:pPr>
          </w:p>
        </w:tc>
      </w:tr>
      <w:tr>
        <w:trPr>
          <w:trHeight w:val="170"/>
        </w:trPr>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8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91"/>
              </w:rPr>
              <w:t>Arthur R. Block</w:t>
            </w:r>
          </w:p>
        </w:tc>
        <w:tc>
          <w:tcPr>
            <w:tcW w:w="300" w:type="dxa"/>
            <w:vAlign w:val="bottom"/>
          </w:tcPr>
          <w:p>
            <w:pPr>
              <w:spacing w:after="0"/>
              <w:rPr>
                <w:sz w:val="14"/>
                <w:szCs w:val="14"/>
                <w:color w:val="auto"/>
              </w:rPr>
            </w:pPr>
          </w:p>
        </w:tc>
        <w:tc>
          <w:tcPr>
            <w:tcW w:w="468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8"/>
        </w:trPr>
        <w:tc>
          <w:tcPr>
            <w:tcW w:w="5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680" w:type="dxa"/>
            <w:vAlign w:val="bottom"/>
            <w:gridSpan w:val="3"/>
            <w:vMerge w:val="restart"/>
          </w:tcPr>
          <w:p>
            <w:pPr>
              <w:jc w:val="center"/>
              <w:ind w:right="340"/>
              <w:spacing w:after="0"/>
              <w:rPr>
                <w:sz w:val="20"/>
                <w:szCs w:val="20"/>
                <w:color w:val="auto"/>
              </w:rPr>
            </w:pPr>
            <w:r>
              <w:rPr>
                <w:rFonts w:ascii="Arial" w:cs="Arial" w:eastAsia="Arial" w:hAnsi="Arial"/>
                <w:sz w:val="18"/>
                <w:szCs w:val="18"/>
                <w:color w:val="auto"/>
                <w:w w:val="92"/>
              </w:rPr>
              <w:t>Principal Accounting Officer of NBCUniversal Media, LLC</w:t>
            </w:r>
          </w:p>
        </w:tc>
        <w:tc>
          <w:tcPr>
            <w:tcW w:w="182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November 23, 2015</w:t>
            </w:r>
          </w:p>
        </w:tc>
        <w:tc>
          <w:tcPr>
            <w:tcW w:w="0" w:type="dxa"/>
            <w:vAlign w:val="bottom"/>
          </w:tcPr>
          <w:p>
            <w:pPr>
              <w:spacing w:after="0"/>
              <w:rPr>
                <w:sz w:val="1"/>
                <w:szCs w:val="1"/>
                <w:color w:val="auto"/>
              </w:rPr>
            </w:pPr>
          </w:p>
        </w:tc>
      </w:tr>
      <w:tr>
        <w:trPr>
          <w:trHeight w:val="170"/>
        </w:trPr>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8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6"/>
              </w:rPr>
              <w:t>Lawrence J. Salva</w:t>
            </w:r>
          </w:p>
        </w:tc>
        <w:tc>
          <w:tcPr>
            <w:tcW w:w="300" w:type="dxa"/>
            <w:vAlign w:val="bottom"/>
          </w:tcPr>
          <w:p>
            <w:pPr>
              <w:spacing w:after="0"/>
              <w:rPr>
                <w:sz w:val="14"/>
                <w:szCs w:val="14"/>
                <w:color w:val="auto"/>
              </w:rPr>
            </w:pPr>
          </w:p>
        </w:tc>
        <w:tc>
          <w:tcPr>
            <w:tcW w:w="468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1300" w:type="dxa"/>
            <w:vAlign w:val="bottom"/>
            <w:gridSpan w:val="2"/>
          </w:tcPr>
          <w:p>
            <w:pPr>
              <w:spacing w:after="0"/>
              <w:rPr>
                <w:sz w:val="20"/>
                <w:szCs w:val="20"/>
                <w:color w:val="auto"/>
              </w:rPr>
            </w:pPr>
            <w:r>
              <w:rPr>
                <w:rFonts w:ascii="Arial" w:cs="Arial" w:eastAsia="Arial" w:hAnsi="Arial"/>
                <w:sz w:val="18"/>
                <w:szCs w:val="18"/>
                <w:color w:val="auto"/>
              </w:rPr>
              <w:t>* By:</w:t>
            </w:r>
          </w:p>
        </w:tc>
        <w:tc>
          <w:tcPr>
            <w:tcW w:w="2980" w:type="dxa"/>
            <w:vAlign w:val="bottom"/>
            <w:gridSpan w:val="3"/>
          </w:tcPr>
          <w:p>
            <w:pPr>
              <w:jc w:val="center"/>
              <w:ind w:right="440"/>
              <w:spacing w:after="0"/>
              <w:rPr>
                <w:sz w:val="20"/>
                <w:szCs w:val="20"/>
                <w:color w:val="auto"/>
              </w:rPr>
            </w:pPr>
            <w:r>
              <w:rPr>
                <w:rFonts w:ascii="Arial" w:cs="Arial" w:eastAsia="Arial" w:hAnsi="Arial"/>
                <w:sz w:val="18"/>
                <w:szCs w:val="18"/>
                <w:color w:val="auto"/>
                <w:w w:val="97"/>
              </w:rPr>
              <w:t>/s/  Arthur R. Block</w:t>
            </w: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6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980" w:type="dxa"/>
            <w:vAlign w:val="bottom"/>
            <w:tcBorders>
              <w:top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0"/>
              </w:rPr>
              <w:t>Arthur R. Block, Attorney-in-Fact</w:t>
            </w:r>
          </w:p>
        </w:tc>
        <w:tc>
          <w:tcPr>
            <w:tcW w:w="300" w:type="dxa"/>
            <w:vAlign w:val="bottom"/>
            <w:tcBorders>
              <w:top w:val="single" w:sz="8" w:color="auto"/>
            </w:tcBorders>
          </w:tcPr>
          <w:p>
            <w:pPr>
              <w:spacing w:after="0"/>
              <w:rPr>
                <w:sz w:val="14"/>
                <w:szCs w:val="14"/>
                <w:color w:val="auto"/>
              </w:rPr>
            </w:pP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80" w:type="dxa"/>
            <w:vAlign w:val="bottom"/>
            <w:gridSpan w:val="3"/>
          </w:tcPr>
          <w:p>
            <w:pPr>
              <w:ind w:left="960"/>
              <w:spacing w:after="0"/>
              <w:rPr>
                <w:sz w:val="20"/>
                <w:szCs w:val="20"/>
                <w:color w:val="auto"/>
              </w:rPr>
            </w:pPr>
            <w:r>
              <w:rPr>
                <w:rFonts w:ascii="Arial" w:cs="Arial" w:eastAsia="Arial" w:hAnsi="Arial"/>
                <w:sz w:val="18"/>
                <w:szCs w:val="18"/>
                <w:color w:val="auto"/>
              </w:rPr>
              <w:t>II-10</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FOR COMCAST CABLE COMMUNICATIONS, LLC</w:t>
      </w:r>
    </w:p>
    <w:p>
      <w:pPr>
        <w:spacing w:after="0" w:line="17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Comcast Cable Communications, LLC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November 23, 2015.</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right"/>
              <w:ind w:right="1206"/>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jc w:val="right"/>
              <w:ind w:right="1446"/>
              <w:spacing w:after="0"/>
              <w:rPr>
                <w:sz w:val="20"/>
                <w:szCs w:val="20"/>
                <w:color w:val="auto"/>
              </w:rPr>
            </w:pPr>
            <w:r>
              <w:rPr>
                <w:rFonts w:ascii="Arial" w:cs="Arial" w:eastAsia="Arial" w:hAnsi="Arial"/>
                <w:sz w:val="14"/>
                <w:szCs w:val="14"/>
                <w:b w:val="1"/>
                <w:bCs w:val="1"/>
                <w:color w:val="auto"/>
              </w:rPr>
              <w:t>Arthur R. Block</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right"/>
              <w:ind w:right="1206"/>
              <w:spacing w:after="0"/>
              <w:rPr>
                <w:sz w:val="20"/>
                <w:szCs w:val="20"/>
                <w:color w:val="auto"/>
              </w:rPr>
            </w:pPr>
            <w:r>
              <w:rPr>
                <w:rFonts w:ascii="Arial" w:cs="Arial" w:eastAsia="Arial" w:hAnsi="Arial"/>
                <w:sz w:val="14"/>
                <w:szCs w:val="14"/>
                <w:b w:val="1"/>
                <w:bCs w:val="1"/>
                <w:color w:val="auto"/>
              </w:rPr>
              <w:t>Executive Vice President</w:t>
            </w:r>
          </w:p>
        </w:tc>
      </w:tr>
    </w:tbl>
    <w:p>
      <w:pPr>
        <w:spacing w:after="0" w:line="14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7"/>
              </w:rPr>
              <w:t>Title</w:t>
            </w:r>
          </w:p>
        </w:tc>
        <w:tc>
          <w:tcPr>
            <w:tcW w:w="880" w:type="dxa"/>
            <w:vAlign w:val="bottom"/>
          </w:tcPr>
          <w:p>
            <w:pPr>
              <w:spacing w:after="0"/>
              <w:rPr>
                <w:sz w:val="14"/>
                <w:szCs w:val="14"/>
                <w:color w:val="auto"/>
              </w:rPr>
            </w:pPr>
          </w:p>
        </w:tc>
        <w:tc>
          <w:tcPr>
            <w:tcW w:w="8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24"/>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60" w:type="dxa"/>
            <w:vAlign w:val="bottom"/>
            <w:gridSpan w:val="3"/>
          </w:tcPr>
          <w:p>
            <w:pPr>
              <w:jc w:val="center"/>
              <w:ind w:right="540"/>
              <w:spacing w:after="0"/>
              <w:rPr>
                <w:sz w:val="20"/>
                <w:szCs w:val="20"/>
                <w:color w:val="auto"/>
              </w:rPr>
            </w:pPr>
            <w:r>
              <w:rPr>
                <w:rFonts w:ascii="Arial" w:cs="Arial" w:eastAsia="Arial" w:hAnsi="Arial"/>
                <w:sz w:val="18"/>
                <w:szCs w:val="18"/>
                <w:color w:val="auto"/>
                <w:w w:val="87"/>
              </w:rPr>
              <w:t>Chairman</w:t>
            </w:r>
          </w:p>
        </w:tc>
        <w:tc>
          <w:tcPr>
            <w:tcW w:w="174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November 23, 2015</w:t>
            </w:r>
          </w:p>
        </w:tc>
      </w:tr>
      <w:tr>
        <w:trPr>
          <w:trHeight w:val="202"/>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160" w:type="dxa"/>
            <w:vAlign w:val="bottom"/>
            <w:gridSpan w:val="4"/>
          </w:tcPr>
          <w:p>
            <w:pPr>
              <w:jc w:val="center"/>
              <w:ind w:right="1340"/>
              <w:spacing w:after="0"/>
              <w:rPr>
                <w:sz w:val="20"/>
                <w:szCs w:val="20"/>
                <w:color w:val="auto"/>
              </w:rPr>
            </w:pPr>
            <w:r>
              <w:rPr>
                <w:rFonts w:ascii="Arial" w:cs="Arial" w:eastAsia="Arial" w:hAnsi="Arial"/>
                <w:sz w:val="14"/>
                <w:szCs w:val="14"/>
                <w:b w:val="1"/>
                <w:bCs w:val="1"/>
                <w:color w:val="auto"/>
                <w:w w:val="89"/>
              </w:rPr>
              <w:t>Brian L. Roberts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60" w:type="dxa"/>
            <w:vAlign w:val="bottom"/>
            <w:gridSpan w:val="3"/>
          </w:tcPr>
          <w:p>
            <w:pPr>
              <w:jc w:val="center"/>
              <w:ind w:right="540"/>
              <w:spacing w:after="0" w:line="202" w:lineRule="exact"/>
              <w:rPr>
                <w:sz w:val="20"/>
                <w:szCs w:val="20"/>
                <w:color w:val="auto"/>
              </w:rPr>
            </w:pPr>
            <w:r>
              <w:rPr>
                <w:rFonts w:ascii="Arial" w:cs="Arial" w:eastAsia="Arial" w:hAnsi="Arial"/>
                <w:sz w:val="18"/>
                <w:szCs w:val="18"/>
                <w:color w:val="auto"/>
                <w:w w:val="91"/>
              </w:rPr>
              <w:t>(Principal Executive Officer)</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/s/</w:t>
            </w:r>
          </w:p>
        </w:tc>
        <w:tc>
          <w:tcPr>
            <w:tcW w:w="3160" w:type="dxa"/>
            <w:vAlign w:val="bottom"/>
            <w:tcBorders>
              <w:bottom w:val="single" w:sz="8" w:color="auto"/>
            </w:tcBorders>
            <w:gridSpan w:val="4"/>
          </w:tcPr>
          <w:p>
            <w:pPr>
              <w:jc w:val="center"/>
              <w:ind w:right="12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J. C</w:t>
            </w:r>
            <w:r>
              <w:rPr>
                <w:rFonts w:ascii="Arial" w:cs="Arial" w:eastAsia="Arial" w:hAnsi="Arial"/>
                <w:sz w:val="14"/>
                <w:szCs w:val="14"/>
                <w:color w:val="auto"/>
              </w:rPr>
              <w:t>AVANAGH</w:t>
            </w:r>
          </w:p>
        </w:tc>
        <w:tc>
          <w:tcPr>
            <w:tcW w:w="80" w:type="dxa"/>
            <w:vAlign w:val="bottom"/>
          </w:tcPr>
          <w:p>
            <w:pPr>
              <w:spacing w:after="0"/>
              <w:rPr>
                <w:sz w:val="24"/>
                <w:szCs w:val="24"/>
                <w:color w:val="auto"/>
              </w:rPr>
            </w:pPr>
          </w:p>
        </w:tc>
        <w:tc>
          <w:tcPr>
            <w:tcW w:w="4780" w:type="dxa"/>
            <w:vAlign w:val="bottom"/>
            <w:gridSpan w:val="4"/>
          </w:tcPr>
          <w:p>
            <w:pPr>
              <w:jc w:val="center"/>
              <w:ind w:right="200"/>
              <w:spacing w:after="0"/>
              <w:rPr>
                <w:sz w:val="20"/>
                <w:szCs w:val="20"/>
                <w:color w:val="auto"/>
              </w:rPr>
            </w:pPr>
            <w:r>
              <w:rPr>
                <w:rFonts w:ascii="Arial" w:cs="Arial" w:eastAsia="Arial" w:hAnsi="Arial"/>
                <w:sz w:val="18"/>
                <w:szCs w:val="18"/>
                <w:color w:val="auto"/>
                <w:w w:val="89"/>
              </w:rPr>
              <w:t>Senior Executive Vice President and CFO (Principal Financial</w:t>
            </w:r>
          </w:p>
        </w:tc>
        <w:tc>
          <w:tcPr>
            <w:tcW w:w="174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November 23, 2015</w:t>
            </w:r>
          </w:p>
        </w:tc>
      </w:tr>
      <w:tr>
        <w:trPr>
          <w:trHeight w:val="202"/>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160" w:type="dxa"/>
            <w:vAlign w:val="bottom"/>
            <w:gridSpan w:val="4"/>
          </w:tcPr>
          <w:p>
            <w:pPr>
              <w:jc w:val="center"/>
              <w:ind w:right="1340"/>
              <w:spacing w:after="0"/>
              <w:rPr>
                <w:sz w:val="20"/>
                <w:szCs w:val="20"/>
                <w:color w:val="auto"/>
              </w:rPr>
            </w:pPr>
            <w:r>
              <w:rPr>
                <w:rFonts w:ascii="Arial" w:cs="Arial" w:eastAsia="Arial" w:hAnsi="Arial"/>
                <w:sz w:val="14"/>
                <w:szCs w:val="14"/>
                <w:b w:val="1"/>
                <w:bCs w:val="1"/>
                <w:color w:val="auto"/>
                <w:w w:val="88"/>
              </w:rPr>
              <w:t>Michael J. Cavanagh</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60" w:type="dxa"/>
            <w:vAlign w:val="bottom"/>
            <w:gridSpan w:val="3"/>
          </w:tcPr>
          <w:p>
            <w:pPr>
              <w:jc w:val="center"/>
              <w:ind w:right="540"/>
              <w:spacing w:after="0" w:line="202" w:lineRule="exact"/>
              <w:rPr>
                <w:sz w:val="20"/>
                <w:szCs w:val="20"/>
                <w:color w:val="auto"/>
              </w:rPr>
            </w:pPr>
            <w:r>
              <w:rPr>
                <w:rFonts w:ascii="Arial" w:cs="Arial" w:eastAsia="Arial" w:hAnsi="Arial"/>
                <w:sz w:val="18"/>
                <w:szCs w:val="18"/>
                <w:color w:val="auto"/>
                <w:w w:val="94"/>
              </w:rPr>
              <w:t>Officer)</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26"/>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60" w:type="dxa"/>
            <w:vAlign w:val="bottom"/>
            <w:gridSpan w:val="3"/>
          </w:tcPr>
          <w:p>
            <w:pPr>
              <w:jc w:val="center"/>
              <w:ind w:right="540"/>
              <w:spacing w:after="0"/>
              <w:rPr>
                <w:sz w:val="20"/>
                <w:szCs w:val="20"/>
                <w:color w:val="auto"/>
              </w:rPr>
            </w:pPr>
            <w:r>
              <w:rPr>
                <w:rFonts w:ascii="Arial" w:cs="Arial" w:eastAsia="Arial" w:hAnsi="Arial"/>
                <w:sz w:val="18"/>
                <w:szCs w:val="18"/>
                <w:color w:val="auto"/>
                <w:w w:val="88"/>
              </w:rPr>
              <w:t>Executive Vice President</w:t>
            </w:r>
          </w:p>
        </w:tc>
        <w:tc>
          <w:tcPr>
            <w:tcW w:w="174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November 23, 2015</w:t>
            </w:r>
          </w:p>
        </w:tc>
      </w:tr>
      <w:tr>
        <w:trPr>
          <w:trHeight w:val="202"/>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160" w:type="dxa"/>
            <w:vAlign w:val="bottom"/>
            <w:gridSpan w:val="4"/>
          </w:tcPr>
          <w:p>
            <w:pPr>
              <w:jc w:val="center"/>
              <w:ind w:right="1320"/>
              <w:spacing w:after="0"/>
              <w:rPr>
                <w:sz w:val="20"/>
                <w:szCs w:val="20"/>
                <w:color w:val="auto"/>
              </w:rPr>
            </w:pPr>
            <w:r>
              <w:rPr>
                <w:rFonts w:ascii="Arial" w:cs="Arial" w:eastAsia="Arial" w:hAnsi="Arial"/>
                <w:sz w:val="14"/>
                <w:szCs w:val="14"/>
                <w:b w:val="1"/>
                <w:bCs w:val="1"/>
                <w:color w:val="auto"/>
                <w:w w:val="86"/>
              </w:rPr>
              <w:t>Lawrence J. Salva</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60" w:type="dxa"/>
            <w:vAlign w:val="bottom"/>
            <w:gridSpan w:val="3"/>
          </w:tcPr>
          <w:p>
            <w:pPr>
              <w:jc w:val="center"/>
              <w:ind w:right="540"/>
              <w:spacing w:after="0" w:line="202" w:lineRule="exact"/>
              <w:rPr>
                <w:sz w:val="20"/>
                <w:szCs w:val="20"/>
                <w:color w:val="auto"/>
              </w:rPr>
            </w:pPr>
            <w:r>
              <w:rPr>
                <w:rFonts w:ascii="Arial" w:cs="Arial" w:eastAsia="Arial" w:hAnsi="Arial"/>
                <w:sz w:val="18"/>
                <w:szCs w:val="18"/>
                <w:color w:val="auto"/>
                <w:w w:val="92"/>
              </w:rPr>
              <w:t>(Principal Accounting Officer)</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12"/>
        </w:trPr>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gridSpan w:val="5"/>
          </w:tcPr>
          <w:p>
            <w:pPr>
              <w:ind w:left="360"/>
              <w:spacing w:after="0"/>
              <w:rPr>
                <w:sz w:val="20"/>
                <w:szCs w:val="20"/>
                <w:color w:val="auto"/>
              </w:rPr>
            </w:pPr>
            <w:r>
              <w:rPr>
                <w:rFonts w:ascii="Arial" w:cs="Arial" w:eastAsia="Arial" w:hAnsi="Arial"/>
                <w:sz w:val="18"/>
                <w:szCs w:val="18"/>
                <w:color w:val="auto"/>
              </w:rPr>
              <w:t>COMCAST HOLDINGS CORPORATION</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3"/>
        </w:trPr>
        <w:tc>
          <w:tcPr>
            <w:tcW w:w="1340" w:type="dxa"/>
            <w:vAlign w:val="bottom"/>
            <w:gridSpan w:val="3"/>
          </w:tcPr>
          <w:p>
            <w:pPr>
              <w:spacing w:after="0"/>
              <w:rPr>
                <w:sz w:val="20"/>
                <w:szCs w:val="20"/>
                <w:color w:val="auto"/>
              </w:rPr>
            </w:pPr>
            <w:r>
              <w:rPr>
                <w:rFonts w:ascii="Arial" w:cs="Arial" w:eastAsia="Arial" w:hAnsi="Arial"/>
                <w:sz w:val="18"/>
                <w:szCs w:val="18"/>
                <w:color w:val="auto"/>
              </w:rPr>
              <w:t>By:</w:t>
            </w:r>
          </w:p>
        </w:tc>
        <w:tc>
          <w:tcPr>
            <w:tcW w:w="580" w:type="dxa"/>
            <w:vAlign w:val="bottom"/>
          </w:tcPr>
          <w:p>
            <w:pPr>
              <w:ind w:left="340"/>
              <w:spacing w:after="0"/>
              <w:rPr>
                <w:sz w:val="20"/>
                <w:szCs w:val="20"/>
                <w:color w:val="auto"/>
              </w:rPr>
            </w:pPr>
            <w:r>
              <w:rPr>
                <w:rFonts w:ascii="Arial" w:cs="Arial" w:eastAsia="Arial" w:hAnsi="Arial"/>
                <w:sz w:val="18"/>
                <w:szCs w:val="18"/>
                <w:color w:val="auto"/>
              </w:rPr>
              <w:t>/s/</w:t>
            </w:r>
          </w:p>
        </w:tc>
        <w:tc>
          <w:tcPr>
            <w:tcW w:w="40" w:type="dxa"/>
            <w:vAlign w:val="bottom"/>
          </w:tcPr>
          <w:p>
            <w:pPr>
              <w:spacing w:after="0"/>
              <w:rPr>
                <w:sz w:val="24"/>
                <w:szCs w:val="24"/>
                <w:color w:val="auto"/>
              </w:rPr>
            </w:pPr>
          </w:p>
        </w:tc>
        <w:tc>
          <w:tcPr>
            <w:tcW w:w="2540" w:type="dxa"/>
            <w:vAlign w:val="bottom"/>
            <w:gridSpan w:val="2"/>
          </w:tcPr>
          <w:p>
            <w:pPr>
              <w:jc w:val="center"/>
              <w:ind w:right="1080"/>
              <w:spacing w:after="0"/>
              <w:rPr>
                <w:sz w:val="20"/>
                <w:szCs w:val="20"/>
                <w:color w:val="auto"/>
              </w:rPr>
            </w:pPr>
            <w:r>
              <w:rPr>
                <w:rFonts w:ascii="Arial" w:cs="Arial" w:eastAsia="Arial" w:hAnsi="Arial"/>
                <w:sz w:val="18"/>
                <w:szCs w:val="18"/>
                <w:color w:val="auto"/>
                <w:w w:val="99"/>
              </w:rPr>
              <w:t>A</w:t>
            </w:r>
            <w:r>
              <w:rPr>
                <w:rFonts w:ascii="Arial" w:cs="Arial" w:eastAsia="Arial" w:hAnsi="Arial"/>
                <w:sz w:val="14"/>
                <w:szCs w:val="14"/>
                <w:color w:val="auto"/>
                <w:w w:val="99"/>
              </w:rPr>
              <w:t>RTHUR</w:t>
            </w:r>
            <w:r>
              <w:rPr>
                <w:rFonts w:ascii="Arial" w:cs="Arial" w:eastAsia="Arial" w:hAnsi="Arial"/>
                <w:sz w:val="18"/>
                <w:szCs w:val="18"/>
                <w:color w:val="auto"/>
                <w:w w:val="99"/>
              </w:rPr>
              <w:t xml:space="preserve"> R. B</w:t>
            </w:r>
            <w:r>
              <w:rPr>
                <w:rFonts w:ascii="Arial" w:cs="Arial" w:eastAsia="Arial" w:hAnsi="Arial"/>
                <w:sz w:val="14"/>
                <w:szCs w:val="14"/>
                <w:color w:val="auto"/>
                <w:w w:val="99"/>
              </w:rPr>
              <w:t>LOCK</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60" w:type="dxa"/>
            <w:vAlign w:val="bottom"/>
            <w:gridSpan w:val="3"/>
          </w:tcPr>
          <w:p>
            <w:pPr>
              <w:ind w:left="1780"/>
              <w:spacing w:after="0"/>
              <w:rPr>
                <w:sz w:val="20"/>
                <w:szCs w:val="20"/>
                <w:color w:val="auto"/>
              </w:rPr>
            </w:pPr>
            <w:r>
              <w:rPr>
                <w:rFonts w:ascii="Arial" w:cs="Arial" w:eastAsia="Arial" w:hAnsi="Arial"/>
                <w:sz w:val="18"/>
                <w:szCs w:val="18"/>
                <w:color w:val="auto"/>
              </w:rPr>
              <w:t>Sole Member</w:t>
            </w:r>
          </w:p>
        </w:tc>
        <w:tc>
          <w:tcPr>
            <w:tcW w:w="174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November 23, 2015</w:t>
            </w:r>
          </w:p>
        </w:tc>
      </w:tr>
      <w:tr>
        <w:trPr>
          <w:trHeight w:val="130"/>
        </w:trPr>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540" w:type="dxa"/>
            <w:vAlign w:val="bottom"/>
            <w:tcBorders>
              <w:top w:val="single" w:sz="8" w:color="auto"/>
            </w:tcBorders>
            <w:gridSpan w:val="2"/>
          </w:tcPr>
          <w:p>
            <w:pPr>
              <w:jc w:val="center"/>
              <w:ind w:right="1120"/>
              <w:spacing w:after="0" w:line="131" w:lineRule="exact"/>
              <w:rPr>
                <w:sz w:val="20"/>
                <w:szCs w:val="20"/>
                <w:color w:val="auto"/>
              </w:rPr>
            </w:pPr>
            <w:r>
              <w:rPr>
                <w:rFonts w:ascii="Arial" w:cs="Arial" w:eastAsia="Arial" w:hAnsi="Arial"/>
                <w:sz w:val="14"/>
                <w:szCs w:val="14"/>
                <w:b w:val="1"/>
                <w:bCs w:val="1"/>
                <w:color w:val="auto"/>
                <w:w w:val="91"/>
              </w:rPr>
              <w:t>Arthur R. Block</w:t>
            </w: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74"/>
        </w:trPr>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58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85"/>
              </w:rPr>
              <w:t>Executive Vice President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418"/>
        </w:trPr>
        <w:tc>
          <w:tcPr>
            <w:tcW w:w="1340" w:type="dxa"/>
            <w:vAlign w:val="bottom"/>
            <w:gridSpan w:val="3"/>
          </w:tcPr>
          <w:p>
            <w:pPr>
              <w:spacing w:after="0"/>
              <w:rPr>
                <w:sz w:val="20"/>
                <w:szCs w:val="20"/>
                <w:color w:val="auto"/>
              </w:rPr>
            </w:pPr>
            <w:r>
              <w:rPr>
                <w:rFonts w:ascii="Arial" w:cs="Arial" w:eastAsia="Arial" w:hAnsi="Arial"/>
                <w:sz w:val="18"/>
                <w:szCs w:val="18"/>
                <w:color w:val="auto"/>
              </w:rPr>
              <w:t>* By:</w:t>
            </w:r>
          </w:p>
        </w:tc>
        <w:tc>
          <w:tcPr>
            <w:tcW w:w="580" w:type="dxa"/>
            <w:vAlign w:val="bottom"/>
          </w:tcPr>
          <w:p>
            <w:pPr>
              <w:ind w:left="380"/>
              <w:spacing w:after="0"/>
              <w:rPr>
                <w:sz w:val="20"/>
                <w:szCs w:val="20"/>
                <w:color w:val="auto"/>
              </w:rPr>
            </w:pPr>
            <w:r>
              <w:rPr>
                <w:rFonts w:ascii="Arial" w:cs="Arial" w:eastAsia="Arial" w:hAnsi="Arial"/>
                <w:sz w:val="18"/>
                <w:szCs w:val="18"/>
                <w:color w:val="auto"/>
                <w:w w:val="94"/>
              </w:rPr>
              <w:t>/s/</w:t>
            </w:r>
          </w:p>
        </w:tc>
        <w:tc>
          <w:tcPr>
            <w:tcW w:w="40" w:type="dxa"/>
            <w:vAlign w:val="bottom"/>
          </w:tcPr>
          <w:p>
            <w:pPr>
              <w:spacing w:after="0"/>
              <w:rPr>
                <w:sz w:val="24"/>
                <w:szCs w:val="24"/>
                <w:color w:val="auto"/>
              </w:rPr>
            </w:pP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0"/>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160" w:type="dxa"/>
            <w:vAlign w:val="bottom"/>
            <w:tcBorders>
              <w:top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Arthur R. Block, Attorney-in-Fact</w:t>
            </w:r>
          </w:p>
        </w:tc>
        <w:tc>
          <w:tcPr>
            <w:tcW w:w="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50"/>
        </w:trPr>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60" w:type="dxa"/>
            <w:vAlign w:val="bottom"/>
            <w:gridSpan w:val="3"/>
          </w:tcPr>
          <w:p>
            <w:pPr>
              <w:ind w:left="640"/>
              <w:spacing w:after="0"/>
              <w:rPr>
                <w:sz w:val="20"/>
                <w:szCs w:val="20"/>
                <w:color w:val="auto"/>
              </w:rPr>
            </w:pPr>
            <w:r>
              <w:rPr>
                <w:rFonts w:ascii="Arial" w:cs="Arial" w:eastAsia="Arial" w:hAnsi="Arial"/>
                <w:sz w:val="18"/>
                <w:szCs w:val="18"/>
                <w:color w:val="auto"/>
              </w:rPr>
              <w:t>II-11</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10620" w:type="dxa"/>
            <w:vAlign w:val="bottom"/>
            <w:gridSpan w:val="3"/>
          </w:tcPr>
          <w:p>
            <w:pPr>
              <w:ind w:left="432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480" w:type="dxa"/>
            <w:vAlign w:val="bottom"/>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Document</w:t>
            </w:r>
          </w:p>
        </w:tc>
        <w:tc>
          <w:tcPr>
            <w:tcW w:w="4520" w:type="dxa"/>
            <w:vAlign w:val="bottom"/>
          </w:tcPr>
          <w:p>
            <w:pPr>
              <w:spacing w:after="0"/>
              <w:rPr>
                <w:sz w:val="24"/>
                <w:szCs w:val="24"/>
                <w:color w:val="auto"/>
              </w:rPr>
            </w:pPr>
          </w:p>
        </w:tc>
      </w:tr>
      <w:tr>
        <w:trPr>
          <w:trHeight w:val="316"/>
        </w:trPr>
        <w:tc>
          <w:tcPr>
            <w:tcW w:w="720" w:type="dxa"/>
            <w:vAlign w:val="bottom"/>
          </w:tcPr>
          <w:p>
            <w:pPr>
              <w:ind w:left="100"/>
              <w:spacing w:after="0"/>
              <w:rPr>
                <w:sz w:val="20"/>
                <w:szCs w:val="20"/>
                <w:color w:val="auto"/>
              </w:rPr>
            </w:pPr>
            <w:r>
              <w:rPr>
                <w:rFonts w:ascii="Arial" w:cs="Arial" w:eastAsia="Arial" w:hAnsi="Arial"/>
                <w:sz w:val="18"/>
                <w:szCs w:val="18"/>
                <w:color w:val="auto"/>
              </w:rPr>
              <w:t>1.1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Underwriting Agreement (Debt Securities)*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1.2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Underwriting Agreement Standard Provisions (Debt Securities)*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1.3</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3"/>
              </w:rPr>
              <w:t>Form of Underwriting Agreement (Preferred Stock, Depositary Shares, Common Stock, Warrants, Purchase Contracts and Units)**</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4.1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0"/>
              </w:rPr>
              <w:t>Specimen Class A Common Stock Certificate (incorporated by reference to Comcast’s Annual Report on Form 10-K for the year ended</w:t>
            </w:r>
          </w:p>
        </w:tc>
      </w:tr>
      <w:tr>
        <w:trPr>
          <w:trHeight w:val="222"/>
        </w:trPr>
        <w:tc>
          <w:tcPr>
            <w:tcW w:w="72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December 31, 2002, filed on March 20, 2003)</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4.2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0"/>
              </w:rPr>
              <w:t>Specimen Class A Special Common Stock Certificate (incorporated by reference to Comcast’s Annual Report on Form 10-K for the year</w:t>
            </w:r>
          </w:p>
        </w:tc>
      </w:tr>
      <w:tr>
        <w:trPr>
          <w:trHeight w:val="222"/>
        </w:trPr>
        <w:tc>
          <w:tcPr>
            <w:tcW w:w="72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ended December 31, 2002, filed on March 20, 2003)</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4.3</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1"/>
              </w:rPr>
              <w:t>Senior Indenture dated September 18, 2013 among the Company, the guarantors party thereto and The Bank of New York Mellon, as</w:t>
            </w:r>
          </w:p>
        </w:tc>
      </w:tr>
      <w:tr>
        <w:trPr>
          <w:trHeight w:val="222"/>
        </w:trPr>
        <w:tc>
          <w:tcPr>
            <w:tcW w:w="72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4"/>
              </w:rPr>
              <w:t>Trustee (incorporated by reference to Comcast’s Registration Statement on Form S-3, as amended, filed on September 18, 2013)</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4.4</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1"/>
              </w:rPr>
              <w:t>First Supplemental Indenture dated November 17, 2015 among the Company, the guarantors party thereto and The Bank of New York</w:t>
            </w:r>
          </w:p>
        </w:tc>
      </w:tr>
      <w:tr>
        <w:trPr>
          <w:trHeight w:val="222"/>
        </w:trPr>
        <w:tc>
          <w:tcPr>
            <w:tcW w:w="72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Mellon, as Trustee*</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4.5</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4"/>
              </w:rPr>
              <w:t>Form of Senior Debt Security (incorporated by reference to Comcast’s Registration Statement on Form S-3, as amended, filed on</w:t>
            </w:r>
          </w:p>
        </w:tc>
      </w:tr>
      <w:tr>
        <w:trPr>
          <w:trHeight w:val="222"/>
        </w:trPr>
        <w:tc>
          <w:tcPr>
            <w:tcW w:w="72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September 18, 2013)</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4.6</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Purchase Contract Agreement relating to Purchase Contracts**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4.7</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Unit Agreement**</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4.8</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Warrant Agreement for Warrants sold separately**</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4.9</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Warrant for Warrants sold separately**</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4.10</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Warrant Agreement for Warrants sold attached to other Securities**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Warrant for Warrants sold attached to other Securities**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Pledge Agreement**</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4.13</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Deposit Agreement**</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4.14</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Depositary Share**</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4.15</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Guarantee (Warrants, Purchase Contracts and Units)**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5.1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Opinion of Arthur R. Block, Esquire*</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5.2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Opinion of Davis Polk &amp; Wardwell LLP*</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12.1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8"/>
              </w:rPr>
              <w:t>Statement Regarding Computation of Ratio of Earnings to Fixed Charges and Ratio of Earnings to Combined Fixed Charges and Preferred</w:t>
            </w:r>
          </w:p>
        </w:tc>
      </w:tr>
      <w:tr>
        <w:trPr>
          <w:trHeight w:val="216"/>
        </w:trPr>
        <w:tc>
          <w:tcPr>
            <w:tcW w:w="720" w:type="dxa"/>
            <w:vAlign w:val="bottom"/>
          </w:tcPr>
          <w:p>
            <w:pPr>
              <w:spacing w:after="0"/>
              <w:rPr>
                <w:sz w:val="18"/>
                <w:szCs w:val="18"/>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8"/>
              </w:rPr>
              <w:t>Dividends of Comcast Corporation (incorporated by reference to our Annual Report on Form 10-K for the year ended December 31, 2014,</w:t>
            </w:r>
          </w:p>
        </w:tc>
      </w:tr>
      <w:tr>
        <w:trPr>
          <w:trHeight w:val="222"/>
        </w:trPr>
        <w:tc>
          <w:tcPr>
            <w:tcW w:w="72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filed on February 27, 2015)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12.2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8"/>
              </w:rPr>
              <w:t>Statement Regarding Computation of Ratio of Earnings to Fixed Charges and Ratio of Earnings to Combined Fixed Charges and Preferred</w:t>
            </w:r>
          </w:p>
        </w:tc>
      </w:tr>
      <w:tr>
        <w:trPr>
          <w:trHeight w:val="222"/>
        </w:trPr>
        <w:tc>
          <w:tcPr>
            <w:tcW w:w="72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Dividends of Comcast Corporation for the nine months ended September 30, 2015*</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Consent of Deloitte &amp; Touche LLP (Comcast Corporation)*</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Consent of Deloitte &amp; Touche LLP (NBCUniversal Media, LLC)*</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23.3</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Consent of Arthur R. Block, Esquire (included in Exhibit 5.1)</w:t>
            </w:r>
          </w:p>
        </w:tc>
      </w:tr>
      <w:tr>
        <w:trPr>
          <w:trHeight w:val="365"/>
        </w:trPr>
        <w:tc>
          <w:tcPr>
            <w:tcW w:w="720" w:type="dxa"/>
            <w:vAlign w:val="bottom"/>
          </w:tcPr>
          <w:p>
            <w:pPr>
              <w:spacing w:after="0"/>
              <w:rPr>
                <w:sz w:val="24"/>
                <w:szCs w:val="24"/>
                <w:color w:val="auto"/>
              </w:rPr>
            </w:pPr>
          </w:p>
        </w:tc>
        <w:tc>
          <w:tcPr>
            <w:tcW w:w="10620" w:type="dxa"/>
            <w:vAlign w:val="bottom"/>
            <w:gridSpan w:val="3"/>
          </w:tcPr>
          <w:p>
            <w:pPr>
              <w:ind w:left="4820"/>
              <w:spacing w:after="0"/>
              <w:rPr>
                <w:sz w:val="20"/>
                <w:szCs w:val="20"/>
                <w:color w:val="auto"/>
              </w:rPr>
            </w:pPr>
            <w:r>
              <w:rPr>
                <w:rFonts w:ascii="Arial" w:cs="Arial" w:eastAsia="Arial" w:hAnsi="Arial"/>
                <w:sz w:val="18"/>
                <w:szCs w:val="18"/>
                <w:color w:val="auto"/>
              </w:rPr>
              <w:t>II-12</w:t>
            </w:r>
          </w:p>
        </w:tc>
      </w:tr>
    </w:tbl>
    <w:p>
      <w:pPr>
        <w:sectPr>
          <w:pgSz w:w="11900" w:h="16838" w:orient="portrait"/>
          <w:cols w:equalWidth="0" w:num="1">
            <w:col w:w="11340"/>
          </w:cols>
          <w:pgMar w:left="240" w:top="459" w:right="3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520" w:type="dxa"/>
            <w:vAlign w:val="bottom"/>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Document</w:t>
            </w:r>
          </w:p>
        </w:tc>
        <w:tc>
          <w:tcPr>
            <w:tcW w:w="4500" w:type="dxa"/>
            <w:vAlign w:val="bottom"/>
          </w:tcPr>
          <w:p>
            <w:pPr>
              <w:spacing w:after="0"/>
              <w:rPr>
                <w:sz w:val="14"/>
                <w:szCs w:val="1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23.4</w:t>
            </w: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rPr>
              <w:t>Consent of Davis Polk &amp; Wardwell LLP (included in Exhibit 5.2)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w w:val="90"/>
              </w:rPr>
              <w:t>Powers of Attorney (incorporated by reference to Comcast’s Registration Statement on Form S-3, as amended, filed on September 18,</w:t>
            </w:r>
          </w:p>
        </w:tc>
      </w:tr>
      <w:tr>
        <w:trPr>
          <w:trHeight w:val="222"/>
        </w:trPr>
        <w:tc>
          <w:tcPr>
            <w:tcW w:w="720" w:type="dxa"/>
            <w:vAlign w:val="bottom"/>
          </w:tcPr>
          <w:p>
            <w:pPr>
              <w:spacing w:after="0"/>
              <w:rPr>
                <w:sz w:val="19"/>
                <w:szCs w:val="19"/>
                <w:color w:val="auto"/>
              </w:rPr>
            </w:pPr>
          </w:p>
        </w:tc>
        <w:tc>
          <w:tcPr>
            <w:tcW w:w="5520" w:type="dxa"/>
            <w:vAlign w:val="bottom"/>
          </w:tcPr>
          <w:p>
            <w:pPr>
              <w:ind w:left="980"/>
              <w:spacing w:after="0"/>
              <w:rPr>
                <w:sz w:val="20"/>
                <w:szCs w:val="20"/>
                <w:color w:val="auto"/>
              </w:rPr>
            </w:pPr>
            <w:r>
              <w:rPr>
                <w:rFonts w:ascii="Arial" w:cs="Arial" w:eastAsia="Arial" w:hAnsi="Arial"/>
                <w:sz w:val="18"/>
                <w:szCs w:val="18"/>
                <w:color w:val="auto"/>
              </w:rPr>
              <w:t>2013)</w:t>
            </w:r>
          </w:p>
        </w:tc>
        <w:tc>
          <w:tcPr>
            <w:tcW w:w="620" w:type="dxa"/>
            <w:vAlign w:val="bottom"/>
          </w:tcPr>
          <w:p>
            <w:pPr>
              <w:spacing w:after="0"/>
              <w:rPr>
                <w:sz w:val="19"/>
                <w:szCs w:val="19"/>
                <w:color w:val="auto"/>
              </w:rPr>
            </w:pPr>
          </w:p>
        </w:tc>
        <w:tc>
          <w:tcPr>
            <w:tcW w:w="4500" w:type="dxa"/>
            <w:vAlign w:val="bottom"/>
          </w:tcPr>
          <w:p>
            <w:pPr>
              <w:spacing w:after="0"/>
              <w:rPr>
                <w:sz w:val="19"/>
                <w:szCs w:val="19"/>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25.1</w:t>
            </w: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w w:val="93"/>
              </w:rPr>
              <w:t>Statement of Eligibility under the Trust Indenture Act of 1939, as amended, of The Bank of New York Mellon, as Trustee under the</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980"/>
              <w:spacing w:after="0"/>
              <w:rPr>
                <w:sz w:val="20"/>
                <w:szCs w:val="20"/>
                <w:color w:val="auto"/>
              </w:rPr>
            </w:pPr>
            <w:r>
              <w:rPr>
                <w:rFonts w:ascii="Arial" w:cs="Arial" w:eastAsia="Arial" w:hAnsi="Arial"/>
                <w:sz w:val="18"/>
                <w:szCs w:val="18"/>
                <w:color w:val="auto"/>
                <w:w w:val="87"/>
              </w:rPr>
              <w:t>Senior Indenture (incorporated by reference to Comcast’s Registration Statement on Form S-3, as amended, filed on September 18, 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be filed by Current Report on Form 8-K.</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II-13</w:t>
      </w:r>
    </w:p>
    <w:p>
      <w:pPr>
        <w:sectPr>
          <w:pgSz w:w="11900" w:h="16838" w:orient="portrait"/>
          <w:cols w:equalWidth="0" w:num="1">
            <w:col w:w="11360"/>
          </w:cols>
          <w:pgMar w:left="240" w:top="459" w:right="2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10760"/>
        <w:spacing w:after="0"/>
        <w:tabs>
          <w:tab w:leader="none" w:pos="11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We (the “Managers”) are acting on behalf of the underwriter or underwriters (including ourselves) named below (such underwriter or underwriters being herein called the “Underwriters”), and we understand that Comcast Corporation, a Pennsylvania corporation (the “Company”), proposes to issue and</w:t>
      </w:r>
    </w:p>
    <w:p>
      <w:pPr>
        <w:ind w:right="620"/>
        <w:spacing w:after="0" w:line="265" w:lineRule="auto"/>
        <w:rPr>
          <w:sz w:val="20"/>
          <w:szCs w:val="20"/>
          <w:color w:val="auto"/>
        </w:rPr>
      </w:pPr>
      <w:r>
        <w:rPr>
          <w:rFonts w:ascii="Arial" w:cs="Arial" w:eastAsia="Arial" w:hAnsi="Arial"/>
          <w:sz w:val="17"/>
          <w:szCs w:val="17"/>
          <w:color w:val="auto"/>
        </w:rPr>
        <w:t>sell $[ ] aggregate principal amount of [ ]% Notes Due [ ] (the “Offered Securities”). The Offered Securities are to be issued pursuant to the provisions of the Indenture, dated as of [ ] by and among the Company, the Guarantors and [ ], as trustee (the “Trustee”), as guaranteed on an</w:t>
      </w:r>
    </w:p>
    <w:p>
      <w:pPr>
        <w:spacing w:after="0"/>
        <w:rPr>
          <w:sz w:val="20"/>
          <w:szCs w:val="20"/>
          <w:color w:val="auto"/>
        </w:rPr>
      </w:pPr>
      <w:r>
        <w:rPr>
          <w:rFonts w:ascii="Arial" w:cs="Arial" w:eastAsia="Arial" w:hAnsi="Arial"/>
          <w:sz w:val="18"/>
          <w:szCs w:val="18"/>
          <w:color w:val="auto"/>
        </w:rPr>
        <w:t>unsecured and unsubordinated basis by NBCUniversal Media, LLC and Comcast Cable Communications, LLC (the “Guarantors”).</w:t>
      </w:r>
    </w:p>
    <w:p>
      <w:pPr>
        <w:spacing w:after="0" w:line="21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Subject to the terms and conditions set forth or incorporated by reference herein, the Company hereby agrees to sell and the Underwriters agree to purchase, severally and not jointly, the aggregate principal amount of the Offered Securities set forth below opposite their names at a purchase price of [ ]% plus accrued interest, if any, from [ ] to the date of payment and delivery (the “Purchase Price”).</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780" w:type="dxa"/>
            <w:vAlign w:val="bottom"/>
            <w:gridSpan w:val="2"/>
          </w:tcPr>
          <w:p>
            <w:pPr>
              <w:jc w:val="center"/>
              <w:ind w:left="6516"/>
              <w:spacing w:after="0"/>
              <w:rPr>
                <w:sz w:val="20"/>
                <w:szCs w:val="20"/>
                <w:color w:val="auto"/>
              </w:rPr>
            </w:pPr>
            <w:r>
              <w:rPr>
                <w:rFonts w:ascii="Arial" w:cs="Arial" w:eastAsia="Arial" w:hAnsi="Arial"/>
                <w:sz w:val="14"/>
                <w:szCs w:val="14"/>
                <w:b w:val="1"/>
                <w:bCs w:val="1"/>
                <w:color w:val="auto"/>
                <w:w w:val="95"/>
              </w:rPr>
              <w:t>Amount of Offered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66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 To Be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gridSpan w:val="2"/>
            <w:vMerge w:val="continue"/>
          </w:tcPr>
          <w:p>
            <w:pPr>
              <w:spacing w:after="0"/>
              <w:rPr>
                <w:sz w:val="15"/>
                <w:szCs w:val="15"/>
                <w:color w:val="auto"/>
              </w:rPr>
            </w:pPr>
          </w:p>
        </w:tc>
        <w:tc>
          <w:tcPr>
            <w:tcW w:w="6620" w:type="dxa"/>
            <w:vAlign w:val="bottom"/>
          </w:tcPr>
          <w:p>
            <w:pPr>
              <w:spacing w:after="0"/>
              <w:rPr>
                <w:sz w:val="15"/>
                <w:szCs w:val="15"/>
                <w:color w:val="auto"/>
              </w:rPr>
            </w:pPr>
          </w:p>
        </w:tc>
        <w:tc>
          <w:tcPr>
            <w:tcW w:w="1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Purchased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66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780" w:type="dxa"/>
            <w:vAlign w:val="bottom"/>
            <w:gridSpan w:val="2"/>
          </w:tcPr>
          <w:p>
            <w:pPr>
              <w:jc w:val="center"/>
              <w:ind w:left="6556"/>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780" w:type="dxa"/>
            <w:vAlign w:val="bottom"/>
            <w:gridSpan w:val="2"/>
            <w:shd w:val="clear" w:color="auto" w:fill="CCEEFF"/>
          </w:tcPr>
          <w:p>
            <w:pPr>
              <w:jc w:val="center"/>
              <w:ind w:left="655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Underwriters will pay for the Offered Securities upon delivery thereof with the closing to be held at the offices of Davis Polk &amp; Wardwell LLP, 1600 El Camino Real, Menlo Park, California at 10:00 a.m. (New York time) on [ ], or at such other time, not later than 5:00 p.m. (New York time) on [ ] as shall be designated in writing by the Underwriters and the Company. The time and date of such payment and delivery are hereinafter referred to as the “Closing Date.”</w:t>
      </w:r>
    </w:p>
    <w:p>
      <w:pPr>
        <w:sectPr>
          <w:pgSz w:w="11900" w:h="16838" w:orient="portrait"/>
          <w:cols w:equalWidth="0" w:num="1">
            <w:col w:w="11420"/>
          </w:cols>
          <w:pgMar w:left="240" w:top="121" w:right="239" w:bottom="1440" w:gutter="0" w:footer="0" w:header="0"/>
        </w:sectPr>
      </w:pP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Offered Securities shall have the terms set forth in the Prospectus dated [</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 (the “Prospectus”) and the Prospectus Supplement dated [</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3">
            <w:col w:w="6040" w:space="360"/>
            <w:col w:w="4260" w:space="540"/>
            <w:col w:w="22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including the following:</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Terms of Offered Securities:</w:t>
      </w:r>
    </w:p>
    <w:p>
      <w:pPr>
        <w:sectPr>
          <w:pgSz w:w="11900" w:h="16838" w:orient="portrait"/>
          <w:cols w:equalWidth="0" w:num="1">
            <w:col w:w="11420"/>
          </w:cols>
          <w:pgMar w:left="240" w:top="121" w:right="239" w:bottom="1440" w:gutter="0" w:footer="0" w:header="0"/>
          <w:type w:val="continuous"/>
        </w:sectPr>
      </w:pP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Maturity Date: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640" w:space="540"/>
            <w:col w:w="9240"/>
          </w:cols>
          <w:pgMar w:left="240" w:top="121" w:right="23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Rate: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540" w:space="540"/>
            <w:col w:w="9340"/>
          </w:cols>
          <w:pgMar w:left="240" w:top="121" w:right="23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Redemption Provisions: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300" w:space="540"/>
            <w:col w:w="8580"/>
          </w:cols>
          <w:pgMar w:left="240" w:top="121" w:right="23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Payment Dates: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280" w:space="540"/>
            <w:col w:w="8600"/>
          </w:cols>
          <w:pgMar w:left="240" w:top="121" w:right="239" w:bottom="1440" w:gutter="0" w:footer="0" w:header="0"/>
          <w:type w:val="continuous"/>
        </w:sectPr>
      </w:pPr>
    </w:p>
    <w:p>
      <w:pPr>
        <w:spacing w:after="0" w:line="25"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commencing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2380" w:space="540"/>
            <w:col w:w="8500"/>
          </w:cols>
          <w:pgMar w:left="240" w:top="121" w:right="239" w:bottom="1440" w:gutter="0" w:footer="0" w:header="0"/>
          <w:type w:val="continuous"/>
        </w:sectPr>
      </w:pPr>
    </w:p>
    <w:p>
      <w:pPr>
        <w:spacing w:after="0" w:line="37"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(Interest accrues from [</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020" w:space="540"/>
            <w:col w:w="7860"/>
          </w:cols>
          <w:pgMar w:left="240" w:top="121" w:right="23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Form and Denomination: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380" w:space="540"/>
            <w:col w:w="8500"/>
          </w:cols>
          <w:pgMar w:left="240" w:top="121" w:right="23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Ranking: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220" w:space="540"/>
            <w:col w:w="9660"/>
          </w:cols>
          <w:pgMar w:left="240" w:top="121" w:right="23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Terms: As set forth in the Prospectus Supplement.</w:t>
      </w:r>
    </w:p>
    <w:p>
      <w:pPr>
        <w:sectPr>
          <w:pgSz w:w="11900" w:h="16838" w:orient="portrait"/>
          <w:cols w:equalWidth="0" w:num="1">
            <w:col w:w="11420"/>
          </w:cols>
          <w:pgMar w:left="240" w:top="121" w:right="239" w:bottom="1440" w:gutter="0" w:footer="0" w:header="0"/>
          <w:type w:val="continuous"/>
        </w:sectPr>
      </w:pPr>
    </w:p>
    <w:bookmarkStart w:id="44" w:name="page45"/>
    <w:bookmarkEnd w:id="4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Capitalized terms used above and not defined herein shall have the meanings set forth in the Prospectus and Prospectus Supplement referred to above.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communications hereunder shall be in writing and effective only upon receipt and (a) if to the Underwriters, shall be delivered, mailed or sent via</w:t>
      </w:r>
    </w:p>
    <w:p>
      <w:pPr>
        <w:spacing w:after="0" w:line="46" w:lineRule="exact"/>
        <w:rPr>
          <w:sz w:val="20"/>
          <w:szCs w:val="20"/>
          <w:color w:val="auto"/>
        </w:rPr>
      </w:pPr>
    </w:p>
    <w:p>
      <w:pPr>
        <w:spacing w:after="0"/>
        <w:tabs>
          <w:tab w:leader="none" w:pos="2240" w:val="left"/>
          <w:tab w:leader="none" w:pos="4280" w:val="left"/>
          <w:tab w:leader="none" w:pos="5820" w:val="left"/>
          <w:tab w:leader="none" w:pos="6840" w:val="left"/>
          <w:tab w:leader="none" w:pos="8880" w:val="left"/>
        </w:tabs>
        <w:rPr>
          <w:sz w:val="20"/>
          <w:szCs w:val="20"/>
          <w:color w:val="auto"/>
        </w:rPr>
      </w:pPr>
      <w:r>
        <w:rPr>
          <w:rFonts w:ascii="Arial" w:cs="Arial" w:eastAsia="Arial" w:hAnsi="Arial"/>
          <w:sz w:val="18"/>
          <w:szCs w:val="18"/>
          <w:color w:val="auto"/>
        </w:rPr>
        <w:t>facsimile in care of (i) [</w:t>
      </w:r>
      <w:r>
        <w:rPr>
          <w:sz w:val="20"/>
          <w:szCs w:val="20"/>
          <w:color w:val="auto"/>
        </w:rPr>
        <w:tab/>
      </w:r>
      <w:r>
        <w:rPr>
          <w:rFonts w:ascii="Arial" w:cs="Arial" w:eastAsia="Arial" w:hAnsi="Arial"/>
          <w:sz w:val="18"/>
          <w:szCs w:val="18"/>
          <w:color w:val="auto"/>
        </w:rPr>
        <w:t>]; facsimile number [</w:t>
      </w:r>
      <w:r>
        <w:rPr>
          <w:sz w:val="20"/>
          <w:szCs w:val="20"/>
          <w:color w:val="auto"/>
        </w:rPr>
        <w:tab/>
      </w:r>
      <w:r>
        <w:rPr>
          <w:rFonts w:ascii="Arial" w:cs="Arial" w:eastAsia="Arial" w:hAnsi="Arial"/>
          <w:sz w:val="18"/>
          <w:szCs w:val="18"/>
          <w:color w:val="auto"/>
        </w:rPr>
        <w:t>]; Attention: [</w:t>
      </w:r>
      <w:r>
        <w:rPr>
          <w:sz w:val="20"/>
          <w:szCs w:val="20"/>
          <w:color w:val="auto"/>
        </w:rPr>
        <w:tab/>
      </w:r>
      <w:r>
        <w:rPr>
          <w:rFonts w:ascii="Arial" w:cs="Arial" w:eastAsia="Arial" w:hAnsi="Arial"/>
          <w:sz w:val="18"/>
          <w:szCs w:val="18"/>
          <w:color w:val="auto"/>
        </w:rPr>
        <w:t>], (ii) [</w:t>
      </w:r>
      <w:r>
        <w:rPr>
          <w:sz w:val="20"/>
          <w:szCs w:val="20"/>
          <w:color w:val="auto"/>
        </w:rPr>
        <w:tab/>
      </w:r>
      <w:r>
        <w:rPr>
          <w:rFonts w:ascii="Arial" w:cs="Arial" w:eastAsia="Arial" w:hAnsi="Arial"/>
          <w:sz w:val="18"/>
          <w:szCs w:val="18"/>
          <w:color w:val="auto"/>
        </w:rPr>
        <w:t>]; facsimile number [</w:t>
      </w:r>
      <w:r>
        <w:rPr>
          <w:sz w:val="20"/>
          <w:szCs w:val="20"/>
          <w:color w:val="auto"/>
        </w:rPr>
        <w:tab/>
      </w:r>
      <w:r>
        <w:rPr>
          <w:rFonts w:ascii="Arial" w:cs="Arial" w:eastAsia="Arial" w:hAnsi="Arial"/>
          <w:sz w:val="16"/>
          <w:szCs w:val="16"/>
          <w:color w:val="auto"/>
        </w:rPr>
        <w:t>]; or (b) if to the Company shall be</w:t>
      </w:r>
    </w:p>
    <w:p>
      <w:pPr>
        <w:spacing w:after="0" w:line="9" w:lineRule="exact"/>
        <w:rPr>
          <w:sz w:val="20"/>
          <w:szCs w:val="20"/>
          <w:color w:val="auto"/>
        </w:rPr>
      </w:pPr>
    </w:p>
    <w:p>
      <w:pPr>
        <w:spacing w:after="0"/>
        <w:tabs>
          <w:tab w:leader="none" w:pos="8980" w:val="left"/>
          <w:tab w:leader="none" w:pos="10460" w:val="left"/>
        </w:tabs>
        <w:rPr>
          <w:sz w:val="20"/>
          <w:szCs w:val="20"/>
          <w:color w:val="auto"/>
        </w:rPr>
      </w:pPr>
      <w:r>
        <w:rPr>
          <w:rFonts w:ascii="Arial" w:cs="Arial" w:eastAsia="Arial" w:hAnsi="Arial"/>
          <w:sz w:val="18"/>
          <w:szCs w:val="18"/>
          <w:color w:val="auto"/>
        </w:rPr>
        <w:t>delivered, mailed or sent via facsimile to One Comcast Center, Philadelphia, Pennsylvania 19103, facsimile number [</w:t>
      </w:r>
      <w:r>
        <w:rPr>
          <w:sz w:val="20"/>
          <w:szCs w:val="20"/>
          <w:color w:val="auto"/>
        </w:rPr>
        <w:tab/>
      </w:r>
      <w:r>
        <w:rPr>
          <w:rFonts w:ascii="Arial" w:cs="Arial" w:eastAsia="Arial" w:hAnsi="Arial"/>
          <w:sz w:val="18"/>
          <w:szCs w:val="18"/>
          <w:color w:val="auto"/>
        </w:rPr>
        <w:t>], attention: [</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Company acknowledges and agrees that each of the Underwriters is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their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set forth below, all provisions contained in the document entitled Comcast Corporation Underwriting Agreement Standard Provisions (Debt</w:t>
      </w:r>
    </w:p>
    <w:p>
      <w:pPr>
        <w:spacing w:after="0" w:line="4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Securities)) dated [ ], (the “Standard Provisions”), a copy of which is attached hereto, are herein incorporated by 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 document to a type of agreement that has not been entered into in connection with the transactions contemplated hereby shall not be deemed to be a part of this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5" w:name="page46"/>
    <w:bookmarkEnd w:id="4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your agreement by having an authorized officer sign a copy of this Agreement in the space set forth below.</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Lead Managers]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On behalf of themselves and the other Underwriters named</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herein</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NBCUniversal, LLC, its sole member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120"/>
          </w:cols>
          <w:pgMar w:left="240" w:top="274" w:right="5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500" w:type="dxa"/>
            <w:vAlign w:val="bottom"/>
          </w:tcPr>
          <w:p>
            <w:pPr>
              <w:ind w:left="420"/>
              <w:spacing w:after="0"/>
              <w:rPr>
                <w:sz w:val="20"/>
                <w:szCs w:val="20"/>
                <w:color w:val="auto"/>
              </w:rPr>
            </w:pPr>
            <w:r>
              <w:rPr>
                <w:rFonts w:ascii="Arial" w:cs="Arial" w:eastAsia="Arial" w:hAnsi="Arial"/>
                <w:sz w:val="18"/>
                <w:szCs w:val="18"/>
                <w:b w:val="1"/>
                <w:bCs w:val="1"/>
                <w:color w:val="auto"/>
              </w:rPr>
              <w:t>TIME OF SALE PROSPECTUS</w:t>
            </w:r>
          </w:p>
        </w:tc>
        <w:tc>
          <w:tcPr>
            <w:tcW w:w="380" w:type="dxa"/>
            <w:vAlign w:val="bottom"/>
          </w:tcPr>
          <w:p>
            <w:pPr>
              <w:spacing w:after="0"/>
              <w:rPr>
                <w:sz w:val="20"/>
                <w:szCs w:val="20"/>
                <w:color w:val="auto"/>
              </w:rPr>
            </w:pPr>
          </w:p>
        </w:tc>
      </w:tr>
      <w:tr>
        <w:trPr>
          <w:trHeight w:val="432"/>
        </w:trPr>
        <w:tc>
          <w:tcPr>
            <w:tcW w:w="16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2000" w:type="dxa"/>
            <w:vAlign w:val="bottom"/>
          </w:tcPr>
          <w:p>
            <w:pPr>
              <w:ind w:left="20"/>
              <w:spacing w:after="0"/>
              <w:rPr>
                <w:sz w:val="20"/>
                <w:szCs w:val="20"/>
                <w:color w:val="auto"/>
              </w:rPr>
            </w:pPr>
            <w:r>
              <w:rPr>
                <w:rFonts w:ascii="Arial" w:cs="Arial" w:eastAsia="Arial" w:hAnsi="Arial"/>
                <w:sz w:val="18"/>
                <w:szCs w:val="18"/>
                <w:color w:val="auto"/>
                <w:w w:val="99"/>
              </w:rPr>
              <w:t>Base Prospectus dated [</w:t>
            </w:r>
          </w:p>
        </w:tc>
        <w:tc>
          <w:tcPr>
            <w:tcW w:w="6920" w:type="dxa"/>
            <w:vAlign w:val="bottom"/>
            <w:gridSpan w:val="2"/>
          </w:tcPr>
          <w:p>
            <w:pPr>
              <w:ind w:left="280"/>
              <w:spacing w:after="0"/>
              <w:rPr>
                <w:sz w:val="20"/>
                <w:szCs w:val="20"/>
                <w:color w:val="auto"/>
              </w:rPr>
            </w:pPr>
            <w:r>
              <w:rPr>
                <w:rFonts w:ascii="Arial" w:cs="Arial" w:eastAsia="Arial" w:hAnsi="Arial"/>
                <w:sz w:val="18"/>
                <w:szCs w:val="18"/>
                <w:color w:val="auto"/>
                <w:w w:val="95"/>
              </w:rPr>
              <w:t>] relating to the Offered Securities and included in the Registration Statement (File No. [</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16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3420" w:type="dxa"/>
            <w:vAlign w:val="bottom"/>
            <w:gridSpan w:val="2"/>
          </w:tcPr>
          <w:p>
            <w:pPr>
              <w:ind w:left="20"/>
              <w:spacing w:after="0"/>
              <w:rPr>
                <w:sz w:val="20"/>
                <w:szCs w:val="20"/>
                <w:color w:val="auto"/>
              </w:rPr>
            </w:pPr>
            <w:r>
              <w:rPr>
                <w:rFonts w:ascii="Arial" w:cs="Arial" w:eastAsia="Arial" w:hAnsi="Arial"/>
                <w:sz w:val="18"/>
                <w:szCs w:val="18"/>
                <w:color w:val="auto"/>
                <w:w w:val="97"/>
              </w:rPr>
              <w:t>Preliminary Prospectus Supplement dated [</w:t>
            </w:r>
          </w:p>
        </w:tc>
        <w:tc>
          <w:tcPr>
            <w:tcW w:w="5500" w:type="dxa"/>
            <w:vAlign w:val="bottom"/>
          </w:tcPr>
          <w:p>
            <w:pPr>
              <w:ind w:left="260"/>
              <w:spacing w:after="0"/>
              <w:rPr>
                <w:sz w:val="20"/>
                <w:szCs w:val="20"/>
                <w:color w:val="auto"/>
              </w:rPr>
            </w:pPr>
            <w:r>
              <w:rPr>
                <w:rFonts w:ascii="Arial" w:cs="Arial" w:eastAsia="Arial" w:hAnsi="Arial"/>
                <w:sz w:val="18"/>
                <w:szCs w:val="18"/>
                <w:color w:val="auto"/>
              </w:rPr>
              <w:t>] relating to the Offered Securities</w:t>
            </w:r>
          </w:p>
        </w:tc>
        <w:tc>
          <w:tcPr>
            <w:tcW w:w="38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3. Final term sheet containing the final terms of the Offered Securities as set forth in Schedule II hereto and filed with the Commission under Rule 433</w:t>
      </w:r>
    </w:p>
    <w:p>
      <w:pPr>
        <w:sectPr>
          <w:pgSz w:w="11900" w:h="16838" w:orient="portrait"/>
          <w:cols w:equalWidth="0" w:num="1">
            <w:col w:w="10960"/>
          </w:cols>
          <w:pgMar w:left="700" w:top="27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FINAL TERM SHEET</w:t>
      </w:r>
    </w:p>
    <w:p>
      <w:pPr>
        <w:sectPr>
          <w:pgSz w:w="11900" w:h="16838" w:orient="portrait"/>
          <w:cols w:equalWidth="0" w:num="1">
            <w:col w:w="10220"/>
          </w:cols>
          <w:pgMar w:left="1440" w:top="27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PROVISIONS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23, 2015</w:t>
      </w:r>
    </w:p>
    <w:p>
      <w:pPr>
        <w:spacing w:after="0" w:line="2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7"/>
          <w:szCs w:val="17"/>
          <w:color w:val="auto"/>
        </w:rPr>
        <w:t>From time to time, Comcast Corporation, a Pennsylvania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may, alone or together with NBCUniversal Media, LLC and Comcast Cable Communications, LLC (together, the “</w:t>
      </w:r>
      <w:r>
        <w:rPr>
          <w:rFonts w:ascii="Arial" w:cs="Arial" w:eastAsia="Arial" w:hAnsi="Arial"/>
          <w:sz w:val="17"/>
          <w:szCs w:val="17"/>
          <w:b w:val="1"/>
          <w:bCs w:val="1"/>
          <w:color w:val="auto"/>
        </w:rPr>
        <w:t>Guarantors</w:t>
      </w:r>
      <w:r>
        <w:rPr>
          <w:rFonts w:ascii="Arial" w:cs="Arial" w:eastAsia="Arial" w:hAnsi="Arial"/>
          <w:sz w:val="17"/>
          <w:szCs w:val="17"/>
          <w:color w:val="auto"/>
        </w:rPr>
        <w:t>”),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Arial" w:cs="Arial" w:eastAsia="Arial" w:hAnsi="Arial"/>
          <w:sz w:val="17"/>
          <w:szCs w:val="17"/>
          <w:b w:val="1"/>
          <w:bCs w:val="1"/>
          <w:color w:val="auto"/>
        </w:rPr>
        <w:t>Underwriting Agreement</w:t>
      </w:r>
      <w:r>
        <w:rPr>
          <w:rFonts w:ascii="Arial" w:cs="Arial" w:eastAsia="Arial" w:hAnsi="Arial"/>
          <w:sz w:val="17"/>
          <w:szCs w:val="17"/>
          <w:color w:val="auto"/>
        </w:rPr>
        <w:t>”). The Underwriting Agreement, including the provisions incorporated therein by reference, is herein referred to as this Agreement. Terms defined in the Underwriting Agreement are used herein as therein defined.</w:t>
      </w:r>
    </w:p>
    <w:p>
      <w:pPr>
        <w:spacing w:after="0" w:line="168" w:lineRule="exact"/>
        <w:rPr>
          <w:sz w:val="20"/>
          <w:szCs w:val="20"/>
          <w:color w:val="auto"/>
        </w:rPr>
      </w:pPr>
    </w:p>
    <w:p>
      <w:pPr>
        <w:ind w:right="300" w:firstLine="456"/>
        <w:spacing w:after="0" w:line="266" w:lineRule="auto"/>
        <w:rPr>
          <w:sz w:val="20"/>
          <w:szCs w:val="20"/>
          <w:color w:val="auto"/>
        </w:rPr>
      </w:pPr>
      <w:r>
        <w:rPr>
          <w:rFonts w:ascii="Arial" w:cs="Arial" w:eastAsia="Arial" w:hAnsi="Arial"/>
          <w:sz w:val="18"/>
          <w:szCs w:val="18"/>
          <w:color w:val="auto"/>
        </w:rPr>
        <w:t>The Company proposes to issue from time to time its senior debt securities (the “</w:t>
      </w:r>
      <w:r>
        <w:rPr>
          <w:rFonts w:ascii="Arial" w:cs="Arial" w:eastAsia="Arial" w:hAnsi="Arial"/>
          <w:sz w:val="18"/>
          <w:szCs w:val="18"/>
          <w:b w:val="1"/>
          <w:bCs w:val="1"/>
          <w:color w:val="auto"/>
        </w:rPr>
        <w:t>Debt Securities</w:t>
      </w:r>
      <w:r>
        <w:rPr>
          <w:rFonts w:ascii="Arial" w:cs="Arial" w:eastAsia="Arial" w:hAnsi="Arial"/>
          <w:sz w:val="18"/>
          <w:szCs w:val="18"/>
          <w:color w:val="auto"/>
        </w:rPr>
        <w:t>”), which Debt Securities may, if so designated, be convertible into the Company’s Class A Common Stock, par value $0.01 per share. The Debt Securities may be guaranteed (the “</w:t>
      </w:r>
      <w:r>
        <w:rPr>
          <w:rFonts w:ascii="Arial" w:cs="Arial" w:eastAsia="Arial" w:hAnsi="Arial"/>
          <w:sz w:val="18"/>
          <w:szCs w:val="18"/>
          <w:b w:val="1"/>
          <w:bCs w:val="1"/>
          <w:color w:val="auto"/>
        </w:rPr>
        <w:t>Guarantees</w:t>
      </w:r>
      <w:r>
        <w:rPr>
          <w:rFonts w:ascii="Arial" w:cs="Arial" w:eastAsia="Arial" w:hAnsi="Arial"/>
          <w:sz w:val="18"/>
          <w:szCs w:val="18"/>
          <w:color w:val="auto"/>
        </w:rPr>
        <w:t>”) on an unsecured basis by the Guarantors.</w:t>
      </w:r>
    </w:p>
    <w:p>
      <w:pPr>
        <w:spacing w:after="0" w:line="17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Company and the Guarantors have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relating to the Debt Securities and the Guarantees and have filed with, or transmitted for filing to, or shall promptly after the date of this Agreement file with or transmit for filing to, the Commission a prospectus supplement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pursuant to Rule 424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specifically relating to the Debt Securities and the Guarantees, if applicable, offered pursuant to this Agreement (the “</w:t>
      </w:r>
      <w:r>
        <w:rPr>
          <w:rFonts w:ascii="Arial" w:cs="Arial" w:eastAsia="Arial" w:hAnsi="Arial"/>
          <w:sz w:val="16"/>
          <w:szCs w:val="16"/>
          <w:b w:val="1"/>
          <w:bCs w:val="1"/>
          <w:color w:val="auto"/>
        </w:rPr>
        <w:t>Offered Securities</w:t>
      </w:r>
      <w:r>
        <w:rPr>
          <w:rFonts w:ascii="Arial" w:cs="Arial" w:eastAsia="Arial" w:hAnsi="Arial"/>
          <w:sz w:val="16"/>
          <w:szCs w:val="16"/>
          <w:color w:val="auto"/>
        </w:rPr>
        <w:t>”).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the registration statement as amended to the date of this Agreement, including any additional registration statement filed by the Company pursuant to Rule 462(b). The term “</w:t>
      </w:r>
      <w:r>
        <w:rPr>
          <w:rFonts w:ascii="Arial" w:cs="Arial" w:eastAsia="Arial" w:hAnsi="Arial"/>
          <w:sz w:val="16"/>
          <w:szCs w:val="16"/>
          <w:b w:val="1"/>
          <w:bCs w:val="1"/>
          <w:color w:val="auto"/>
        </w:rPr>
        <w:t>Base Prospectus</w:t>
      </w:r>
      <w:r>
        <w:rPr>
          <w:rFonts w:ascii="Arial" w:cs="Arial" w:eastAsia="Arial" w:hAnsi="Arial"/>
          <w:sz w:val="16"/>
          <w:szCs w:val="16"/>
          <w:color w:val="auto"/>
        </w:rPr>
        <w:t>” means the prospectus included in the Registration Statement. The term “</w:t>
      </w:r>
      <w:r>
        <w:rPr>
          <w:rFonts w:ascii="Arial" w:cs="Arial" w:eastAsia="Arial" w:hAnsi="Arial"/>
          <w:sz w:val="16"/>
          <w:szCs w:val="16"/>
          <w:b w:val="1"/>
          <w:bCs w:val="1"/>
          <w:color w:val="auto"/>
        </w:rPr>
        <w:t>Prospectus</w:t>
      </w:r>
      <w:r>
        <w:rPr>
          <w:rFonts w:ascii="Arial" w:cs="Arial" w:eastAsia="Arial" w:hAnsi="Arial"/>
          <w:sz w:val="16"/>
          <w:szCs w:val="16"/>
          <w:color w:val="auto"/>
        </w:rPr>
        <w:t>” means the Base Prospectus together with the Prospectus Supplement. The term “</w:t>
      </w:r>
      <w:r>
        <w:rPr>
          <w:rFonts w:ascii="Arial" w:cs="Arial" w:eastAsia="Arial" w:hAnsi="Arial"/>
          <w:sz w:val="16"/>
          <w:szCs w:val="16"/>
          <w:b w:val="1"/>
          <w:bCs w:val="1"/>
          <w:color w:val="auto"/>
        </w:rPr>
        <w:t>preliminary</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means a preliminary prospectus supplement specifically relating to the Offered Securities, together with the Base Prospectus. The term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The term “</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 has the meaning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Rule 433 under the Securities Act. The term “</w:t>
      </w:r>
      <w:r>
        <w:rPr>
          <w:rFonts w:ascii="Arial" w:cs="Arial" w:eastAsia="Arial" w:hAnsi="Arial"/>
          <w:sz w:val="16"/>
          <w:szCs w:val="16"/>
          <w:b w:val="1"/>
          <w:bCs w:val="1"/>
          <w:color w:val="auto"/>
        </w:rPr>
        <w:t>Disclosure Package</w:t>
      </w:r>
      <w:r>
        <w:rPr>
          <w:rFonts w:ascii="Arial" w:cs="Arial" w:eastAsia="Arial" w:hAnsi="Arial"/>
          <w:sz w:val="16"/>
          <w:szCs w:val="16"/>
          <w:color w:val="auto"/>
        </w:rPr>
        <w:t>” means the Base Prospectus and preliminary prospectus, if any, together with any additional documents or other information identified in Schedule I to this Agreement. As used herein, the terms “Base Prospectus,” “Prospectus,” “preliminary prospectus” and “Disclosure Package” shall include in each case the documents, if any, incorporated by reference therein. As used herein, the term “</w:t>
      </w:r>
      <w:r>
        <w:rPr>
          <w:rFonts w:ascii="Arial" w:cs="Arial" w:eastAsia="Arial" w:hAnsi="Arial"/>
          <w:sz w:val="16"/>
          <w:szCs w:val="16"/>
          <w:b w:val="1"/>
          <w:bCs w:val="1"/>
          <w:color w:val="auto"/>
        </w:rPr>
        <w:t>Applicable Time</w:t>
      </w:r>
      <w:r>
        <w:rPr>
          <w:rFonts w:ascii="Arial" w:cs="Arial" w:eastAsia="Arial" w:hAnsi="Arial"/>
          <w:sz w:val="16"/>
          <w:szCs w:val="16"/>
          <w:color w:val="auto"/>
        </w:rPr>
        <w:t>” means the time and date at which this Agreement is deemed to be executed or such other</w:t>
      </w:r>
    </w:p>
    <w:p>
      <w:pPr>
        <w:sectPr>
          <w:pgSz w:w="11900" w:h="16838" w:orient="portrait"/>
          <w:cols w:equalWidth="0" w:num="1">
            <w:col w:w="11420"/>
          </w:cols>
          <w:pgMar w:left="240" w:top="121" w:right="239" w:bottom="1440" w:gutter="0" w:footer="0" w:header="0"/>
        </w:sectPr>
      </w:pPr>
    </w:p>
    <w:bookmarkStart w:id="49" w:name="page50"/>
    <w:bookmarkEnd w:id="49"/>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 as agreed in writing by the Company and the Managers.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Issuers</w:t>
      </w:r>
      <w:r>
        <w:rPr>
          <w:rFonts w:ascii="Arial" w:cs="Arial" w:eastAsia="Arial" w:hAnsi="Arial"/>
          <w:sz w:val="18"/>
          <w:szCs w:val="18"/>
          <w:color w:val="auto"/>
        </w:rPr>
        <w:t>” means the Company and includes the Guarantors if Guarantees are offered pursuant to this Agreement.</w:t>
      </w:r>
    </w:p>
    <w:p>
      <w:pPr>
        <w:spacing w:after="0" w:line="187" w:lineRule="exact"/>
        <w:rPr>
          <w:sz w:val="20"/>
          <w:szCs w:val="20"/>
          <w:color w:val="auto"/>
        </w:rPr>
      </w:pPr>
    </w:p>
    <w:p>
      <w:pPr>
        <w:ind w:left="640" w:hanging="176"/>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The Issuers, jointly and severally, represent and warrant to each of the Underwriters as of the Applicable Time that:</w:t>
      </w:r>
    </w:p>
    <w:p>
      <w:pPr>
        <w:spacing w:after="0" w:line="140" w:lineRule="exact"/>
        <w:rPr>
          <w:rFonts w:ascii="Arial" w:cs="Arial" w:eastAsia="Arial" w:hAnsi="Arial"/>
          <w:sz w:val="16"/>
          <w:szCs w:val="16"/>
          <w:color w:val="auto"/>
        </w:rPr>
      </w:pPr>
    </w:p>
    <w:p>
      <w:pPr>
        <w:ind w:left="460" w:right="60" w:firstLine="443"/>
        <w:spacing w:after="0" w:line="277" w:lineRule="auto"/>
        <w:tabs>
          <w:tab w:leader="none" w:pos="1143"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Registration Statement has become effective; no stop order suspending the effectiveness of the Registration Statement is in effect, and no proceedings for such purpose are pending before or threatened by the Commission.</w:t>
      </w:r>
    </w:p>
    <w:p>
      <w:pPr>
        <w:spacing w:after="0" w:line="62" w:lineRule="exact"/>
        <w:rPr>
          <w:rFonts w:ascii="Arial" w:cs="Arial" w:eastAsia="Arial" w:hAnsi="Arial"/>
          <w:sz w:val="18"/>
          <w:szCs w:val="18"/>
          <w:color w:val="auto"/>
        </w:rPr>
      </w:pPr>
    </w:p>
    <w:p>
      <w:pPr>
        <w:ind w:left="460" w:right="220" w:firstLine="443"/>
        <w:spacing w:after="0" w:line="342" w:lineRule="auto"/>
        <w:tabs>
          <w:tab w:leader="none" w:pos="1153" w:val="left"/>
        </w:tabs>
        <w:numPr>
          <w:ilvl w:val="1"/>
          <w:numId w:val="41"/>
        </w:numPr>
        <w:rPr>
          <w:rFonts w:ascii="Arial" w:cs="Arial" w:eastAsia="Arial" w:hAnsi="Arial"/>
          <w:sz w:val="16"/>
          <w:szCs w:val="16"/>
          <w:color w:val="auto"/>
        </w:rPr>
      </w:pPr>
      <w:r>
        <w:rPr>
          <w:rFonts w:ascii="Arial" w:cs="Arial" w:eastAsia="Arial" w:hAnsi="Arial"/>
          <w:sz w:val="16"/>
          <w:szCs w:val="16"/>
          <w:color w:val="auto"/>
        </w:rPr>
        <w:t>Each document filed or to be filed pursuant to the Exchange Act and incorporated by reference in the Disclosure Package or the Prospectus complied or will comply when so filed in all material respects with the Exchange Act and the rules and regulations of the Commission thereunder.</w:t>
      </w:r>
    </w:p>
    <w:p>
      <w:pPr>
        <w:spacing w:after="0" w:line="15" w:lineRule="exact"/>
        <w:rPr>
          <w:rFonts w:ascii="Arial" w:cs="Arial" w:eastAsia="Arial" w:hAnsi="Arial"/>
          <w:sz w:val="16"/>
          <w:szCs w:val="16"/>
          <w:color w:val="auto"/>
        </w:rPr>
      </w:pPr>
    </w:p>
    <w:p>
      <w:pPr>
        <w:jc w:val="both"/>
        <w:ind w:left="460" w:right="200" w:firstLine="443"/>
        <w:spacing w:after="0" w:line="288" w:lineRule="auto"/>
        <w:tabs>
          <w:tab w:leader="none" w:pos="1143"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Registration Statement, the Disclosure Package and the Prospectus comply in all material respects with the Securities Act and the rules and regulations of the Commission thereunder and do not contain any untrue statement of a material fact or omit to state any material fact required to be stated therein or necessary to make the statements therein not misleading, except that the foregoing representations and warranties do not apply to</w:t>
      </w:r>
    </w:p>
    <w:p>
      <w:pPr>
        <w:ind w:left="460"/>
        <w:spacing w:after="0"/>
        <w:rPr>
          <w:rFonts w:ascii="Arial" w:cs="Arial" w:eastAsia="Arial" w:hAnsi="Arial"/>
          <w:sz w:val="16"/>
          <w:szCs w:val="16"/>
          <w:color w:val="auto"/>
        </w:rPr>
      </w:pPr>
      <w:r>
        <w:rPr>
          <w:rFonts w:ascii="Arial" w:cs="Arial" w:eastAsia="Arial" w:hAnsi="Arial"/>
          <w:sz w:val="18"/>
          <w:szCs w:val="18"/>
          <w:color w:val="auto"/>
        </w:rPr>
        <w:t>(i) that part of the Registration Statement which shall constitute the Statement of Eligibility of the Trustee on Form T-1 (the “</w:t>
      </w:r>
      <w:r>
        <w:rPr>
          <w:rFonts w:ascii="Arial" w:cs="Arial" w:eastAsia="Arial" w:hAnsi="Arial"/>
          <w:sz w:val="18"/>
          <w:szCs w:val="18"/>
          <w:b w:val="1"/>
          <w:bCs w:val="1"/>
          <w:color w:val="auto"/>
        </w:rPr>
        <w:t>Form T-1</w:t>
      </w:r>
      <w:r>
        <w:rPr>
          <w:rFonts w:ascii="Arial" w:cs="Arial" w:eastAsia="Arial" w:hAnsi="Arial"/>
          <w:sz w:val="18"/>
          <w:szCs w:val="18"/>
          <w:color w:val="auto"/>
        </w:rPr>
        <w:t>”) or</w:t>
      </w:r>
    </w:p>
    <w:p>
      <w:pPr>
        <w:spacing w:after="0" w:line="9" w:lineRule="exact"/>
        <w:rPr>
          <w:rFonts w:ascii="Arial" w:cs="Arial" w:eastAsia="Arial" w:hAnsi="Arial"/>
          <w:sz w:val="16"/>
          <w:szCs w:val="16"/>
          <w:color w:val="auto"/>
        </w:rPr>
      </w:pPr>
    </w:p>
    <w:p>
      <w:pPr>
        <w:ind w:left="460" w:right="300"/>
        <w:spacing w:after="0" w:line="290" w:lineRule="auto"/>
        <w:rPr>
          <w:rFonts w:ascii="Arial" w:cs="Arial" w:eastAsia="Arial" w:hAnsi="Arial"/>
          <w:sz w:val="16"/>
          <w:szCs w:val="16"/>
          <w:color w:val="auto"/>
        </w:rPr>
      </w:pPr>
      <w:r>
        <w:rPr>
          <w:rFonts w:ascii="Arial" w:cs="Arial" w:eastAsia="Arial" w:hAnsi="Arial"/>
          <w:sz w:val="17"/>
          <w:szCs w:val="17"/>
          <w:color w:val="auto"/>
        </w:rPr>
        <w:t>(ii) statements or omissions in the Registration Statement, the Disclosure Package or the Prospectus or any amendment or supplement thereto based upon information furnished to the Issuers in writing by any Underwriter through the Managers expressly for use therein.</w:t>
      </w:r>
    </w:p>
    <w:p>
      <w:pPr>
        <w:spacing w:after="0" w:line="53" w:lineRule="exact"/>
        <w:rPr>
          <w:rFonts w:ascii="Arial" w:cs="Arial" w:eastAsia="Arial" w:hAnsi="Arial"/>
          <w:sz w:val="16"/>
          <w:szCs w:val="16"/>
          <w:color w:val="auto"/>
        </w:rPr>
      </w:pPr>
    </w:p>
    <w:p>
      <w:pPr>
        <w:ind w:left="460" w:firstLine="443"/>
        <w:spacing w:after="0" w:line="255" w:lineRule="auto"/>
        <w:tabs>
          <w:tab w:leader="none" w:pos="1153"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Company is not an “ineligible issuer” in connection with the offering pursuant to Rules 164, 405 and 433 under the Securities Act. The Company has not made, used, prepared, authorized, approved or referred to any offer relating to the Offered Securities that would constitute a free writing prospectus other than (i) any written communications furnished in advance to the Managers; (ii) an electronic road show, if any, furnished to the Managers before first use; or (iii) free writing prospectuses identified on Schedule I to this Agreement, including the term sheet as set forth in Schedule II to this Agreement. Any such free writing prospectus as of its issue date complied in all material respects with the requirements of the Securities Act and the rules and regulations thereunder and was filed with the Commission in accordance with the Securities Act (to the extent required pursuant to Rule 433(d) thereunder).</w:t>
      </w:r>
    </w:p>
    <w:p>
      <w:pPr>
        <w:spacing w:after="0" w:line="81" w:lineRule="exact"/>
        <w:rPr>
          <w:rFonts w:ascii="Arial" w:cs="Arial" w:eastAsia="Arial" w:hAnsi="Arial"/>
          <w:sz w:val="18"/>
          <w:szCs w:val="18"/>
          <w:color w:val="auto"/>
        </w:rPr>
      </w:pPr>
    </w:p>
    <w:p>
      <w:pPr>
        <w:jc w:val="both"/>
        <w:ind w:left="460" w:right="280" w:firstLine="443"/>
        <w:spacing w:after="0" w:line="264" w:lineRule="auto"/>
        <w:tabs>
          <w:tab w:leader="none" w:pos="1143"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execution and delivery by each Issuer of, and the performance by each Issuer of its obligations under, this Agreement, each indenture under which the Offered Securities are to be issued, and the Offered Securities, will not contravene any provision of applicable law or the articles of incorporation or by-laws of any Issuer or any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0" w:name="page51"/>
    <w:bookmarkEnd w:id="50"/>
    <w:p>
      <w:pPr>
        <w:ind w:left="420"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other instrument binding upon the Company or any of its subsidiaries that is material to the Company and its consolidated subsidiaries, taken as a whole, or any judgment, order or decree of any governmental body, agency or court having jurisdiction over the Company or any of its consolidated subsidiaries, and no consent, approval, authorization or order of, or qualification with, any governmental body or agency is required for the performance by each Issuer of its obligations under this Agreement, each indenture under which the Offered Securities are to be issued or the Offered Securities, except such as may be required by the securities or blue sky laws of the various states in connection with the offer and sale of the Offered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representation is made as to whether the purchase of the Offered Securities constitutes a “prohibited transaction” under Section 406 of the Employee Retirement Income Security Act of 1974, as amended, or Section 4975 of the Internal Revenue Code of 1986, as amended.</w:t>
      </w:r>
    </w:p>
    <w:p>
      <w:pPr>
        <w:spacing w:after="0" w:line="84" w:lineRule="exact"/>
        <w:rPr>
          <w:sz w:val="20"/>
          <w:szCs w:val="20"/>
          <w:color w:val="auto"/>
        </w:rPr>
      </w:pPr>
    </w:p>
    <w:p>
      <w:pPr>
        <w:ind w:left="420" w:right="160" w:firstLine="443"/>
        <w:spacing w:after="0" w:line="264" w:lineRule="auto"/>
        <w:tabs>
          <w:tab w:leader="none" w:pos="1083" w:val="left"/>
        </w:tabs>
        <w:numPr>
          <w:ilvl w:val="1"/>
          <w:numId w:val="42"/>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(i) in violation of its articles of incorporation or by-laws (or similar organizational documents) or (ii) in default in the performance or observance of any obligation, covenant or condition contained in any contract, except to the extent such default would not have a material adverse effect.</w:t>
      </w:r>
    </w:p>
    <w:p>
      <w:pPr>
        <w:spacing w:after="0" w:line="73" w:lineRule="exact"/>
        <w:rPr>
          <w:rFonts w:ascii="Arial" w:cs="Arial" w:eastAsia="Arial" w:hAnsi="Arial"/>
          <w:sz w:val="18"/>
          <w:szCs w:val="18"/>
          <w:color w:val="auto"/>
        </w:rPr>
      </w:pPr>
    </w:p>
    <w:p>
      <w:pPr>
        <w:ind w:left="420" w:right="200" w:firstLine="443"/>
        <w:spacing w:after="0" w:line="286" w:lineRule="auto"/>
        <w:tabs>
          <w:tab w:leader="none" w:pos="1113"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Disclosure Package (exclusive of any amendments or supplements thereto effected subsequent to the date of the Agreement).</w:t>
      </w:r>
    </w:p>
    <w:p>
      <w:pPr>
        <w:spacing w:after="0" w:line="57" w:lineRule="exact"/>
        <w:rPr>
          <w:rFonts w:ascii="Arial" w:cs="Arial" w:eastAsia="Arial" w:hAnsi="Arial"/>
          <w:sz w:val="17"/>
          <w:szCs w:val="17"/>
          <w:color w:val="auto"/>
        </w:rPr>
      </w:pPr>
    </w:p>
    <w:p>
      <w:pPr>
        <w:ind w:left="420" w:firstLine="443"/>
        <w:spacing w:after="0" w:line="257" w:lineRule="auto"/>
        <w:tabs>
          <w:tab w:leader="none" w:pos="1113"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or threatened to which the Company or any of its consolidated subsidiaries is a party or to which any of the properties of the Company or any of its consolidated subsidiaries is subject that are required to be described in the Registration Statement or the Disclosure Package and are not so described or any statutes, regulations, contracts or other documents that are required to be described in the Registration Statement or the Disclosure Package or to be filed or incorporated by reference as exhibits to the Registration Statement that are not described, filed or incorporated as required.</w:t>
      </w:r>
    </w:p>
    <w:p>
      <w:pPr>
        <w:spacing w:after="0" w:line="80" w:lineRule="exact"/>
        <w:rPr>
          <w:rFonts w:ascii="Arial" w:cs="Arial" w:eastAsia="Arial" w:hAnsi="Arial"/>
          <w:sz w:val="18"/>
          <w:szCs w:val="18"/>
          <w:color w:val="auto"/>
        </w:rPr>
      </w:pPr>
    </w:p>
    <w:p>
      <w:pPr>
        <w:ind w:left="420" w:right="20" w:firstLine="443"/>
        <w:spacing w:after="0" w:line="257" w:lineRule="auto"/>
        <w:tabs>
          <w:tab w:leader="none" w:pos="1073" w:val="left"/>
        </w:tabs>
        <w:numPr>
          <w:ilvl w:val="1"/>
          <w:numId w:val="42"/>
        </w:numPr>
        <w:rPr>
          <w:rFonts w:ascii="Arial" w:cs="Arial" w:eastAsia="Arial" w:hAnsi="Arial"/>
          <w:sz w:val="18"/>
          <w:szCs w:val="18"/>
          <w:color w:val="auto"/>
        </w:rPr>
      </w:pPr>
      <w:r>
        <w:rPr>
          <w:rFonts w:ascii="Arial" w:cs="Arial" w:eastAsia="Arial" w:hAnsi="Arial"/>
          <w:sz w:val="18"/>
          <w:szCs w:val="18"/>
          <w:color w:val="auto"/>
        </w:rPr>
        <w:t>Each of the Company and its consolidated subsidiaries has all necessary consents, authorizations, approvals, orders, certificates and permits of and from, and has made all declarations and filings with, all federal, state, local and other governmental authorities, all self-regulatory organizations and all courts and other tribunals, to own, lease, license and use its properties and assets and to conduct its business in the manner described in the Disclosure Package, except to the extent that the failure to obtain or file would not have a material adverse effect on the Company and its consolidated subsidiaries, taken as a whole.</w:t>
      </w:r>
    </w:p>
    <w:p>
      <w:pPr>
        <w:spacing w:after="0" w:line="188" w:lineRule="exact"/>
        <w:rPr>
          <w:rFonts w:ascii="Arial" w:cs="Arial" w:eastAsia="Arial" w:hAnsi="Arial"/>
          <w:sz w:val="18"/>
          <w:szCs w:val="18"/>
          <w:color w:val="auto"/>
        </w:rPr>
      </w:pPr>
    </w:p>
    <w:p>
      <w:pPr>
        <w:ind w:left="-40" w:right="120" w:firstLine="464"/>
        <w:spacing w:after="0" w:line="264" w:lineRule="auto"/>
        <w:tabs>
          <w:tab w:leader="none" w:pos="596"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Public Offering</w:t>
      </w:r>
      <w:r>
        <w:rPr>
          <w:rFonts w:ascii="Arial" w:cs="Arial" w:eastAsia="Arial" w:hAnsi="Arial"/>
          <w:sz w:val="18"/>
          <w:szCs w:val="18"/>
          <w:color w:val="auto"/>
        </w:rPr>
        <w:t>. The Issuers are advised by the Managers that the Underwriters propose to make a public offering of their respective portions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Offered Securities as soon after this Agreement has been entered into as in the Managers’ judgment is advisable. The terms of the public offering of the Offered Securities are set forth in the Disclosure Package and the Prospectus.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74" w:right="259" w:bottom="1440" w:gutter="0" w:footer="0" w:header="0"/>
        </w:sectPr>
      </w:pPr>
    </w:p>
    <w:bookmarkStart w:id="51" w:name="page52"/>
    <w:bookmarkEnd w:id="51"/>
    <w:p>
      <w:pPr>
        <w:ind w:left="-20" w:right="80" w:firstLine="464"/>
        <w:spacing w:after="0" w:line="257" w:lineRule="auto"/>
        <w:tabs>
          <w:tab w:leader="none" w:pos="616"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 and Delivery</w:t>
      </w:r>
      <w:r>
        <w:rPr>
          <w:rFonts w:ascii="Arial" w:cs="Arial" w:eastAsia="Arial" w:hAnsi="Arial"/>
          <w:sz w:val="18"/>
          <w:szCs w:val="18"/>
          <w:color w:val="auto"/>
        </w:rPr>
        <w:t>. Except as otherwise provided in this Section 3, payment for the Offered Securities shall be made to the Company in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funds immediately available in New York City at the time and place set forth in this Agreement, upon delivery to the Managers for the respective accounts of the several Underwriters of the Offered Securities registered in such names and in such denominations as the Managers shall request in writing not less than one full business day prior to the date of delivery, with any transfer taxes payable in connection with the transfer of the Offered Securities to the Underwriters duly paid.</w:t>
      </w:r>
    </w:p>
    <w:p>
      <w:pPr>
        <w:spacing w:after="0" w:line="188" w:lineRule="exact"/>
        <w:rPr>
          <w:rFonts w:ascii="Arial" w:cs="Arial" w:eastAsia="Arial" w:hAnsi="Arial"/>
          <w:sz w:val="18"/>
          <w:szCs w:val="18"/>
          <w:color w:val="auto"/>
        </w:rPr>
      </w:pPr>
    </w:p>
    <w:p>
      <w:pPr>
        <w:ind w:left="620" w:hanging="176"/>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Conditions to Closing</w:t>
      </w:r>
      <w:r>
        <w:rPr>
          <w:rFonts w:ascii="Arial" w:cs="Arial" w:eastAsia="Arial" w:hAnsi="Arial"/>
          <w:sz w:val="18"/>
          <w:szCs w:val="18"/>
          <w:color w:val="auto"/>
        </w:rPr>
        <w:t>. The several obligations of the Underwriters hereunder are subject to the following conditions:</w:t>
      </w:r>
    </w:p>
    <w:p>
      <w:pPr>
        <w:spacing w:after="0" w:line="117" w:lineRule="exact"/>
        <w:rPr>
          <w:rFonts w:ascii="Arial" w:cs="Arial" w:eastAsia="Arial" w:hAnsi="Arial"/>
          <w:sz w:val="18"/>
          <w:szCs w:val="18"/>
          <w:color w:val="auto"/>
        </w:rPr>
      </w:pPr>
    </w:p>
    <w:p>
      <w:pPr>
        <w:ind w:left="440" w:right="100" w:firstLine="443"/>
        <w:spacing w:after="0" w:line="259" w:lineRule="auto"/>
        <w:tabs>
          <w:tab w:leader="none" w:pos="1123" w:val="left"/>
        </w:tabs>
        <w:numPr>
          <w:ilvl w:val="1"/>
          <w:numId w:val="44"/>
        </w:numPr>
        <w:rPr>
          <w:rFonts w:ascii="Arial" w:cs="Arial" w:eastAsia="Arial" w:hAnsi="Arial"/>
          <w:sz w:val="18"/>
          <w:szCs w:val="18"/>
          <w:color w:val="auto"/>
        </w:rPr>
      </w:pPr>
      <w:r>
        <w:rPr>
          <w:rFonts w:ascii="Arial" w:cs="Arial" w:eastAsia="Arial" w:hAnsi="Arial"/>
          <w:sz w:val="18"/>
          <w:szCs w:val="18"/>
          <w:color w:val="auto"/>
        </w:rPr>
        <w:t>Subsequent to the Applicable Time and prior to the Closing Date, there shall not have occurred any downgrading, nor shall any notice have been given of any intended or potential downgrading or of any review for a possible change that does not indicate the direction of the possible change, in the rating accorded any Issuer or any of the securities of any Issuer by any “nationally recognized statistical rating organization,” as such term is defined for purposes of Section 3(a)(62) of the Exchange Act.</w:t>
      </w:r>
    </w:p>
    <w:p>
      <w:pPr>
        <w:spacing w:after="0" w:line="78" w:lineRule="exact"/>
        <w:rPr>
          <w:rFonts w:ascii="Arial" w:cs="Arial" w:eastAsia="Arial" w:hAnsi="Arial"/>
          <w:sz w:val="18"/>
          <w:szCs w:val="18"/>
          <w:color w:val="auto"/>
        </w:rPr>
      </w:pPr>
    </w:p>
    <w:p>
      <w:pPr>
        <w:ind w:left="440" w:firstLine="443"/>
        <w:spacing w:after="0" w:line="290" w:lineRule="auto"/>
        <w:tabs>
          <w:tab w:leader="none" w:pos="1133" w:val="left"/>
        </w:tabs>
        <w:numPr>
          <w:ilvl w:val="1"/>
          <w:numId w:val="44"/>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shall be in effect, and no proceedings for such purpose shall be pending before or threatened by the Commission, and there shall not have occurred any change, or any development involving a prospective change, in the condition, financial or otherwise, or in the earnings, business or operations of the Company and its consolidated subsidiaries, taken as a whole, from that set forth in the Disclosure Package, that, in the judgment of the Managers, is material and adverse and that makes it, in the judgment of the Managers, impracticable to market the Offered Securities on the terms and in the manner contemplated in the Disclosure Package; and the Managers shall have received, on the Closing Date, a certificate, dated the Closing Date and signed by an executive officer of the Company, to the foregoing effect. Such certificate shall also provide that the representations and warranties of the Company contained herein are true and correct as of the Closing Date. The officer making such certificate may rely upon the best of his knowledge as to proceedings threatened.</w:t>
      </w:r>
    </w:p>
    <w:p>
      <w:pPr>
        <w:spacing w:after="0" w:line="58" w:lineRule="exact"/>
        <w:rPr>
          <w:rFonts w:ascii="Arial" w:cs="Arial" w:eastAsia="Arial" w:hAnsi="Arial"/>
          <w:sz w:val="16"/>
          <w:szCs w:val="16"/>
          <w:color w:val="auto"/>
        </w:rPr>
      </w:pPr>
    </w:p>
    <w:p>
      <w:pPr>
        <w:ind w:left="440" w:right="20" w:firstLine="443"/>
        <w:spacing w:after="0" w:line="264" w:lineRule="auto"/>
        <w:tabs>
          <w:tab w:leader="none" w:pos="1123"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Managers shall have received on the Closing Date an opinion of Arthur R. Block, Esquire, Executive Vice President, General Counsel and Secretary of the Company (or another lawyer of the Company reasonably satisfactory to the Underwriters), dated the Closing Date, to the effect (as applicable) that:</w:t>
      </w:r>
    </w:p>
    <w:p>
      <w:pPr>
        <w:spacing w:after="0" w:line="73" w:lineRule="exact"/>
        <w:rPr>
          <w:rFonts w:ascii="Arial" w:cs="Arial" w:eastAsia="Arial" w:hAnsi="Arial"/>
          <w:sz w:val="18"/>
          <w:szCs w:val="18"/>
          <w:color w:val="auto"/>
        </w:rPr>
      </w:pPr>
    </w:p>
    <w:p>
      <w:pPr>
        <w:ind w:left="900" w:right="120" w:firstLine="421"/>
        <w:spacing w:after="0" w:line="259" w:lineRule="auto"/>
        <w:tabs>
          <w:tab w:leader="none" w:pos="1535"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the Company is validly existing as a corporation subsisting under the laws of the Commonwealth of Pennsylvania and is duly qualified to transact business and is in good standing in each jurisdiction in which the conduct of its business or its ownership or leasing of property requires such qualification (except where the failure to so qualify would not have a material adverse effect upon the business or financial condition of the Company and its subsidiaries, as a whole);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74" w:right="259" w:bottom="1440" w:gutter="0" w:footer="0" w:header="0"/>
        </w:sectPr>
      </w:pPr>
    </w:p>
    <w:bookmarkStart w:id="52" w:name="page53"/>
    <w:bookmarkEnd w:id="52"/>
    <w:p>
      <w:pPr>
        <w:ind w:left="400" w:hanging="259"/>
        <w:spacing w:after="0"/>
        <w:tabs>
          <w:tab w:leader="none" w:pos="400" w:val="left"/>
        </w:tabs>
        <w:numPr>
          <w:ilvl w:val="0"/>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indenture under which the Offered Securities are to be issued, has been duly authorized, executed and delivered by the Company;</w:t>
      </w:r>
    </w:p>
    <w:p>
      <w:pPr>
        <w:spacing w:after="0" w:line="140" w:lineRule="exact"/>
        <w:rPr>
          <w:rFonts w:ascii="Arial" w:cs="Arial" w:eastAsia="Arial" w:hAnsi="Arial"/>
          <w:sz w:val="16"/>
          <w:szCs w:val="16"/>
          <w:color w:val="auto"/>
        </w:rPr>
      </w:pPr>
    </w:p>
    <w:p>
      <w:pPr>
        <w:ind w:left="460" w:hanging="319"/>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jc w:val="both"/>
        <w:ind w:left="-280" w:firstLine="421"/>
        <w:spacing w:after="0" w:line="259" w:lineRule="auto"/>
        <w:tabs>
          <w:tab w:leader="none" w:pos="44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the issued shares of capital stock or membership interests, as applicable, of each Guarantor have been duly and validly authorized and issued, are fully paid and non-assessable (with respect to such shares of capital stock), and (except for directors’ qualifying shares and except as otherwise set forth in the Disclosure Package) are owned directly or indirectly by the Company, free and clear of all liens, encumbrances, equities or claims;</w:t>
      </w:r>
    </w:p>
    <w:p>
      <w:pPr>
        <w:spacing w:after="0" w:line="78" w:lineRule="exact"/>
        <w:rPr>
          <w:rFonts w:ascii="Arial" w:cs="Arial" w:eastAsia="Arial" w:hAnsi="Arial"/>
          <w:sz w:val="18"/>
          <w:szCs w:val="18"/>
          <w:color w:val="auto"/>
        </w:rPr>
      </w:pPr>
    </w:p>
    <w:p>
      <w:pPr>
        <w:ind w:left="-280" w:right="140" w:firstLine="421"/>
        <w:spacing w:after="0" w:line="277" w:lineRule="auto"/>
        <w:tabs>
          <w:tab w:leader="none" w:pos="3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Disclosure Package, and all of the issued shares of capital stock of the Company have been duly and validly authorized and issued and are fully paid and non-assessable;</w:t>
      </w:r>
    </w:p>
    <w:p>
      <w:pPr>
        <w:spacing w:after="0" w:line="62" w:lineRule="exact"/>
        <w:rPr>
          <w:rFonts w:ascii="Arial" w:cs="Arial" w:eastAsia="Arial" w:hAnsi="Arial"/>
          <w:sz w:val="18"/>
          <w:szCs w:val="18"/>
          <w:color w:val="auto"/>
        </w:rPr>
      </w:pPr>
    </w:p>
    <w:p>
      <w:pPr>
        <w:ind w:left="440" w:hanging="299"/>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Offered Securities to be offered by the Company have been duly authorized by the Company;</w:t>
      </w:r>
    </w:p>
    <w:p>
      <w:pPr>
        <w:spacing w:after="0" w:line="117" w:lineRule="exact"/>
        <w:rPr>
          <w:rFonts w:ascii="Arial" w:cs="Arial" w:eastAsia="Arial" w:hAnsi="Arial"/>
          <w:sz w:val="18"/>
          <w:szCs w:val="18"/>
          <w:color w:val="auto"/>
        </w:rPr>
      </w:pPr>
    </w:p>
    <w:p>
      <w:pPr>
        <w:ind w:left="-280" w:firstLine="421"/>
        <w:spacing w:after="0" w:line="253" w:lineRule="auto"/>
        <w:tabs>
          <w:tab w:leader="none" w:pos="4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except as rights to indemnity and contribution under this Agreement may be limited under applicable law, the execution and delivery by each Issuer of, and the performance by each Issuer of its obligations under, each indenture under which the Offered Securities are to be issued, the Offered Securities and this Agreement will not contravene (A) any provision of the laws of the Commonwealth of Pennsylvania or any federal law of the United States of America that in such counsel’s experience is normally applicable to general business corporations in relation to transactions of the type contemplated by each indenture under which the Offered Securities are to be issued, the Offered Securities and this Agreement (except with respect to federal, state or foreign securities laws or to laws relating specifically to the cable communications industry, as to which such counsel is not called upon to express any opinion), (B) the articles of incorporation or bylaws or equivalent organizational documents of any Issuer, or (C) to the best of such counsel’s knowledge, any material agreement or other material instrument binding upon such Issuer;</w:t>
      </w:r>
    </w:p>
    <w:p>
      <w:pPr>
        <w:spacing w:after="0" w:line="89" w:lineRule="exact"/>
        <w:rPr>
          <w:rFonts w:ascii="Arial" w:cs="Arial" w:eastAsia="Arial" w:hAnsi="Arial"/>
          <w:sz w:val="18"/>
          <w:szCs w:val="18"/>
          <w:color w:val="auto"/>
        </w:rPr>
      </w:pPr>
    </w:p>
    <w:p>
      <w:pPr>
        <w:ind w:left="-280" w:right="120" w:firstLine="421"/>
        <w:spacing w:after="0" w:line="259" w:lineRule="auto"/>
        <w:tabs>
          <w:tab w:leader="none" w:pos="545"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consent, approval, authorization, or order of, or qualification with any state governmental body or agency under the laws of the Commonwealth of Pennsylvania, any federal law of the United States of America, or to the best of such counsel’s knowledge, any other state or jurisdiction of the United States, that in such counsel’s experience is normally applicable to general business corporations in relation to transactions of the type contemplated by each</w:t>
      </w:r>
    </w:p>
    <w:p>
      <w:pPr>
        <w:spacing w:after="0" w:line="1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00"/>
          </w:cols>
          <w:pgMar w:left="1440" w:top="274" w:right="259" w:bottom="1440" w:gutter="0" w:footer="0" w:header="0"/>
        </w:sectPr>
      </w:pPr>
    </w:p>
    <w:bookmarkStart w:id="53" w:name="page54"/>
    <w:bookmarkEnd w:id="53"/>
    <w:p>
      <w:pPr>
        <w:ind w:left="912" w:right="1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indenture under which the Offered Securities are to be issued, the Offered Securities and this Agreement is required for the performance by any Issuer of its obligations under each indenture under which the Offered Securities are to be issued, the Offered Securities and this Agreement (except such as may be required under federal, state or foreign securities or Blue Sky laws and with respect to consents, approvals and authorizations relating specifically to the cable communications industry as to which such counsel is not called upon to express any opinion);</w:t>
      </w:r>
    </w:p>
    <w:p>
      <w:pPr>
        <w:spacing w:after="0" w:line="46" w:lineRule="exact"/>
        <w:rPr>
          <w:sz w:val="20"/>
          <w:szCs w:val="20"/>
          <w:color w:val="auto"/>
        </w:rPr>
      </w:pPr>
    </w:p>
    <w:p>
      <w:pPr>
        <w:ind w:left="912" w:firstLine="421"/>
        <w:spacing w:after="0" w:line="272" w:lineRule="auto"/>
        <w:tabs>
          <w:tab w:leader="none" w:pos="1637" w:val="left"/>
        </w:tabs>
        <w:numPr>
          <w:ilvl w:val="0"/>
          <w:numId w:val="46"/>
        </w:numPr>
        <w:rPr>
          <w:rFonts w:ascii="Arial" w:cs="Arial" w:eastAsia="Arial" w:hAnsi="Arial"/>
          <w:sz w:val="17"/>
          <w:szCs w:val="17"/>
          <w:color w:val="auto"/>
        </w:rPr>
      </w:pPr>
      <w:r>
        <w:rPr>
          <w:rFonts w:ascii="Arial" w:cs="Arial" w:eastAsia="Arial" w:hAnsi="Arial"/>
          <w:sz w:val="17"/>
          <w:szCs w:val="17"/>
          <w:color w:val="auto"/>
        </w:rPr>
        <w:t>subject to such qualification as may be set forth in the Disclosure Package, the Company and its subsidiaries have, and are in material compliance with, such franchises, and to the best knowledge of such counsel after reasonable investigation, such licenses and authorizations, as are necessary to own their properties and to conduct their business in the manner described in the Disclosure Package, except where the failure to have, or comply with, such franchises, licenses and authorizations would not have a material adverse effect on the business or financial condition of the Company and its subsidiaries, as a whole, and such franchises, licenses and authorizations contain no materially burdensome restrictions not adequately described in the Disclosure Package, which restrictions would have a material adverse effect on the business or financial condition of the Company and its subsidiaries, as a whole;</w:t>
      </w:r>
    </w:p>
    <w:p>
      <w:pPr>
        <w:spacing w:after="0" w:line="69" w:lineRule="exact"/>
        <w:rPr>
          <w:rFonts w:ascii="Arial" w:cs="Arial" w:eastAsia="Arial" w:hAnsi="Arial"/>
          <w:sz w:val="17"/>
          <w:szCs w:val="17"/>
          <w:color w:val="auto"/>
        </w:rPr>
      </w:pPr>
    </w:p>
    <w:p>
      <w:pPr>
        <w:ind w:left="912" w:right="160" w:firstLine="421"/>
        <w:spacing w:after="0" w:line="255" w:lineRule="auto"/>
        <w:tabs>
          <w:tab w:leader="none" w:pos="158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statements included in (A) Item 3 of the Company’s and NBCUniversal Media, LLC’s most recent Annual Report on Form 10-K incorporated by reference in the Disclosure Package, (B) Part II, Item 1 under the caption “Legal Proceedings” of the Company’s and NBCUniversal Media, LLC’s most recent Quarterly Report on Form 10-Q, if any, incorporated by reference in the Disclosure Package, (C) the Registration Statement in Item 15 and (D) the Disclosure Package under the caption “Description of Capital Stock,”</w:t>
      </w:r>
      <w:r>
        <w:rPr>
          <w:rFonts w:ascii="Arial" w:cs="Arial" w:eastAsia="Arial" w:hAnsi="Arial"/>
          <w:sz w:val="15"/>
          <w:szCs w:val="15"/>
          <w:color w:val="auto"/>
        </w:rPr>
        <w:t>1</w:t>
      </w:r>
      <w:r>
        <w:rPr>
          <w:rFonts w:ascii="Arial" w:cs="Arial" w:eastAsia="Arial" w:hAnsi="Arial"/>
          <w:sz w:val="18"/>
          <w:szCs w:val="18"/>
          <w:color w:val="auto"/>
        </w:rPr>
        <w:t xml:space="preserve"> insofar as such statements summarize the legal matters, documents or proceedings referred to therein, fairly summarize such legal matters, documents and proceedings in all material respects;</w:t>
      </w:r>
    </w:p>
    <w:p>
      <w:pPr>
        <w:spacing w:after="0" w:line="85" w:lineRule="exact"/>
        <w:rPr>
          <w:rFonts w:ascii="Arial" w:cs="Arial" w:eastAsia="Arial" w:hAnsi="Arial"/>
          <w:sz w:val="18"/>
          <w:szCs w:val="18"/>
          <w:color w:val="auto"/>
        </w:rPr>
      </w:pPr>
    </w:p>
    <w:p>
      <w:pPr>
        <w:ind w:left="912" w:right="20" w:firstLine="421"/>
        <w:spacing w:after="0" w:line="257" w:lineRule="auto"/>
        <w:tabs>
          <w:tab w:leader="none" w:pos="1637"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such counsel does not know of any legal or governmental proceeding pending or threatened to which the Company or any of its subsidiaries is a party or to which any of the properties of the Company or any of its subsidiaries is subject which is required to be described in the Registration Statement or the Disclosure Package and is not so described or of any contract or other document which is required to be described in the Registration Statement or the Disclosure Package or to be filed as an exhibit to the Registration Statement which is not described or filed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63" w:lineRule="exact"/>
        <w:rPr>
          <w:sz w:val="20"/>
          <w:szCs w:val="20"/>
          <w:color w:val="auto"/>
        </w:rPr>
      </w:pPr>
    </w:p>
    <w:p>
      <w:pPr>
        <w:ind w:left="5652" w:right="4800" w:hanging="5652"/>
        <w:spacing w:after="0" w:line="490" w:lineRule="auto"/>
        <w:tabs>
          <w:tab w:leader="none" w:pos="437" w:val="left"/>
        </w:tabs>
        <w:numPr>
          <w:ilvl w:val="0"/>
          <w:numId w:val="47"/>
        </w:numPr>
        <w:rPr>
          <w:rFonts w:ascii="Arial" w:cs="Arial" w:eastAsia="Arial" w:hAnsi="Arial"/>
          <w:sz w:val="14"/>
          <w:szCs w:val="14"/>
          <w:color w:val="auto"/>
        </w:rPr>
      </w:pPr>
      <w:r>
        <w:rPr>
          <w:rFonts w:ascii="Arial" w:cs="Arial" w:eastAsia="Arial" w:hAnsi="Arial"/>
          <w:sz w:val="17"/>
          <w:szCs w:val="17"/>
          <w:color w:val="auto"/>
        </w:rPr>
        <w:t>The inclusion of Section 4(c)(x)(D) is only required for issuances of convertible debt. 6</w:t>
      </w:r>
    </w:p>
    <w:p>
      <w:pPr>
        <w:sectPr>
          <w:pgSz w:w="11900" w:h="16838" w:orient="portrait"/>
          <w:cols w:equalWidth="0" w:num="1">
            <w:col w:w="11412"/>
          </w:cols>
          <w:pgMar w:left="248" w:top="274" w:right="239" w:bottom="1440" w:gutter="0" w:footer="0" w:header="0"/>
        </w:sectPr>
      </w:pPr>
    </w:p>
    <w:bookmarkStart w:id="54" w:name="page55"/>
    <w:bookmarkEnd w:id="54"/>
    <w:p>
      <w:pPr>
        <w:ind w:left="920" w:right="700" w:firstLine="421"/>
        <w:spacing w:after="0" w:line="277" w:lineRule="auto"/>
        <w:tabs>
          <w:tab w:leader="none" w:pos="1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securities into which the Offered Securities are convertible, initially reserved for issuance upon conversion of the Offered Securities (the “</w:t>
      </w:r>
      <w:r>
        <w:rPr>
          <w:rFonts w:ascii="Arial" w:cs="Arial" w:eastAsia="Arial" w:hAnsi="Arial"/>
          <w:sz w:val="18"/>
          <w:szCs w:val="18"/>
          <w:b w:val="1"/>
          <w:bCs w:val="1"/>
          <w:color w:val="auto"/>
        </w:rPr>
        <w:t>Underlying Securities</w:t>
      </w:r>
      <w:r>
        <w:rPr>
          <w:rFonts w:ascii="Arial" w:cs="Arial" w:eastAsia="Arial" w:hAnsi="Arial"/>
          <w:sz w:val="18"/>
          <w:szCs w:val="18"/>
          <w:color w:val="auto"/>
        </w:rPr>
        <w:t>”), have been duly authorized and reserved for issuance; and</w:t>
      </w:r>
    </w:p>
    <w:p>
      <w:pPr>
        <w:spacing w:after="0" w:line="62" w:lineRule="exact"/>
        <w:rPr>
          <w:rFonts w:ascii="Arial" w:cs="Arial" w:eastAsia="Arial" w:hAnsi="Arial"/>
          <w:sz w:val="18"/>
          <w:szCs w:val="18"/>
          <w:color w:val="auto"/>
        </w:rPr>
      </w:pPr>
    </w:p>
    <w:p>
      <w:pPr>
        <w:ind w:left="920" w:right="320" w:firstLine="421"/>
        <w:spacing w:after="0" w:line="264" w:lineRule="auto"/>
        <w:tabs>
          <w:tab w:leader="none" w:pos="1745"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when the Underlying Securities are issued upon conversion of the Offered Securities in accordance with the terms of the Offered Securities, such Underlying Securities will be validly issued, fully paid and non-assessable and will not be subject to any preemptive or other right to subscribe for or purchase such Underlying Securities.</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Such counsel shall also state that nothing has come to his attention that causes him to believe that (1) on the date of this Agreement, the Registration Statement contained any untrue statement of a material fact or omitted to state a material fact required to be stated therein or necessary to make the statements therein not misleading; (2) at the Applicable Time, the Disclosure Package contained any untrue statement of a material fact or omitted to state a material fact necessary in order to make the statements therein, in the light of the circumstances under which they are made, not misleading; or (3) that the Prospectus as of the date of this Agreement or as of the Closing Date contained or contains an untrue statement of a material fact or omitted or omits to state a material fact necessary in order to make statements therein, in the light of the circumstances under which they are made, not misleading.</w:t>
      </w:r>
    </w:p>
    <w:p>
      <w:pPr>
        <w:spacing w:after="0" w:line="16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With respect to the preceding paragraph, such counsel may state that his belief is based upon his participation in the preparation of the Registration Statement, Disclosure Package, Prospectus and the documents incorporated therein by reference and review and discussion of the contents thereof, but is without independent check or verification except as specified. Such counsel need not pass upon or assume responsibility for the accuracy, completeness or fairness of the statements contained in, and need not have checked the accuracy, completeness or fairness of, or otherwise verified, the information furnished in Registration Statement, Disclosure Package, and the Prospectus, except as specified. Such counsel is not called to pass upon, and need express no view regarding, the financial statements or financial schedules or other financial or accounting data included in the Registration Statement, the Disclosure Package, the Prospectus or the Statement of Eligibility of the Trustee on Form T-1. In addition, such counsel need not express a view as to the conveyance of the Disclosure Package or the information contained therein to the purchasers of the Offered Securities.</w:t>
      </w:r>
    </w:p>
    <w:p>
      <w:pPr>
        <w:spacing w:after="0" w:line="166"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In expressing his opinion as to questions of the law of jurisdictions other than the Commonwealth of Pennsylvania and the United States, such counsel may rely to the extent reasonable on such counsel as may be reasonably acceptable to counsel to the Underwriters. In addition, such counsel may reasonably rely as to questions of fact on certificates of responsible officers of the Company.</w:t>
      </w:r>
    </w:p>
    <w:p>
      <w:pPr>
        <w:spacing w:after="0" w:line="73" w:lineRule="exact"/>
        <w:rPr>
          <w:sz w:val="20"/>
          <w:szCs w:val="20"/>
          <w:color w:val="auto"/>
        </w:rPr>
      </w:pPr>
    </w:p>
    <w:p>
      <w:pPr>
        <w:ind w:left="460" w:firstLine="443"/>
        <w:spacing w:after="0" w:line="277" w:lineRule="auto"/>
        <w:tabs>
          <w:tab w:leader="none" w:pos="11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Managers shall have received on the Closing Date an opinion of Davis Polk &amp; Wardwell LLP, special counsel for the Company, dated the Closing Date, to the effect that: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55" w:name="page56"/>
    <w:bookmarkEnd w:id="55"/>
    <w:p>
      <w:pPr>
        <w:ind w:left="639" w:hanging="219"/>
        <w:spacing w:after="0"/>
        <w:tabs>
          <w:tab w:leader="none" w:pos="639" w:val="left"/>
        </w:tabs>
        <w:numPr>
          <w:ilvl w:val="1"/>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Guarantor is validly existing as a limited liability company in good standing under the laws of the State of Delaware;</w:t>
      </w:r>
    </w:p>
    <w:p>
      <w:pPr>
        <w:spacing w:after="0" w:line="117" w:lineRule="exact"/>
        <w:rPr>
          <w:rFonts w:ascii="Arial" w:cs="Arial" w:eastAsia="Arial" w:hAnsi="Arial"/>
          <w:sz w:val="18"/>
          <w:szCs w:val="18"/>
          <w:color w:val="auto"/>
        </w:rPr>
      </w:pPr>
    </w:p>
    <w:p>
      <w:pPr>
        <w:ind w:left="-1" w:right="40" w:firstLine="421"/>
        <w:spacing w:after="0" w:line="290" w:lineRule="auto"/>
        <w:tabs>
          <w:tab w:leader="none" w:pos="684" w:val="left"/>
        </w:tabs>
        <w:numPr>
          <w:ilvl w:val="1"/>
          <w:numId w:val="50"/>
        </w:numPr>
        <w:rPr>
          <w:rFonts w:ascii="Arial" w:cs="Arial" w:eastAsia="Arial" w:hAnsi="Arial"/>
          <w:sz w:val="16"/>
          <w:szCs w:val="16"/>
          <w:color w:val="auto"/>
        </w:rPr>
      </w:pPr>
      <w:r>
        <w:rPr>
          <w:rFonts w:ascii="Arial" w:cs="Arial" w:eastAsia="Arial" w:hAnsi="Arial"/>
          <w:sz w:val="16"/>
          <w:szCs w:val="16"/>
          <w:color w:val="auto"/>
        </w:rPr>
        <w:t>each indenture under which the Offered Securities are to be issued has been duly authorized, executed and delivered by each Guarantor and, assuming each indenture under which the Offered Securities are to be issued has been duly authorized, executed and delivered by the Company and duly executed and delivered by the respective trustee thereto, each indenture under which the Offered Securities are to be issued is a valid and binding agreement of each Issuer, enforceable against each Issuer in accordance with its terms, subject to applicable bankruptcy, insolvency and similar laws affecting creditors’ rights generally, concepts of reasonableness and equitable principles of general applicability (except with respect to the (A) enforceability of any waiver of rights under any usury or stay law, and (B) validity, legally binding effect or enforceability of any provision that permits holders to collect any portion of stated principal amount upon acceleration of the Offered Securities to the extent determined to constitute unearned interest, as to which such counsel is not called upon to express any opinion);</w:t>
      </w:r>
    </w:p>
    <w:p>
      <w:pPr>
        <w:spacing w:after="0" w:line="58" w:lineRule="exact"/>
        <w:rPr>
          <w:rFonts w:ascii="Arial" w:cs="Arial" w:eastAsia="Arial" w:hAnsi="Arial"/>
          <w:sz w:val="16"/>
          <w:szCs w:val="16"/>
          <w:color w:val="auto"/>
        </w:rPr>
      </w:pPr>
    </w:p>
    <w:p>
      <w:pPr>
        <w:ind w:left="-1" w:right="60" w:firstLine="421"/>
        <w:spacing w:after="0" w:line="284" w:lineRule="auto"/>
        <w:tabs>
          <w:tab w:leader="none" w:pos="734"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Guarantees have been duly authorized, and, assuming the Offered Securities have been authorized by the Company, when the Offered Securities have been duly executed and authenticated in accordance with the provisions of each relevant indenture under which the Offered Securities are to be issued and delivered to and paid for by the Underwriters pursuant to this Agreement, the Offered Securities will be valid and binding obligations of the Company and the Guarantees will be valid and binding obligations of the Guarantors, enforceable against them in accordance with their terms, subject to applicable bankruptcy, insolvency and similar laws affecting creditors’ rights generally, concepts of reasonableness and equitable principles of general applicability; and will be entitled to the benefits of each relevant indenture under which the Offered Securities are to be issued (except with respect to the (A) enforceability of any waiver of rights under any usury or stay law, and</w:t>
      </w:r>
    </w:p>
    <w:p>
      <w:pPr>
        <w:spacing w:after="0" w:line="2" w:lineRule="exact"/>
        <w:rPr>
          <w:rFonts w:ascii="Arial" w:cs="Arial" w:eastAsia="Arial" w:hAnsi="Arial"/>
          <w:sz w:val="16"/>
          <w:szCs w:val="16"/>
          <w:color w:val="auto"/>
        </w:rPr>
      </w:pPr>
    </w:p>
    <w:p>
      <w:pPr>
        <w:ind w:left="-1" w:right="180" w:firstLine="1"/>
        <w:spacing w:after="0" w:line="255" w:lineRule="auto"/>
        <w:tabs>
          <w:tab w:leader="none" w:pos="284" w:val="left"/>
        </w:tabs>
        <w:numPr>
          <w:ilvl w:val="0"/>
          <w:numId w:val="51"/>
        </w:numPr>
        <w:rPr>
          <w:rFonts w:ascii="Arial" w:cs="Arial" w:eastAsia="Arial" w:hAnsi="Arial"/>
          <w:sz w:val="18"/>
          <w:szCs w:val="18"/>
          <w:color w:val="auto"/>
        </w:rPr>
      </w:pPr>
      <w:r>
        <w:rPr>
          <w:rFonts w:ascii="Arial" w:cs="Arial" w:eastAsia="Arial" w:hAnsi="Arial"/>
          <w:sz w:val="18"/>
          <w:szCs w:val="18"/>
          <w:color w:val="auto"/>
        </w:rPr>
        <w:t>validity, legally binding effect or enforceability of any provision that permits holders to collect any portion of stated principal amount upon acceleration of the Offered Securities to the extent determined to constitute unearned interest, as to which such counsel is not called upon to express any opinion);</w:t>
      </w:r>
    </w:p>
    <w:p>
      <w:pPr>
        <w:spacing w:after="0" w:line="82" w:lineRule="exact"/>
        <w:rPr>
          <w:rFonts w:ascii="Arial" w:cs="Arial" w:eastAsia="Arial" w:hAnsi="Arial"/>
          <w:sz w:val="18"/>
          <w:szCs w:val="18"/>
          <w:color w:val="auto"/>
        </w:rPr>
      </w:pPr>
    </w:p>
    <w:p>
      <w:pPr>
        <w:ind w:left="719" w:hanging="299"/>
        <w:spacing w:after="0"/>
        <w:tabs>
          <w:tab w:leader="none" w:pos="719"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each Guarantor party hereto;</w:t>
      </w:r>
    </w:p>
    <w:p>
      <w:pPr>
        <w:spacing w:after="0" w:line="117" w:lineRule="exact"/>
        <w:rPr>
          <w:rFonts w:ascii="Arial" w:cs="Arial" w:eastAsia="Arial" w:hAnsi="Arial"/>
          <w:sz w:val="18"/>
          <w:szCs w:val="18"/>
          <w:color w:val="auto"/>
        </w:rPr>
      </w:pPr>
    </w:p>
    <w:p>
      <w:pPr>
        <w:jc w:val="both"/>
        <w:ind w:left="-1" w:firstLine="421"/>
        <w:spacing w:after="0" w:line="259" w:lineRule="auto"/>
        <w:tabs>
          <w:tab w:leader="none" w:pos="674" w:val="left"/>
        </w:tabs>
        <w:numPr>
          <w:ilvl w:val="1"/>
          <w:numId w:val="51"/>
        </w:numPr>
        <w:rPr>
          <w:rFonts w:ascii="Arial" w:cs="Arial" w:eastAsia="Arial" w:hAnsi="Arial"/>
          <w:sz w:val="18"/>
          <w:szCs w:val="18"/>
          <w:color w:val="auto"/>
        </w:rPr>
      </w:pPr>
      <w:r>
        <w:rPr>
          <w:rFonts w:ascii="Arial" w:cs="Arial" w:eastAsia="Arial" w:hAnsi="Arial"/>
          <w:sz w:val="18"/>
          <w:szCs w:val="18"/>
          <w:color w:val="auto"/>
        </w:rPr>
        <w:t>except as rights to indemnity and contribution under this Agreement may be limited under applicable law, the execution and delivery by each Issuer of, and the performance by each Issuer of its obligations under each indenture under which the Offered Securities are to be issued, the Offered Securities and this Agreement, will not contravene (A) any provision of laws of the State of New York or any federal law of the United States of America that in such counsel’s</w:t>
      </w:r>
    </w:p>
    <w:p>
      <w:pPr>
        <w:spacing w:after="0" w:line="119" w:lineRule="exact"/>
        <w:rPr>
          <w:sz w:val="20"/>
          <w:szCs w:val="20"/>
          <w:color w:val="auto"/>
        </w:rPr>
      </w:pPr>
    </w:p>
    <w:p>
      <w:pPr>
        <w:ind w:left="47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79"/>
          </w:cols>
          <w:pgMar w:left="1161" w:top="274" w:right="259" w:bottom="1440" w:gutter="0" w:footer="0" w:header="0"/>
        </w:sectPr>
      </w:pPr>
    </w:p>
    <w:bookmarkStart w:id="56" w:name="page57"/>
    <w:bookmarkEnd w:id="56"/>
    <w:p>
      <w:pPr>
        <w:ind w:left="9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experience is normally applicable to general business corporations in relation to transactions of the type contemplated by each indenture under which the Offered Securities are to be issued, the Offered Securities and this Agreement (except with respect to federal, state or foreign securities laws or to laws relating specifically to the cable communications industry, as to which such counsel is not called upon to express any opinion), or</w:t>
      </w:r>
    </w:p>
    <w:p>
      <w:pPr>
        <w:ind w:left="1200" w:hanging="279"/>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certificate of incorporation or bylaws or equivalent organizational documents of any Guarantor; and</w:t>
      </w:r>
    </w:p>
    <w:p>
      <w:pPr>
        <w:spacing w:after="0" w:line="102" w:lineRule="exact"/>
        <w:rPr>
          <w:rFonts w:ascii="Arial" w:cs="Arial" w:eastAsia="Arial" w:hAnsi="Arial"/>
          <w:sz w:val="18"/>
          <w:szCs w:val="18"/>
          <w:color w:val="auto"/>
        </w:rPr>
      </w:pPr>
    </w:p>
    <w:p>
      <w:pPr>
        <w:ind w:left="920" w:right="160" w:firstLine="421"/>
        <w:spacing w:after="0" w:line="255" w:lineRule="auto"/>
        <w:tabs>
          <w:tab w:leader="none" w:pos="1645" w:val="left"/>
        </w:tabs>
        <w:numPr>
          <w:ilvl w:val="1"/>
          <w:numId w:val="52"/>
        </w:numPr>
        <w:rPr>
          <w:rFonts w:ascii="Arial" w:cs="Arial" w:eastAsia="Arial" w:hAnsi="Arial"/>
          <w:sz w:val="18"/>
          <w:szCs w:val="18"/>
          <w:color w:val="auto"/>
        </w:rPr>
      </w:pPr>
      <w:r>
        <w:rPr>
          <w:rFonts w:ascii="Arial" w:cs="Arial" w:eastAsia="Arial" w:hAnsi="Arial"/>
          <w:sz w:val="18"/>
          <w:szCs w:val="18"/>
          <w:color w:val="auto"/>
        </w:rPr>
        <w:t>no consent, approval, authorization or order of, or qualification with, any governmental body or agency under the laws of the State of New York or any federal law of the United States of America that in such counsel’s experience is normally applicable to general business corporations in relation to transactions of the type contemplated by each indenture under which the Offered Securities are to be issued, the Offered Securities and this Agreement (except such as may be required under federal, state or foreign securities or Blue Sky laws and with respect to consents, approvals and authorizations relating specifically to the cable communications industry, as to which such counsel is not called upon to express any opinion).</w:t>
      </w:r>
    </w:p>
    <w:p>
      <w:pPr>
        <w:spacing w:after="0" w:line="193"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Such counsel shall state that they have considered the statements included in the Prospectus Supplement under the caption “Description of the Notes” and in the Base Prospectus under the caption “Description of Debt Securities and Guarantees” insofar as they summarize provisions of each indenture under which the Offered Securities are to be issued and, the Offered Securities and that in their opinion such statements fairly summarize these provisions in all material respects. Such counsel shall also state that the statements included in the Prospectus Supplement under the caption “Material U.S. Federal Income Tax Consequences for Non-U.S. Holders” insofar as they purport to describe provisions of U.S. federal income tax laws or legal conclusions with respect thereto, fairly and accurately summarize the matters referred to therein in all material respects.</w:t>
      </w:r>
    </w:p>
    <w:p>
      <w:pPr>
        <w:spacing w:after="0" w:line="17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Such counsel shall also state that (a) the Registration Statement and the Prospectus appear on their face to be appropriately responsive in all material respects to the requirements of the Securities Act and the applicable rules and regulations of the Commission thereunder, and (b) nothing has come to the attention of such counsel that causes them to believe that, insofar as relevant to the offering of the Offered Securities, (1) on the date of this Agreement, the Registration Statement contained any untrue statement of a material fact or omitted to state a material fact required to be stated therein or necessary to make the statements therein not misleading; (2) at the Applicable Time, the Disclosure Package contained any untrue statement of a material fact or omitted to state a material fact necessary in order to make the statements therein, in the light of the circumstances under which they are made, not misleading; or (3) the Prospectus as of the date of this Agreement or as of the Closing Date contained or contains any untrue statement of a material fact or omitted or omits to state a material fact necessary in order to make statements therein, in the light of the circumstances under which they are made, not misleading.</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57" w:name="page58"/>
    <w:bookmarkEnd w:id="57"/>
    <w:p>
      <w:pPr>
        <w:ind w:right="4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the preceding paragraph, Davis Polk &amp; Wardwell LLP may state that their belief is based upon information gained in the performance of their services, but is without independent check or verification except as specified. Such counsel need not pass upon or assume responsibility for the accuracy, completeness or fairness of statements contained in, and need not have checked the accuracy, completeness or fairness of, or otherwise verified, the information furnished in, the Registration Statement, the Disclosure Package and the Prospectus, except as specified. In addition, such counsel is not called to pass upon, or express any view regarding, the financial statements or financial schedules or other financial or accounting data included in the Registration Statement, the Disclosure Package, the Prospectus or the Form T-1. Such counsel need not express a view as to the conveyance of the Disclosure Package of the information contained therein to investors.</w:t>
      </w:r>
    </w:p>
    <w:p>
      <w:pPr>
        <w:spacing w:after="0" w:line="70" w:lineRule="exact"/>
        <w:rPr>
          <w:sz w:val="20"/>
          <w:szCs w:val="20"/>
          <w:color w:val="auto"/>
        </w:rPr>
      </w:pPr>
    </w:p>
    <w:p>
      <w:pPr>
        <w:ind w:left="460" w:right="300" w:firstLine="443"/>
        <w:spacing w:after="0" w:line="277" w:lineRule="auto"/>
        <w:tabs>
          <w:tab w:leader="none" w:pos="114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Managers shall have received on the Closing Date an opinion of internal communications counsel for the Company, dated the Closing Date, to the effect that:</w:t>
      </w:r>
    </w:p>
    <w:p>
      <w:pPr>
        <w:spacing w:after="0" w:line="62" w:lineRule="exact"/>
        <w:rPr>
          <w:rFonts w:ascii="Arial" w:cs="Arial" w:eastAsia="Arial" w:hAnsi="Arial"/>
          <w:sz w:val="18"/>
          <w:szCs w:val="18"/>
          <w:color w:val="auto"/>
        </w:rPr>
      </w:pPr>
    </w:p>
    <w:p>
      <w:pPr>
        <w:ind w:left="920" w:firstLine="421"/>
        <w:spacing w:after="0" w:line="277" w:lineRule="auto"/>
        <w:tabs>
          <w:tab w:leader="none" w:pos="1555" w:val="left"/>
        </w:tabs>
        <w:numPr>
          <w:ilvl w:val="1"/>
          <w:numId w:val="53"/>
        </w:numPr>
        <w:rPr>
          <w:rFonts w:ascii="Arial" w:cs="Arial" w:eastAsia="Arial" w:hAnsi="Arial"/>
          <w:sz w:val="18"/>
          <w:szCs w:val="18"/>
          <w:color w:val="auto"/>
        </w:rPr>
      </w:pPr>
      <w:r>
        <w:rPr>
          <w:rFonts w:ascii="Arial" w:cs="Arial" w:eastAsia="Arial" w:hAnsi="Arial"/>
          <w:sz w:val="18"/>
          <w:szCs w:val="18"/>
          <w:color w:val="auto"/>
        </w:rPr>
        <w:t>no approval of the Federal Communications Commission (the “FCC”) is required in connection with the issuance and sale of the Offered Securities;</w:t>
      </w:r>
    </w:p>
    <w:p>
      <w:pPr>
        <w:spacing w:after="0" w:line="62" w:lineRule="exact"/>
        <w:rPr>
          <w:rFonts w:ascii="Arial" w:cs="Arial" w:eastAsia="Arial" w:hAnsi="Arial"/>
          <w:sz w:val="18"/>
          <w:szCs w:val="18"/>
          <w:color w:val="auto"/>
        </w:rPr>
      </w:pPr>
    </w:p>
    <w:p>
      <w:pPr>
        <w:ind w:left="920" w:firstLine="421"/>
        <w:spacing w:after="0" w:line="255" w:lineRule="auto"/>
        <w:tabs>
          <w:tab w:leader="none" w:pos="1605"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execution and delivery of this Agreement, each indenture under which the Offered Securities are to be issued, by each Issuer, the fulfillment of the terms set forth herein and therein by each Issuer and the consummation of the transactions contemplated hereby and thereby by each Issuer do not violate any statute, regulation or other law of the United States relating specifically to the cable communications industry (except as otherwise explicitly set forth in the Disclosure Package) or, to the knowledge of such counsel, any order, judgment or decree of any court or governmental body of the United States relating specifically to the cable communications industry and applicable to such Issuer or any subsidiary, and which violation would have a material adverse effect on the business or financial condition of such Issuer and its subsidiaries, as a whole;</w:t>
      </w:r>
    </w:p>
    <w:p>
      <w:pPr>
        <w:spacing w:after="0" w:line="81" w:lineRule="exact"/>
        <w:rPr>
          <w:rFonts w:ascii="Arial" w:cs="Arial" w:eastAsia="Arial" w:hAnsi="Arial"/>
          <w:sz w:val="18"/>
          <w:szCs w:val="18"/>
          <w:color w:val="auto"/>
        </w:rPr>
      </w:pPr>
    </w:p>
    <w:p>
      <w:pPr>
        <w:ind w:left="920" w:right="100" w:firstLine="421"/>
        <w:spacing w:after="0" w:line="293" w:lineRule="auto"/>
        <w:tabs>
          <w:tab w:leader="none" w:pos="1655"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statements in the Company’s and NBCUniversal Media, LLC’s most recent Annual Report on Form 10-K incorporated by reference in the Registration Statement, the Disclosure Package and Prospectus relating specifically to the cable communications industry, as updated by the Company’s and NBCUniversal Media, LLC’s most recent Quarterly Reports on Form 10-Q, if any, and Current Reports on Form 8-K, if any, incorporated in the Registration Statement, the Disclosure Package and the Prospectus and as updated by the Disclosure Package, insofar as they are, or refer to, statements of federal law or legal conclusions, have been reviewed by such counsel and present in all material respects the information called for with respect to such statements of federal law or legal conclusions; and</w:t>
      </w:r>
    </w:p>
    <w:p>
      <w:pPr>
        <w:spacing w:after="0" w:line="56" w:lineRule="exact"/>
        <w:rPr>
          <w:rFonts w:ascii="Arial" w:cs="Arial" w:eastAsia="Arial" w:hAnsi="Arial"/>
          <w:sz w:val="16"/>
          <w:szCs w:val="16"/>
          <w:color w:val="auto"/>
        </w:rPr>
      </w:pPr>
    </w:p>
    <w:p>
      <w:pPr>
        <w:ind w:left="920" w:right="240" w:firstLine="421"/>
        <w:spacing w:after="0" w:line="277" w:lineRule="auto"/>
        <w:tabs>
          <w:tab w:leader="none" w:pos="1645" w:val="left"/>
        </w:tabs>
        <w:numPr>
          <w:ilvl w:val="1"/>
          <w:numId w:val="53"/>
        </w:numPr>
        <w:rPr>
          <w:rFonts w:ascii="Arial" w:cs="Arial" w:eastAsia="Arial" w:hAnsi="Arial"/>
          <w:sz w:val="18"/>
          <w:szCs w:val="18"/>
          <w:color w:val="auto"/>
        </w:rPr>
      </w:pPr>
      <w:r>
        <w:rPr>
          <w:rFonts w:ascii="Arial" w:cs="Arial" w:eastAsia="Arial" w:hAnsi="Arial"/>
          <w:sz w:val="18"/>
          <w:szCs w:val="18"/>
          <w:color w:val="auto"/>
        </w:rPr>
        <w:t>such counsel does not know of any proceeding pending before the FCC to which the Company or any of its subsidiaries is a party or involving the cable communications properties, licenses or authorizations of the Company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58" w:name="page59"/>
    <w:bookmarkEnd w:id="58"/>
    <w:p>
      <w:pPr>
        <w:ind w:left="460" w:right="1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its subsidiaries, or of any cable communications law or regulation relevant thereto required to be described in the Registration Statement or the Disclosure Package pursuant to Regulation S-K promulgated under the Securities Act, which is not described as required.</w:t>
      </w:r>
    </w:p>
    <w:p>
      <w:pPr>
        <w:spacing w:after="0" w:line="38" w:lineRule="exact"/>
        <w:rPr>
          <w:sz w:val="20"/>
          <w:szCs w:val="20"/>
          <w:color w:val="auto"/>
        </w:rPr>
      </w:pPr>
    </w:p>
    <w:p>
      <w:pPr>
        <w:ind w:right="240" w:firstLine="443"/>
        <w:spacing w:after="0" w:line="308" w:lineRule="auto"/>
        <w:tabs>
          <w:tab w:leader="none" w:pos="663" w:val="left"/>
        </w:tabs>
        <w:numPr>
          <w:ilvl w:val="1"/>
          <w:numId w:val="54"/>
        </w:numPr>
        <w:rPr>
          <w:rFonts w:ascii="Arial" w:cs="Arial" w:eastAsia="Arial" w:hAnsi="Arial"/>
          <w:sz w:val="17"/>
          <w:szCs w:val="17"/>
          <w:color w:val="auto"/>
        </w:rPr>
      </w:pPr>
      <w:r>
        <w:rPr>
          <w:rFonts w:ascii="Arial" w:cs="Arial" w:eastAsia="Arial" w:hAnsi="Arial"/>
          <w:sz w:val="17"/>
          <w:szCs w:val="17"/>
          <w:color w:val="auto"/>
        </w:rPr>
        <w:t>The Managers shall have received on the Closing Date an opinion of Cahill Gordon &amp; Reindel llp, counsel for the Underwriters, dated the Closing Date, covering the matters requested by and in form and substance reasonably satisfactory to the Managers.</w:t>
      </w:r>
    </w:p>
    <w:p>
      <w:pPr>
        <w:spacing w:after="0" w:line="38" w:lineRule="exact"/>
        <w:rPr>
          <w:rFonts w:ascii="Arial" w:cs="Arial" w:eastAsia="Arial" w:hAnsi="Arial"/>
          <w:sz w:val="17"/>
          <w:szCs w:val="17"/>
          <w:color w:val="auto"/>
        </w:rPr>
      </w:pPr>
    </w:p>
    <w:p>
      <w:pPr>
        <w:ind w:firstLine="443"/>
        <w:spacing w:after="0" w:line="291" w:lineRule="auto"/>
        <w:tabs>
          <w:tab w:leader="none" w:pos="693"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Managers shall have received on the date hereof a letter dated such date and on the Closing Date a letter dated such date, in each case in form and substance satisfactory to the Managers, from Deloitte &amp; Touche LLP, independent public accountants, containing statements and information of the type ordinarily included in accountants’ “comfort letters” to underwriters with respect to the financial statements and certain financial information reviewed by them contained in or incorporated by reference in the Registration Statement, the Disclosure Package and the Prospectus and each other firm of independent accountants, if any, who audited or reviewed financial statements contained in or incorporated by reference in the Registration Statement, the Disclosure Package and the Prospectus, containing statements and information of the type ordinarily included in accountants’ “comfort letters” to underwriters with respect to such financial statements and financial information.</w:t>
      </w:r>
    </w:p>
    <w:p>
      <w:pPr>
        <w:spacing w:after="0" w:line="59" w:lineRule="exact"/>
        <w:rPr>
          <w:rFonts w:ascii="Arial" w:cs="Arial" w:eastAsia="Arial" w:hAnsi="Arial"/>
          <w:sz w:val="16"/>
          <w:szCs w:val="16"/>
          <w:color w:val="auto"/>
        </w:rPr>
      </w:pPr>
    </w:p>
    <w:p>
      <w:pPr>
        <w:ind w:right="60" w:firstLine="443"/>
        <w:spacing w:after="0" w:line="277" w:lineRule="auto"/>
        <w:tabs>
          <w:tab w:leader="none" w:pos="693"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Managers shall have received on the date hereof or on the Closing Date, as applicable, such additional documents as the Managers shall have reasonably requested to confirm compliance with the conditions to Closing listed herein.</w:t>
      </w:r>
    </w:p>
    <w:p>
      <w:pPr>
        <w:spacing w:after="0" w:line="170" w:lineRule="exact"/>
        <w:rPr>
          <w:rFonts w:ascii="Arial" w:cs="Arial" w:eastAsia="Arial" w:hAnsi="Arial"/>
          <w:sz w:val="18"/>
          <w:szCs w:val="18"/>
          <w:color w:val="auto"/>
        </w:rPr>
      </w:pPr>
    </w:p>
    <w:p>
      <w:pPr>
        <w:ind w:left="180" w:hanging="176"/>
        <w:spacing w:after="0"/>
        <w:tabs>
          <w:tab w:leader="none" w:pos="18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Covenants of the Company</w:t>
      </w:r>
      <w:r>
        <w:rPr>
          <w:rFonts w:ascii="Arial" w:cs="Arial" w:eastAsia="Arial" w:hAnsi="Arial"/>
          <w:sz w:val="17"/>
          <w:szCs w:val="17"/>
          <w:color w:val="auto"/>
        </w:rPr>
        <w:t>. In further consideration of the agreements of the Underwriters herein contained, the Issuers covenant as follows:</w:t>
      </w:r>
    </w:p>
    <w:p>
      <w:pPr>
        <w:spacing w:after="0" w:line="128" w:lineRule="exact"/>
        <w:rPr>
          <w:rFonts w:ascii="Arial" w:cs="Arial" w:eastAsia="Arial" w:hAnsi="Arial"/>
          <w:sz w:val="17"/>
          <w:szCs w:val="17"/>
          <w:color w:val="auto"/>
        </w:rPr>
      </w:pPr>
    </w:p>
    <w:p>
      <w:pPr>
        <w:ind w:right="80" w:firstLine="443"/>
        <w:spacing w:after="0" w:line="279" w:lineRule="auto"/>
        <w:tabs>
          <w:tab w:leader="none" w:pos="683" w:val="left"/>
        </w:tabs>
        <w:numPr>
          <w:ilvl w:val="1"/>
          <w:numId w:val="55"/>
        </w:numPr>
        <w:rPr>
          <w:rFonts w:ascii="Arial" w:cs="Arial" w:eastAsia="Arial" w:hAnsi="Arial"/>
          <w:sz w:val="17"/>
          <w:szCs w:val="17"/>
          <w:color w:val="auto"/>
        </w:rPr>
      </w:pPr>
      <w:r>
        <w:rPr>
          <w:rFonts w:ascii="Arial" w:cs="Arial" w:eastAsia="Arial" w:hAnsi="Arial"/>
          <w:sz w:val="17"/>
          <w:szCs w:val="17"/>
          <w:color w:val="auto"/>
        </w:rPr>
        <w:t>To furnish to the Managers, without charge, a copy of the Registration Statement and two signed copies of any post-effective amendment thereto specifically relating to the Offered Securities (including exhibits thereto and documents incorporated therein by reference) and, during the period mentioned in paragraph (f) below, as many copies of the Disclosure Package, the Prospectus, any documents incorporated therein by reference and any supplements and amendments thereto as the Managers may reasonably request.</w:t>
      </w:r>
    </w:p>
    <w:p>
      <w:pPr>
        <w:spacing w:after="0" w:line="63" w:lineRule="exact"/>
        <w:rPr>
          <w:rFonts w:ascii="Arial" w:cs="Arial" w:eastAsia="Arial" w:hAnsi="Arial"/>
          <w:sz w:val="17"/>
          <w:szCs w:val="17"/>
          <w:color w:val="auto"/>
        </w:rPr>
      </w:pPr>
    </w:p>
    <w:p>
      <w:pPr>
        <w:ind w:right="100" w:firstLine="443"/>
        <w:spacing w:after="0" w:line="277" w:lineRule="auto"/>
        <w:tabs>
          <w:tab w:leader="none" w:pos="693" w:val="left"/>
        </w:tabs>
        <w:numPr>
          <w:ilvl w:val="1"/>
          <w:numId w:val="55"/>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Disclosure Package or the Prospectus, to furnish the Managers a copy of each such proposed amendment or supplement.</w:t>
      </w:r>
    </w:p>
    <w:p>
      <w:pPr>
        <w:spacing w:after="0" w:line="62" w:lineRule="exact"/>
        <w:rPr>
          <w:rFonts w:ascii="Arial" w:cs="Arial" w:eastAsia="Arial" w:hAnsi="Arial"/>
          <w:sz w:val="18"/>
          <w:szCs w:val="18"/>
          <w:color w:val="auto"/>
        </w:rPr>
      </w:pPr>
    </w:p>
    <w:p>
      <w:pPr>
        <w:ind w:right="40" w:firstLine="443"/>
        <w:spacing w:after="0" w:line="277" w:lineRule="auto"/>
        <w:tabs>
          <w:tab w:leader="none" w:pos="683" w:val="left"/>
        </w:tabs>
        <w:numPr>
          <w:ilvl w:val="1"/>
          <w:numId w:val="55"/>
        </w:numPr>
        <w:rPr>
          <w:rFonts w:ascii="Arial" w:cs="Arial" w:eastAsia="Arial" w:hAnsi="Arial"/>
          <w:sz w:val="18"/>
          <w:szCs w:val="18"/>
          <w:color w:val="auto"/>
        </w:rPr>
      </w:pPr>
      <w:r>
        <w:rPr>
          <w:rFonts w:ascii="Arial" w:cs="Arial" w:eastAsia="Arial" w:hAnsi="Arial"/>
          <w:sz w:val="18"/>
          <w:szCs w:val="18"/>
          <w:color w:val="auto"/>
        </w:rPr>
        <w:t>Before filing, using or referring to any free writing prospectus relating to the Offered Securities, to furnish the Managers a copy of each such free writing prospectus.</w:t>
      </w:r>
    </w:p>
    <w:p>
      <w:pPr>
        <w:spacing w:after="0" w:line="10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60"/>
          </w:cols>
          <w:pgMar w:left="700" w:top="274" w:right="339" w:bottom="1440" w:gutter="0" w:footer="0" w:header="0"/>
        </w:sectPr>
      </w:pPr>
    </w:p>
    <w:bookmarkStart w:id="59" w:name="page60"/>
    <w:bookmarkEnd w:id="59"/>
    <w:p>
      <w:pPr>
        <w:ind w:firstLine="443"/>
        <w:spacing w:after="0" w:line="264" w:lineRule="auto"/>
        <w:tabs>
          <w:tab w:leader="none" w:pos="693"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73" w:lineRule="exact"/>
        <w:rPr>
          <w:rFonts w:ascii="Arial" w:cs="Arial" w:eastAsia="Arial" w:hAnsi="Arial"/>
          <w:sz w:val="18"/>
          <w:szCs w:val="18"/>
          <w:color w:val="auto"/>
        </w:rPr>
      </w:pPr>
    </w:p>
    <w:p>
      <w:pPr>
        <w:ind w:right="20" w:firstLine="443"/>
        <w:spacing w:after="0" w:line="290" w:lineRule="auto"/>
        <w:tabs>
          <w:tab w:leader="none" w:pos="683"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the Disclosure Package is being used to solicit offers to buy the Offered Securities at a time when the Prospectus is not yet available to prospective purchasers and any event shall occur as a result of which it is necessary to amend or supplement the Disclosure Package in order to make the statements therein, in the light of the circumstances existing at the time, not misleading, or if any event shall occur as a result of which any free writing prospectus included as part of the Disclosure Package conflicts with the information contained in the Registration Statement then on file, the Company shall forthwith prepare and furnish, at its expense, to the Underwriters and to the dealers (whose names and addresses the Managers will furnish to the Company), either amendments or supplements to the Disclosure Package so that the statements in the Disclosure Package as so amended or supplemented will not, in the light of the circumstances existing at the time, be misleading or so that any free writing prospectus which is included as part of the Disclosure Package, as amended or supplemented, will no longer conflict with the Registration Statement.</w:t>
      </w:r>
    </w:p>
    <w:p>
      <w:pPr>
        <w:spacing w:after="0" w:line="58" w:lineRule="exact"/>
        <w:rPr>
          <w:rFonts w:ascii="Arial" w:cs="Arial" w:eastAsia="Arial" w:hAnsi="Arial"/>
          <w:sz w:val="16"/>
          <w:szCs w:val="16"/>
          <w:color w:val="auto"/>
        </w:rPr>
      </w:pPr>
    </w:p>
    <w:p>
      <w:pPr>
        <w:ind w:right="200" w:firstLine="443"/>
        <w:spacing w:after="0" w:line="254" w:lineRule="auto"/>
        <w:tabs>
          <w:tab w:leader="none" w:pos="663"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during such period after the first date of the public offering of the Offered Securities during which in the opinion of counsel to the Managers the Prospectus (or in lieu thereof the notice referred to in Rule 173(a) under the Securities Act) is required by law to be delivered in connection with sales by an Underwriter or dealer, any event shall occur as a result of which it is necessary to amend or supplement the Prospectus in order to make the statements therein, in the light of the circumstances existing at the time, not misleading, forthwith to prepare and furnish, at its expense, to the Underwriters and to the dealers (whose names and addresses the Managers will furnish to the Company) to which Offered Securities may have been sold by the Managers on behalf of the Underwriters and to any other dealers on request, either amendments or supplements to the Prospectus so that the statements in the Prospectus as so amended or supplemented will not, in the light of the circumstances existing at the time, be misleading.</w:t>
      </w:r>
    </w:p>
    <w:p>
      <w:pPr>
        <w:spacing w:after="0" w:line="84" w:lineRule="exact"/>
        <w:rPr>
          <w:rFonts w:ascii="Arial" w:cs="Arial" w:eastAsia="Arial" w:hAnsi="Arial"/>
          <w:sz w:val="18"/>
          <w:szCs w:val="18"/>
          <w:color w:val="auto"/>
        </w:rPr>
      </w:pPr>
    </w:p>
    <w:p>
      <w:pPr>
        <w:ind w:right="680" w:firstLine="443"/>
        <w:spacing w:after="0" w:line="277" w:lineRule="auto"/>
        <w:tabs>
          <w:tab w:leader="none" w:pos="69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endeavor to qualify the Offered Securities for offer and sale under the securities or Blue Sky laws of such U.S. jurisdictions as the Managers shall reasonably request.</w:t>
      </w:r>
    </w:p>
    <w:p>
      <w:pPr>
        <w:spacing w:after="0" w:line="62" w:lineRule="exact"/>
        <w:rPr>
          <w:rFonts w:ascii="Arial" w:cs="Arial" w:eastAsia="Arial" w:hAnsi="Arial"/>
          <w:sz w:val="18"/>
          <w:szCs w:val="18"/>
          <w:color w:val="auto"/>
        </w:rPr>
      </w:pPr>
    </w:p>
    <w:p>
      <w:pPr>
        <w:ind w:right="40" w:firstLine="443"/>
        <w:spacing w:after="0" w:line="279" w:lineRule="auto"/>
        <w:tabs>
          <w:tab w:leader="none" w:pos="693" w:val="left"/>
        </w:tabs>
        <w:numPr>
          <w:ilvl w:val="0"/>
          <w:numId w:val="56"/>
        </w:numPr>
        <w:rPr>
          <w:rFonts w:ascii="Arial" w:cs="Arial" w:eastAsia="Arial" w:hAnsi="Arial"/>
          <w:sz w:val="17"/>
          <w:szCs w:val="17"/>
          <w:color w:val="auto"/>
        </w:rPr>
      </w:pPr>
      <w:r>
        <w:rPr>
          <w:rFonts w:ascii="Arial" w:cs="Arial" w:eastAsia="Arial" w:hAnsi="Arial"/>
          <w:sz w:val="17"/>
          <w:szCs w:val="17"/>
          <w:color w:val="auto"/>
        </w:rPr>
        <w:t>To make generally available to the Company’s security holders as soon as practicable an earnings statement covering the twelve month period beginning on the first day of the first fiscal quarter commencing after the date hereof, which shall satisfy the provisions of Section 11(a) of the Securities Act and the rules and regulations of the Commission thereunder (which may be accomplished by making generally available the Company’s financial statements in the manner provided for by Rule 158 of the Securities Act).</w:t>
      </w:r>
    </w:p>
    <w:p>
      <w:pPr>
        <w:spacing w:after="0" w:line="10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74" w:right="239" w:bottom="1440" w:gutter="0" w:footer="0" w:header="0"/>
        </w:sectPr>
      </w:pPr>
    </w:p>
    <w:bookmarkStart w:id="60" w:name="page61"/>
    <w:bookmarkEnd w:id="60"/>
    <w:p>
      <w:pPr>
        <w:ind w:left="640" w:hanging="176"/>
        <w:spacing w:after="0"/>
        <w:tabs>
          <w:tab w:leader="none" w:pos="64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Covenants of the Underwriters</w:t>
      </w:r>
      <w:r>
        <w:rPr>
          <w:rFonts w:ascii="Arial" w:cs="Arial" w:eastAsia="Arial" w:hAnsi="Arial"/>
          <w:sz w:val="16"/>
          <w:szCs w:val="16"/>
          <w:color w:val="auto"/>
        </w:rPr>
        <w:t>. In further consideration of the agreements of the Issuers herein contained, each Underwriter severally covenants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02" w:lineRule="exact"/>
        <w:rPr>
          <w:rFonts w:ascii="Arial" w:cs="Arial" w:eastAsia="Arial" w:hAnsi="Arial"/>
          <w:sz w:val="16"/>
          <w:szCs w:val="16"/>
          <w:color w:val="auto"/>
        </w:rPr>
      </w:pPr>
    </w:p>
    <w:p>
      <w:pPr>
        <w:ind w:left="1140" w:hanging="237"/>
        <w:spacing w:after="0"/>
        <w:tabs>
          <w:tab w:leader="none" w:pos="1140" w:val="left"/>
        </w:tabs>
        <w:numPr>
          <w:ilvl w:val="1"/>
          <w:numId w:val="57"/>
        </w:numPr>
        <w:rPr>
          <w:rFonts w:ascii="Arial" w:cs="Arial" w:eastAsia="Arial" w:hAnsi="Arial"/>
          <w:sz w:val="17"/>
          <w:szCs w:val="17"/>
          <w:color w:val="auto"/>
        </w:rPr>
      </w:pPr>
      <w:r>
        <w:rPr>
          <w:rFonts w:ascii="Arial" w:cs="Arial" w:eastAsia="Arial" w:hAnsi="Arial"/>
          <w:sz w:val="17"/>
          <w:szCs w:val="17"/>
          <w:color w:val="auto"/>
        </w:rPr>
        <w:t>Not to take any action that would result in the Company being required to file with the Commission under Rule 433(d) a free writing</w:t>
      </w:r>
    </w:p>
    <w:p>
      <w:pPr>
        <w:spacing w:after="0" w:line="34" w:lineRule="exact"/>
        <w:rPr>
          <w:rFonts w:ascii="Arial" w:cs="Arial" w:eastAsia="Arial" w:hAnsi="Arial"/>
          <w:sz w:val="17"/>
          <w:szCs w:val="17"/>
          <w:color w:val="auto"/>
        </w:rPr>
      </w:pPr>
    </w:p>
    <w:p>
      <w:pPr>
        <w:ind w:left="460"/>
        <w:spacing w:after="0" w:line="261" w:lineRule="auto"/>
        <w:rPr>
          <w:rFonts w:ascii="Arial" w:cs="Arial" w:eastAsia="Arial" w:hAnsi="Arial"/>
          <w:sz w:val="17"/>
          <w:szCs w:val="17"/>
          <w:color w:val="auto"/>
        </w:rPr>
      </w:pPr>
      <w:r>
        <w:rPr>
          <w:rFonts w:ascii="Arial" w:cs="Arial" w:eastAsia="Arial" w:hAnsi="Arial"/>
          <w:sz w:val="18"/>
          <w:szCs w:val="18"/>
          <w:color w:val="auto"/>
        </w:rPr>
        <w:t>prospectus prepared by or on behalf of such Underwriter that otherwise would not be required to be filed by the Company thereunder, but for the action of the Underwriter.</w:t>
      </w:r>
    </w:p>
    <w:p>
      <w:pPr>
        <w:spacing w:after="0" w:line="75" w:lineRule="exact"/>
        <w:rPr>
          <w:rFonts w:ascii="Arial" w:cs="Arial" w:eastAsia="Arial" w:hAnsi="Arial"/>
          <w:sz w:val="17"/>
          <w:szCs w:val="17"/>
          <w:color w:val="auto"/>
        </w:rPr>
      </w:pPr>
    </w:p>
    <w:p>
      <w:pPr>
        <w:ind w:left="1160" w:hanging="257"/>
        <w:spacing w:after="0"/>
        <w:tabs>
          <w:tab w:leader="none" w:pos="11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Not to use, refer to or distribute any free writing prospectus except:</w:t>
      </w:r>
    </w:p>
    <w:p>
      <w:pPr>
        <w:spacing w:after="0" w:line="117" w:lineRule="exact"/>
        <w:rPr>
          <w:rFonts w:ascii="Arial" w:cs="Arial" w:eastAsia="Arial" w:hAnsi="Arial"/>
          <w:sz w:val="18"/>
          <w:szCs w:val="18"/>
          <w:color w:val="auto"/>
        </w:rPr>
      </w:pPr>
    </w:p>
    <w:p>
      <w:pPr>
        <w:jc w:val="both"/>
        <w:ind w:left="920" w:right="160" w:firstLine="421"/>
        <w:spacing w:after="0" w:line="264" w:lineRule="auto"/>
        <w:tabs>
          <w:tab w:leader="none" w:pos="1555" w:val="left"/>
        </w:tabs>
        <w:numPr>
          <w:ilvl w:val="2"/>
          <w:numId w:val="57"/>
        </w:numPr>
        <w:rPr>
          <w:rFonts w:ascii="Arial" w:cs="Arial" w:eastAsia="Arial" w:hAnsi="Arial"/>
          <w:sz w:val="18"/>
          <w:szCs w:val="18"/>
          <w:color w:val="auto"/>
        </w:rPr>
      </w:pPr>
      <w:r>
        <w:rPr>
          <w:rFonts w:ascii="Arial" w:cs="Arial" w:eastAsia="Arial" w:hAnsi="Arial"/>
          <w:sz w:val="18"/>
          <w:szCs w:val="18"/>
          <w:color w:val="auto"/>
        </w:rPr>
        <w:t>a free writing prospectus that (A) is not an issuer free writing prospectus and (B) contains only information describing the preliminary terms of the Offered Securities or the offering thereof, which information is limited to the categories of terms referenced on Schedule II to this Agreement or otherwise permitted under Rule 134 of the Securities Act;</w:t>
      </w:r>
    </w:p>
    <w:p>
      <w:pPr>
        <w:spacing w:after="0" w:line="73" w:lineRule="exact"/>
        <w:rPr>
          <w:rFonts w:ascii="Arial" w:cs="Arial" w:eastAsia="Arial" w:hAnsi="Arial"/>
          <w:sz w:val="18"/>
          <w:szCs w:val="18"/>
          <w:color w:val="auto"/>
        </w:rPr>
      </w:pPr>
    </w:p>
    <w:p>
      <w:pPr>
        <w:jc w:val="both"/>
        <w:ind w:left="920" w:right="40" w:firstLine="421"/>
        <w:spacing w:after="0" w:line="264" w:lineRule="auto"/>
        <w:tabs>
          <w:tab w:leader="none" w:pos="1605" w:val="left"/>
        </w:tabs>
        <w:numPr>
          <w:ilvl w:val="2"/>
          <w:numId w:val="57"/>
        </w:numPr>
        <w:rPr>
          <w:rFonts w:ascii="Arial" w:cs="Arial" w:eastAsia="Arial" w:hAnsi="Arial"/>
          <w:sz w:val="18"/>
          <w:szCs w:val="18"/>
          <w:color w:val="auto"/>
        </w:rPr>
      </w:pPr>
      <w:r>
        <w:rPr>
          <w:rFonts w:ascii="Arial" w:cs="Arial" w:eastAsia="Arial" w:hAnsi="Arial"/>
          <w:sz w:val="18"/>
          <w:szCs w:val="18"/>
          <w:color w:val="auto"/>
        </w:rPr>
        <w:t>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w:t>
      </w:r>
    </w:p>
    <w:p>
      <w:pPr>
        <w:spacing w:after="0" w:line="73" w:lineRule="exact"/>
        <w:rPr>
          <w:rFonts w:ascii="Arial" w:cs="Arial" w:eastAsia="Arial" w:hAnsi="Arial"/>
          <w:sz w:val="18"/>
          <w:szCs w:val="18"/>
          <w:color w:val="auto"/>
        </w:rPr>
      </w:pPr>
    </w:p>
    <w:p>
      <w:pPr>
        <w:ind w:left="1660" w:hanging="319"/>
        <w:spacing w:after="0"/>
        <w:tabs>
          <w:tab w:leader="none" w:pos="1660" w:val="left"/>
        </w:tabs>
        <w:numPr>
          <w:ilvl w:val="2"/>
          <w:numId w:val="57"/>
        </w:numPr>
        <w:rPr>
          <w:rFonts w:ascii="Arial" w:cs="Arial" w:eastAsia="Arial" w:hAnsi="Arial"/>
          <w:sz w:val="18"/>
          <w:szCs w:val="18"/>
          <w:color w:val="auto"/>
        </w:rPr>
      </w:pPr>
      <w:r>
        <w:rPr>
          <w:rFonts w:ascii="Arial" w:cs="Arial" w:eastAsia="Arial" w:hAnsi="Arial"/>
          <w:sz w:val="18"/>
          <w:szCs w:val="18"/>
          <w:color w:val="auto"/>
        </w:rPr>
        <w:t>a free writing prospectus identified in Schedule I to this Agreement as forming part of the Disclosure Package.</w:t>
      </w:r>
    </w:p>
    <w:p>
      <w:pPr>
        <w:spacing w:after="0" w:line="117" w:lineRule="exact"/>
        <w:rPr>
          <w:rFonts w:ascii="Arial" w:cs="Arial" w:eastAsia="Arial" w:hAnsi="Arial"/>
          <w:sz w:val="18"/>
          <w:szCs w:val="18"/>
          <w:color w:val="auto"/>
        </w:rPr>
      </w:pPr>
    </w:p>
    <w:p>
      <w:pPr>
        <w:ind w:firstLine="464"/>
        <w:spacing w:after="0" w:line="268" w:lineRule="auto"/>
        <w:tabs>
          <w:tab w:leader="none" w:pos="636"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Indemnification and Contribution</w:t>
      </w:r>
      <w:r>
        <w:rPr>
          <w:rFonts w:ascii="Arial" w:cs="Arial" w:eastAsia="Arial" w:hAnsi="Arial"/>
          <w:sz w:val="17"/>
          <w:szCs w:val="17"/>
          <w:color w:val="auto"/>
        </w:rPr>
        <w:t>. The Issuers, jointly and severally, agree to indemnify and hold harmless each Underwriter and each person, if any,</w:t>
      </w:r>
      <w:r>
        <w:rPr>
          <w:rFonts w:ascii="Arial" w:cs="Arial" w:eastAsia="Arial" w:hAnsi="Arial"/>
          <w:sz w:val="17"/>
          <w:szCs w:val="17"/>
          <w:i w:val="1"/>
          <w:iCs w:val="1"/>
          <w:color w:val="auto"/>
        </w:rPr>
        <w:t xml:space="preserve"> </w:t>
      </w:r>
      <w:r>
        <w:rPr>
          <w:rFonts w:ascii="Arial" w:cs="Arial" w:eastAsia="Arial" w:hAnsi="Arial"/>
          <w:sz w:val="17"/>
          <w:szCs w:val="17"/>
          <w:color w:val="auto"/>
        </w:rPr>
        <w:t>who controls each Underwriter within the meaning of either Section 15 of the Securities Act or Section 20 of the Exchange Act from and against any and all losses, claims, damages and liabilities caused by any untrue statement or alleged untrue statement of a material fact contained in the Registration Statement, any preliminary prospectus, the Disclosure Package (as amended or supplemented), any issuer free writing prospectus as defined under Rule 433(d) under the Securities Act or the Prospectus (as amended or supplemented),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any Issuer in writing by such Underwriter through the Managers expressly for use therein; provided, however, that the foregoing indemnity with respect to any preliminary prospectus, any issuer free writing prospectus or the Disclosure Package shall not inure to the benefit of any Underwriter from whom the person asserting any such losses, claims, damages or liabilities purchased Offered Securities, or any person controlling any such Underwriter, if (a) the Issuers have notified such Underwriter that any preliminary prospectus, any issuer free writing prospectus or the Disclosure Package contains an untrue statement of a material fact or an omission to state a material fact necessary to make the statements therein not misleading, (b) the Issuers provided a copy of any such preliminary prospectus, issuer free writing prospectus or Disclosure Package (as then amended or supplemented if the Company shall have furnished any amendments or supplements thereto) or a separate free writing prospectus correcting such material misstatement or omission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61" w:name="page62"/>
    <w:bookmarkEnd w:id="61"/>
    <w:p>
      <w:pPr>
        <w:ind w:right="1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contact of the Managers indicated in the notice provision contained in this Agreement sufficiently in advance of first entering into a contract of sale of Offered Securities with such person (the “</w:t>
      </w:r>
      <w:r>
        <w:rPr>
          <w:rFonts w:ascii="Arial" w:cs="Arial" w:eastAsia="Arial" w:hAnsi="Arial"/>
          <w:sz w:val="17"/>
          <w:szCs w:val="17"/>
          <w:b w:val="1"/>
          <w:bCs w:val="1"/>
          <w:color w:val="auto"/>
        </w:rPr>
        <w:t>Time of Sale</w:t>
      </w:r>
      <w:r>
        <w:rPr>
          <w:rFonts w:ascii="Arial" w:cs="Arial" w:eastAsia="Arial" w:hAnsi="Arial"/>
          <w:sz w:val="17"/>
          <w:szCs w:val="17"/>
          <w:color w:val="auto"/>
        </w:rPr>
        <w:t>”) so that such preliminary prospectus, issuer free writing prospectus or Disclosure Package (as so amended or supplemented but without reference to documents incorporated by reference therein) or separate free writing prospectus could have been conveyed to such person prior to the Applicable Time, and (c) the information contained in any such corrected preliminary prospectus, issuer free writing prospectus, Disclosure Package or separate free writing prospectus was not conveyed by or on behalf of such Underwriter to such person, if required by law so to have been conveyed, at or prior to the Time of Sale, and if such corrected preliminary prospectus, issuer free writing prospectus, or Disclosure Package (as so amended or supplemented but without reference to documents incorporated by reference therein) or separate free writing prospectus would have cured the defect giving rise to such loss, claim, damage or liability.</w:t>
      </w:r>
    </w:p>
    <w:p>
      <w:pPr>
        <w:spacing w:after="0" w:line="179" w:lineRule="exact"/>
        <w:rPr>
          <w:sz w:val="20"/>
          <w:szCs w:val="20"/>
          <w:color w:val="auto"/>
        </w:rPr>
      </w:pPr>
    </w:p>
    <w:p>
      <w:pPr>
        <w:jc w:val="both"/>
        <w:ind w:right="300" w:firstLine="456"/>
        <w:spacing w:after="0" w:line="297" w:lineRule="auto"/>
        <w:rPr>
          <w:sz w:val="20"/>
          <w:szCs w:val="20"/>
          <w:color w:val="auto"/>
        </w:rPr>
      </w:pPr>
      <w:r>
        <w:rPr>
          <w:rFonts w:ascii="Arial" w:cs="Arial" w:eastAsia="Arial" w:hAnsi="Arial"/>
          <w:sz w:val="16"/>
          <w:szCs w:val="16"/>
          <w:color w:val="auto"/>
        </w:rPr>
        <w:t>Each Underwriter severally and not jointly agrees to indemnify and hold harmless each Issuer, their respective directors and officers who sign the Registration Statement and each person, if any, who controls an Issuer within the meaning of either Section 15 of the Securities Act or Section 20 of the Exchange Act to the same extent as the foregoing indemnity from the Issuers to such Underwriter, but only with reference to information relating to such Underwriter furnished to any Issuer in writing by such Underwriter through the Managers expressly for use in the Registration Statement, any preliminary prospectus, the Disclosure Package, any issuer free writing prospectus, the Prospectus or any amendment or supplement thereto.</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either of the two preceding paragraphs, such person (hereinafter called the “indemnified party”) shall promptly notify the person against whom such indemnity may be sought (hereinafter called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In the case of any such separate firm for the Underwriters and such control persons of the Underwriters, such firm shall be designated in writing by the Managers. In the case of any such separate firm for the Issuers and such directors, officers and controlling persons of the Issuers, such firm shall be designated in writing by the Issuers. The indemnifying party shall not be liable for any settlement of any proceeding effected without its written consent, but if settled with such consent or if there be a final judgment for the plaintiff, the indemnifying party agrees to indemnify, to the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62" w:name="page63"/>
    <w:bookmarkEnd w:id="62"/>
    <w:p>
      <w:pPr>
        <w:ind w:right="3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extent provided in the two immediately preceding paragraphs,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the indemnification provided for in the first or second paragraph of this Section 7 is unavailable to an indemnified party in respect of any losses, claims, damages or liabilities for which indemnification is provided herein, then the indemnifying party, in lieu of indemnifying such indemnified party, shall contribute to the amount paid or payable by such indemnified party as a result of such losses, claims, damages or liabilities (i) in such proportion as is appropriate to reflect the relative benefits received by the Issuers on the one hand and the Underwriters on the other from the offering of the Offered Securities or (ii) if the allocation provided by clause (i) above is not permitted by applicable law, in such proportion as is appropriate to reflect not only the relative benefits referred to in clause (i) above but also the relative fault of the Issuers on the one hand and of the Underwriters on the other in connection with the statements or omissions which resulted in such losses, claims, damages or liabilities, as well as any other relevant equitable considerations. The relative benefits received by the Issuers and the Underwriters shall be deemed to be in the same respective proportions as the net proceeds from the offering (before deducting expenses) received by the Issuers bear to the total underwriting discounts and commissions received by the Underwriters in respect thereof. The relative fault of the Issuers and the Underwriters shall be determined by reference to, among other things, whether the untrue or alleged untrue statement of a material fact or the omission or alleged omission to state a material fact relates to information supplied by the Issuers or by the Underwriters and the parties’ relative intent, knowledge, access to information and opportunity to correct or prevent such statement or omission.</w:t>
      </w:r>
    </w:p>
    <w:p>
      <w:pPr>
        <w:spacing w:after="0" w:line="169"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Issuers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7, the Underwriters shall not be required to contribute any amount in excess of the amount by which the total price at which the Offered Securities underwritten by them and distributed to the public were offered to the public exceeds the amount of any damages which the Underwriters have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63" w:name="page64"/>
    <w:bookmarkEnd w:id="63"/>
    <w:p>
      <w:pPr>
        <w:ind w:right="1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indemnity and contribution agreement contained in this Section 7 and the representations and warranties of the Company contained in this Agreement shall remain operative and in full force and effect regardless of (i) any termination of this Agreement, (ii) any investigation made by or on behalf of the Underwriters or any person controlling the Underwriters or by or on behalf of the Issuers, their respective officers or directors or any other person controlling an Issuer and (iii) acceptance of and payment for any of the Offered Securities.</w:t>
      </w:r>
    </w:p>
    <w:p>
      <w:pPr>
        <w:spacing w:after="0" w:line="187" w:lineRule="exact"/>
        <w:rPr>
          <w:sz w:val="20"/>
          <w:szCs w:val="20"/>
          <w:color w:val="auto"/>
        </w:rPr>
      </w:pPr>
    </w:p>
    <w:p>
      <w:pPr>
        <w:ind w:right="60" w:firstLine="464"/>
        <w:spacing w:after="0" w:line="271" w:lineRule="auto"/>
        <w:tabs>
          <w:tab w:leader="none" w:pos="636"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This Agreement shall be subject to termination in the absolute discretion of the Managers by notice given by the Managers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Issuers, if (a) after the Applicable Time and prior to the Closing Date (i) trading generally shall have been suspended or materially limited on or by, as the case may be, the New York Stock Exchange, the American Stock Exchange, or the Financial Industry Regulatory Authority, (ii) trading of any securities of the Company shall have been suspended on the Nasdaq Global Select Market, (iii) a general moratorium on commercial banking activities in New York shall have been declared by either Federal or New York State authorities, or (iv) there shall have occurred any outbreak or escalation of hostilities or any change in financial markets or any calamity or crisis that, in the judgment of the Managers, is material and adverse and (b) in the case of any of the events specified in clauses (a)(i) through (iv), such event, singly or together with any other such event, makes it, in the judgment of the Managers, impracticable to market the Offered Securities on the terms and in the manner contemplated in the Disclosure Package.</w:t>
      </w:r>
    </w:p>
    <w:p>
      <w:pPr>
        <w:spacing w:after="0" w:line="179"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The Issuers will pay and bear all costs and expenses incident to the performance of their obligations under this Agreement, including (a) the preparation, printing and filing of the Registration Statement (including financial statements and exhibits), as originally filed and as amended, the preliminary prospectuses, the Disclosure Package, any free writing prospectus and the Prospectus and any amendments or supplements thereto, and the cost of furnishing copies thereto to the Underwriters, (b) the preparation, printing and distribution of this Agreement, each indenture under which the Offered Securities are to be issued and Blue Sky Memorandum, (c) the delivery of the Offered Securities to the Underwriters, (d) the fees and disbursements of the Issuers’ counsel and accountants, (e) the qualification of the Offered Securities under the applicable state securities or Blue Sky laws in accordance with Section 5, including filing fees and reasonable fees and disbursements of counsel for the Underwriters in connection therewith and in connection with any Blue Sky survey and any legal investment survey, (f) all fees payable to the Financial Industry Regulatory Authority in connection with the review, if any, of the offering of the Securities, (g) any fees charged by rating agencies for rating the Offered Securities and (h) the fees and expenses of the Trustee, including the fees and disbursements of counsel for the Trustee, in connection with each indenture under which the Offered Securities are to be issued and the Offered Securities. Except as specifically provided elsewhere herein, the Underwriters will pay all of their own costs and expenses, including without limitation the fees and expenses of their counsel and the expenses of selling presentations.</w:t>
      </w:r>
    </w:p>
    <w:p>
      <w:pPr>
        <w:spacing w:after="0" w:line="18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this Agreement shall be terminated by the Underwriters because of any failure or refusal on the part of the Issuers to comply with the terms or to fulfill any of the conditions of this Agreement, or if for any reason the Issuers shall be unable to perform their obligations under this Agreement, the Company will reimburse the Underwriters for all out-of-pocket expenses (including the fees and disbursements of their counsel) reasonably incurred by the Underwriters in connection with this Agreement or the offering contemplated hereunder. This provision shall survive the termination or cancellation of this Agreement.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64" w:name="page65"/>
    <w:bookmarkEnd w:id="64"/>
    <w:p>
      <w:pPr>
        <w:ind w:left="-20" w:firstLine="464"/>
        <w:spacing w:after="0" w:line="286" w:lineRule="auto"/>
        <w:tabs>
          <w:tab w:leader="none" w:pos="616"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Defaulting Underwriters</w:t>
      </w:r>
      <w:r>
        <w:rPr>
          <w:rFonts w:ascii="Arial" w:cs="Arial" w:eastAsia="Arial" w:hAnsi="Arial"/>
          <w:sz w:val="16"/>
          <w:szCs w:val="16"/>
          <w:color w:val="auto"/>
        </w:rPr>
        <w:t>. If on the Closing Date any one or more of the Underwriters shall fail or refuse to purchase Offered Securities that it has or</w:t>
      </w:r>
      <w:r>
        <w:rPr>
          <w:rFonts w:ascii="Arial" w:cs="Arial" w:eastAsia="Arial" w:hAnsi="Arial"/>
          <w:sz w:val="16"/>
          <w:szCs w:val="16"/>
          <w:i w:val="1"/>
          <w:iCs w:val="1"/>
          <w:color w:val="auto"/>
        </w:rPr>
        <w:t xml:space="preserve"> </w:t>
      </w:r>
      <w:r>
        <w:rPr>
          <w:rFonts w:ascii="Arial" w:cs="Arial" w:eastAsia="Arial" w:hAnsi="Arial"/>
          <w:sz w:val="16"/>
          <w:szCs w:val="16"/>
          <w:color w:val="auto"/>
        </w:rPr>
        <w:t>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and not jointly in the proportions that the amount of Offered Securities set forth opposite their respective names bears to the aggregate amount of Offered Securities set forth opposite the names of all such non-defaulting Underwriters, or in such other proportions as the Managers may specify, to purchase the Offered Securities which such defaulting Underwriter or Underwriters agreed but failed or refused to purchase on such date; provided that in no event shall the amount of Offered Securities that any Underwriter has agreed to purchase pursuant to this Agreement be increased pursuant to this Section 9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Managers and the Issuers for the purchase of such Offered Securities are not made within 36 hours after such default, this Agreement shall terminate without liability on the part of any non-defaulting Underwriter or the Issuers. In any such case either the Managers or the Issuers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68" w:lineRule="exact"/>
        <w:rPr>
          <w:rFonts w:ascii="Arial" w:cs="Arial" w:eastAsia="Arial" w:hAnsi="Arial"/>
          <w:sz w:val="16"/>
          <w:szCs w:val="16"/>
          <w:color w:val="auto"/>
        </w:rPr>
      </w:pPr>
    </w:p>
    <w:p>
      <w:pPr>
        <w:ind w:left="-20" w:right="260" w:firstLine="464"/>
        <w:spacing w:after="0" w:line="342" w:lineRule="auto"/>
        <w:tabs>
          <w:tab w:leader="none" w:pos="706"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Counterparts</w:t>
      </w:r>
      <w:r>
        <w:rPr>
          <w:rFonts w:ascii="Arial" w:cs="Arial" w:eastAsia="Arial" w:hAnsi="Arial"/>
          <w:sz w:val="16"/>
          <w:szCs w:val="16"/>
          <w:color w:val="auto"/>
        </w:rPr>
        <w:t>. This Agreement may be signed in any number of counterparts (which may include counterparts delivered by any standard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 each of which shall be an original, with the same effect as if the signatures thereto and hereto were upon the same instrument.</w:t>
      </w:r>
    </w:p>
    <w:p>
      <w:pPr>
        <w:spacing w:after="0" w:line="123" w:lineRule="exact"/>
        <w:rPr>
          <w:rFonts w:ascii="Arial" w:cs="Arial" w:eastAsia="Arial" w:hAnsi="Arial"/>
          <w:sz w:val="16"/>
          <w:szCs w:val="16"/>
          <w:color w:val="auto"/>
        </w:rPr>
      </w:pPr>
    </w:p>
    <w:p>
      <w:pPr>
        <w:ind w:left="700" w:hanging="256"/>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Applicable Law</w:t>
      </w:r>
      <w:r>
        <w:rPr>
          <w:rFonts w:ascii="Arial" w:cs="Arial" w:eastAsia="Arial" w:hAnsi="Arial"/>
          <w:sz w:val="18"/>
          <w:szCs w:val="18"/>
          <w:color w:val="auto"/>
        </w:rPr>
        <w:t>. This Agreement shall be governed by and construed in accordance with the internal laws of the State of New York.</w:t>
      </w:r>
    </w:p>
    <w:p>
      <w:pPr>
        <w:spacing w:after="0" w:line="225" w:lineRule="exact"/>
        <w:rPr>
          <w:rFonts w:ascii="Arial" w:cs="Arial" w:eastAsia="Arial" w:hAnsi="Arial"/>
          <w:sz w:val="18"/>
          <w:szCs w:val="18"/>
          <w:color w:val="auto"/>
        </w:rPr>
      </w:pPr>
    </w:p>
    <w:p>
      <w:pPr>
        <w:ind w:left="-20" w:right="200" w:firstLine="464"/>
        <w:spacing w:after="0" w:line="277" w:lineRule="auto"/>
        <w:tabs>
          <w:tab w:leader="none" w:pos="706"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60" w:top="274" w:right="25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SUPPLEMENTAL INDENTURE</w:t>
      </w:r>
    </w:p>
    <w:p>
      <w:pPr>
        <w:spacing w:after="0" w:line="225"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color w:val="auto"/>
        </w:rPr>
        <w:t>FIRST SUPPLEMENTAL INDENTURE dated as of November 17, 2015 (this “</w:t>
      </w:r>
      <w:r>
        <w:rPr>
          <w:rFonts w:ascii="Arial" w:cs="Arial" w:eastAsia="Arial" w:hAnsi="Arial"/>
          <w:sz w:val="18"/>
          <w:szCs w:val="18"/>
          <w:b w:val="1"/>
          <w:bCs w:val="1"/>
          <w:color w:val="auto"/>
        </w:rPr>
        <w:t>Supplemental Indenture</w:t>
      </w:r>
      <w:r>
        <w:rPr>
          <w:rFonts w:ascii="Arial" w:cs="Arial" w:eastAsia="Arial" w:hAnsi="Arial"/>
          <w:sz w:val="18"/>
          <w:szCs w:val="18"/>
          <w:color w:val="auto"/>
        </w:rPr>
        <w:t>”), among 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Comcast Cable Communications, LLC, a Delaware limited liability company (“</w:t>
      </w:r>
      <w:r>
        <w:rPr>
          <w:rFonts w:ascii="Arial" w:cs="Arial" w:eastAsia="Arial" w:hAnsi="Arial"/>
          <w:sz w:val="18"/>
          <w:szCs w:val="18"/>
          <w:b w:val="1"/>
          <w:bCs w:val="1"/>
          <w:color w:val="auto"/>
        </w:rPr>
        <w:t>Comcast Cable</w:t>
      </w:r>
      <w:r>
        <w:rPr>
          <w:rFonts w:ascii="Arial" w:cs="Arial" w:eastAsia="Arial" w:hAnsi="Arial"/>
          <w:sz w:val="18"/>
          <w:szCs w:val="18"/>
          <w:color w:val="auto"/>
        </w:rPr>
        <w:t>”), NBCUniversal Media, LLC, a Delaware limited liability company (together with Comcast Cable, the “</w:t>
      </w:r>
      <w:r>
        <w:rPr>
          <w:rFonts w:ascii="Arial" w:cs="Arial" w:eastAsia="Arial" w:hAnsi="Arial"/>
          <w:sz w:val="18"/>
          <w:szCs w:val="18"/>
          <w:b w:val="1"/>
          <w:bCs w:val="1"/>
          <w:color w:val="auto"/>
        </w:rPr>
        <w:t>Guarantors</w:t>
      </w:r>
      <w:r>
        <w:rPr>
          <w:rFonts w:ascii="Arial" w:cs="Arial" w:eastAsia="Arial" w:hAnsi="Arial"/>
          <w:sz w:val="18"/>
          <w:szCs w:val="18"/>
          <w:color w:val="auto"/>
        </w:rPr>
        <w:t>”), 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80"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color w:val="auto"/>
        </w:rPr>
        <w:t>WHEREAS, the Issuer is the issuer under the Indenture, dated as of September 18, 2013, (the “</w:t>
      </w:r>
      <w:r>
        <w:rPr>
          <w:rFonts w:ascii="Arial" w:cs="Arial" w:eastAsia="Arial" w:hAnsi="Arial"/>
          <w:sz w:val="18"/>
          <w:szCs w:val="18"/>
          <w:b w:val="1"/>
          <w:bCs w:val="1"/>
          <w:color w:val="auto"/>
        </w:rPr>
        <w:t>Original Indenture</w:t>
      </w:r>
      <w:r>
        <w:rPr>
          <w:rFonts w:ascii="Arial" w:cs="Arial" w:eastAsia="Arial" w:hAnsi="Arial"/>
          <w:sz w:val="18"/>
          <w:szCs w:val="18"/>
          <w:color w:val="auto"/>
        </w:rPr>
        <w:t>” and, together with this Supplemental Indenture, the “</w:t>
      </w:r>
      <w:r>
        <w:rPr>
          <w:rFonts w:ascii="Arial" w:cs="Arial" w:eastAsia="Arial" w:hAnsi="Arial"/>
          <w:sz w:val="18"/>
          <w:szCs w:val="18"/>
          <w:b w:val="1"/>
          <w:bCs w:val="1"/>
          <w:color w:val="auto"/>
        </w:rPr>
        <w:t>Indenture</w:t>
      </w:r>
      <w:r>
        <w:rPr>
          <w:rFonts w:ascii="Arial" w:cs="Arial" w:eastAsia="Arial" w:hAnsi="Arial"/>
          <w:sz w:val="18"/>
          <w:szCs w:val="18"/>
          <w:color w:val="auto"/>
        </w:rPr>
        <w:t>”), pursuant to which the Issuer issued, and the Trustee authenticated and delivered certain securities which are, as of the date hereof, outstanding (the “</w:t>
      </w:r>
      <w:r>
        <w:rPr>
          <w:rFonts w:ascii="Arial" w:cs="Arial" w:eastAsia="Arial" w:hAnsi="Arial"/>
          <w:sz w:val="18"/>
          <w:szCs w:val="18"/>
          <w:b w:val="1"/>
          <w:bCs w:val="1"/>
          <w:color w:val="auto"/>
        </w:rPr>
        <w:t>Outstanding Securities</w:t>
      </w:r>
      <w:r>
        <w:rPr>
          <w:rFonts w:ascii="Arial" w:cs="Arial" w:eastAsia="Arial" w:hAnsi="Arial"/>
          <w:sz w:val="18"/>
          <w:szCs w:val="18"/>
          <w:color w:val="auto"/>
        </w:rPr>
        <w:t>”) and pursuant to which the Issuer may issue securities in the future (the “</w:t>
      </w:r>
      <w:r>
        <w:rPr>
          <w:rFonts w:ascii="Arial" w:cs="Arial" w:eastAsia="Arial" w:hAnsi="Arial"/>
          <w:sz w:val="18"/>
          <w:szCs w:val="18"/>
          <w:b w:val="1"/>
          <w:bCs w:val="1"/>
          <w:color w:val="auto"/>
        </w:rPr>
        <w:t>New Securities</w:t>
      </w:r>
      <w:r>
        <w:rPr>
          <w:rFonts w:ascii="Arial" w:cs="Arial" w:eastAsia="Arial" w:hAnsi="Arial"/>
          <w:sz w:val="18"/>
          <w:szCs w:val="18"/>
          <w:color w:val="auto"/>
        </w:rPr>
        <w:t>” and, together with the Outstanding Securities,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184"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WHEREAS, the Guarantors identified above along with Comcast Cable Holdings, LLC, a Delaware limited liability company, Comcast MO Group, LLC (f/k/a Comcast MO Group, Inc.), a Delaware limited liability company, and Comcast MO of Delaware, LLC, a Delaware limited liability company (collectively, the “</w:t>
      </w:r>
      <w:r>
        <w:rPr>
          <w:rFonts w:ascii="Arial" w:cs="Arial" w:eastAsia="Arial" w:hAnsi="Arial"/>
          <w:sz w:val="17"/>
          <w:szCs w:val="17"/>
          <w:b w:val="1"/>
          <w:bCs w:val="1"/>
          <w:color w:val="auto"/>
        </w:rPr>
        <w:t>Non-Surviving Guarantors</w:t>
      </w:r>
      <w:r>
        <w:rPr>
          <w:rFonts w:ascii="Arial" w:cs="Arial" w:eastAsia="Arial" w:hAnsi="Arial"/>
          <w:sz w:val="17"/>
          <w:szCs w:val="17"/>
          <w:color w:val="auto"/>
        </w:rPr>
        <w:t>”), irrevocably, fully and unconditionally guaranteed, jointly and severally, on an unsecured basis, the full and punctual payment (whether at maturity, upon redemption, or otherwise) of the principal and interest on, and all other amounts payable under, each Security, and the full and punctual payment of all other amounts payable by the Issuer under the Original Indenture;</w:t>
      </w:r>
    </w:p>
    <w:p>
      <w:pPr>
        <w:spacing w:after="0" w:line="173"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WHEREAS, as of October 1, 2015, the Non-Surviving Guarantors have merged with and into Comcast Cable, with Comcast Cable as the surviving entity;</w:t>
      </w:r>
    </w:p>
    <w:p>
      <w:pPr>
        <w:spacing w:after="0" w:line="17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WHEREAS, the Issuer and the Guarantors have requested that the Trustee execute and deliver this Supplemental Indenture to reflect the merger of the Non-Surviving Guarantors with and into Comcast Cable, and all requirements necessary to make this Supplemental Indenture a valid instrument in accordance with its terms, and the execution and delivery of this Supplemental Indenture have been duly authorized in all respects; and</w:t>
      </w:r>
    </w:p>
    <w:p>
      <w:pPr>
        <w:spacing w:after="0" w:line="16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WHEREAS, pursuant to Section 7.01(k) of the Indenture, the Issuer and the Trustee may, without consent of the Holders, when so authorized by the Board of Directors of the Issuer, enter into a supplement to the Indenture to make any change that does not adversely affect the rights of any Holder in any material respect, and the Board of Directors of the Issuer has determined that the changes to the Indenture effected by this Supplemental Indenture do not adversely affect the rights of any Holder in any material respect.</w:t>
      </w:r>
    </w:p>
    <w:p>
      <w:pPr>
        <w:sectPr>
          <w:pgSz w:w="11900" w:h="16838" w:orient="portrait"/>
          <w:cols w:equalWidth="0" w:num="1">
            <w:col w:w="11420"/>
          </w:cols>
          <w:pgMar w:left="240" w:top="121" w:right="239" w:bottom="1440" w:gutter="0" w:footer="0" w:header="0"/>
        </w:sectPr>
      </w:pPr>
    </w:p>
    <w:bookmarkStart w:id="66" w:name="page67"/>
    <w:bookmarkEnd w:id="66"/>
    <w:p>
      <w:pPr>
        <w:ind w:right="3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NOW, THEREFORE, the Issuer, the Guarantors and the Trustee do hereby supplement and amend the Original Indenture pursuant to Section 7.01 without notice to or consent of any Holder as follows: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EFINITIONS</w:t>
      </w:r>
    </w:p>
    <w:p>
      <w:pPr>
        <w:spacing w:after="0" w:line="21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Capitalized terms that are defined in the preamble or the recitals hereto shall have such meanings throughout this Supplemental Indenture. Capitalized terms used but not defined in this Supplemental Indenture have the meanings assigned thereto in the Original Indenture. The meanings assigned to all defined terms used in this Supplemental Indenture shall be equally applicable to both the singular and plural forms of such defined terms.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MENDMENTS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Amendment</w:t>
      </w:r>
      <w:r>
        <w:rPr>
          <w:rFonts w:ascii="Arial" w:cs="Arial" w:eastAsia="Arial" w:hAnsi="Arial"/>
          <w:sz w:val="18"/>
          <w:szCs w:val="18"/>
          <w:color w:val="auto"/>
        </w:rPr>
        <w:t>. The Original Indenture is hereby amended as follows:</w:t>
      </w:r>
    </w:p>
    <w:p>
      <w:pPr>
        <w:spacing w:after="0" w:line="113"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each of Comcast Cable Communications, LLC and NBCUniversal Media, LLC, in each case excluding such entity’s Subsidiaries, unless and until such Guarantor is released from its Guarantee pursuant to this Indenture.</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ISCELLANEOUS</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Date and Time of Effectiveness.</w:t>
      </w:r>
      <w:r>
        <w:rPr>
          <w:rFonts w:ascii="Arial" w:cs="Arial" w:eastAsia="Arial" w:hAnsi="Arial"/>
          <w:sz w:val="18"/>
          <w:szCs w:val="18"/>
          <w:color w:val="auto"/>
        </w:rPr>
        <w:t xml:space="preserve"> This Supplemental Indenture shall become a legally effective and binding instrument at and as of the date hereof.</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Supplemental Indenture Incorporated Into Indenture.</w:t>
      </w:r>
      <w:r>
        <w:rPr>
          <w:rFonts w:ascii="Arial" w:cs="Arial" w:eastAsia="Arial" w:hAnsi="Arial"/>
          <w:sz w:val="18"/>
          <w:szCs w:val="18"/>
          <w:color w:val="auto"/>
        </w:rPr>
        <w:t xml:space="preserve"> The terms and conditions of this Supplemental Indenture shall be deemed to be part of the Indenture for all purposes relating to the Securities. The Original Indenture is hereby incorporated by reference herein and the Original Indenture, as supplemented by this Supplemental Indenture, is in all respects adopted, ratified and confirmed.</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Outstanding Securities Deemed Conformed.</w:t>
      </w:r>
      <w:r>
        <w:rPr>
          <w:rFonts w:ascii="Arial" w:cs="Arial" w:eastAsia="Arial" w:hAnsi="Arial"/>
          <w:sz w:val="18"/>
          <w:szCs w:val="18"/>
          <w:color w:val="auto"/>
        </w:rPr>
        <w:t xml:space="preserve"> As of the date hereof, the provisions of the Outstanding Securities shall be deemed to be conformed, without the necessity for any reissuance or exchange of such Outstanding Security or any other action on the part of the holders of Outstanding Securities, the Issuer or the Trustee, so as to reflect this Supplemental Indenture.</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Separability.</w:t>
      </w:r>
      <w:r>
        <w:rPr>
          <w:rFonts w:ascii="Arial" w:cs="Arial" w:eastAsia="Arial" w:hAnsi="Arial"/>
          <w:sz w:val="18"/>
          <w:szCs w:val="18"/>
          <w:color w:val="auto"/>
        </w:rPr>
        <w:t xml:space="preserve"> In case any provision in this Supplemental Indenture, or in the Indenture, shall be invalid, illegal or unenforceable, the validity, legality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67" w:name="page68"/>
    <w:bookmarkEnd w:id="67"/>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enforceability of the remaining provisions shall not in any way be affected or impaired thereby, it being intended that all of the provisions hereof shall be enforceable to the full extent permitted by law.</w:t>
      </w:r>
    </w:p>
    <w:p>
      <w:pPr>
        <w:spacing w:after="0" w:line="170"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Benefits of Supplemental Indenture.</w:t>
      </w:r>
      <w:r>
        <w:rPr>
          <w:rFonts w:ascii="Arial" w:cs="Arial" w:eastAsia="Arial" w:hAnsi="Arial"/>
          <w:sz w:val="18"/>
          <w:szCs w:val="18"/>
          <w:color w:val="auto"/>
        </w:rPr>
        <w:t xml:space="preserve"> Nothing in this Supplemental Indenture, expressed or implied, shall give or be construed to give to any person, firm or corporation, other than the parties hereto and the holders of Securities, any benefit or any legal or equitable right, remedy or claim under this Supplemental Indenture or the Indenture.</w:t>
      </w:r>
    </w:p>
    <w:p>
      <w:pPr>
        <w:spacing w:after="0" w:line="18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Successors.</w:t>
      </w:r>
      <w:r>
        <w:rPr>
          <w:rFonts w:ascii="Arial" w:cs="Arial" w:eastAsia="Arial" w:hAnsi="Arial"/>
          <w:sz w:val="18"/>
          <w:szCs w:val="18"/>
          <w:color w:val="auto"/>
        </w:rPr>
        <w:t xml:space="preserve"> Subject to Section 12.09 of the Original Indenture, all agreements of the Issuer, the Guarantors and the Trustee in this Supplemental Indenture and in the Indenture shall bind their respective successors.</w:t>
      </w:r>
    </w:p>
    <w:p>
      <w:pPr>
        <w:spacing w:after="0" w:line="166"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Section 3.07</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New York Law to Govern.</w:t>
      </w:r>
      <w:r>
        <w:rPr>
          <w:rFonts w:ascii="Arial" w:cs="Arial" w:eastAsia="Arial" w:hAnsi="Arial"/>
          <w:sz w:val="18"/>
          <w:szCs w:val="18"/>
          <w:color w:val="auto"/>
        </w:rPr>
        <w:t xml:space="preserve"> </w:t>
      </w:r>
      <w:r>
        <w:rPr>
          <w:rFonts w:ascii="Arial" w:cs="Arial" w:eastAsia="Arial" w:hAnsi="Arial"/>
          <w:sz w:val="18"/>
          <w:szCs w:val="18"/>
          <w:b w:val="1"/>
          <w:bCs w:val="1"/>
          <w:color w:val="auto"/>
        </w:rPr>
        <w:t>This Supplemental Indenture shall be deemed to be a contract under the laws of the State of New York,</w:t>
      </w:r>
      <w:r>
        <w:rPr>
          <w:rFonts w:ascii="Arial" w:cs="Arial" w:eastAsia="Arial" w:hAnsi="Arial"/>
          <w:sz w:val="18"/>
          <w:szCs w:val="18"/>
          <w:color w:val="auto"/>
        </w:rPr>
        <w:t xml:space="preserve"> </w:t>
      </w:r>
      <w:r>
        <w:rPr>
          <w:rFonts w:ascii="Arial" w:cs="Arial" w:eastAsia="Arial" w:hAnsi="Arial"/>
          <w:sz w:val="18"/>
          <w:szCs w:val="18"/>
          <w:b w:val="1"/>
          <w:bCs w:val="1"/>
          <w:color w:val="auto"/>
        </w:rPr>
        <w:t>and for all purposes shall be construed in accordance with the laws of such State.</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Supplemental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i w:val="1"/>
          <w:iCs w:val="1"/>
          <w:color w:val="auto"/>
        </w:rPr>
        <w:t>Effect of Headings.</w:t>
      </w:r>
      <w:r>
        <w:rPr>
          <w:rFonts w:ascii="Arial" w:cs="Arial" w:eastAsia="Arial" w:hAnsi="Arial"/>
          <w:sz w:val="17"/>
          <w:szCs w:val="17"/>
          <w:color w:val="auto"/>
        </w:rPr>
        <w:t xml:space="preserve"> The Article and Section headings herein are for convenience only and shall not affect the construction hereof.</w:t>
      </w:r>
    </w:p>
    <w:p>
      <w:pPr>
        <w:spacing w:after="0" w:line="23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Trustee.</w:t>
      </w:r>
      <w:r>
        <w:rPr>
          <w:rFonts w:ascii="Arial" w:cs="Arial" w:eastAsia="Arial" w:hAnsi="Arial"/>
          <w:sz w:val="18"/>
          <w:szCs w:val="18"/>
          <w:color w:val="auto"/>
        </w:rPr>
        <w:t xml:space="preserve"> The Trustee makes no representations as to the validity or sufficiency of this Supplemental Indenture. The recitals and statements herein are deemed to be those of the Issuer and the Guarantors and not of the Trustee.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68" w:name="page69"/>
    <w:bookmarkEnd w:id="6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each of the parties has caused this Supplemental Indenture to be duly executed, all as of the first date written above.</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Title: Senior Vice President and 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COMMUNICATIONS, LLC</w:t>
      </w:r>
    </w:p>
    <w:p>
      <w:pPr>
        <w:spacing w:after="0" w:line="224"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Title: Senior Vice President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Title: Senior Vice President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[Signature Page – Supplemental Indenture]</w:t>
      </w:r>
    </w:p>
    <w:p>
      <w:pPr>
        <w:sectPr>
          <w:pgSz w:w="11900" w:h="16838" w:orient="portrait"/>
          <w:cols w:equalWidth="0" w:num="1">
            <w:col w:w="10800"/>
          </w:cols>
          <w:pgMar w:left="240" w:top="274" w:right="859" w:bottom="1440" w:gutter="0" w:footer="0" w:header="0"/>
        </w:sectPr>
      </w:pPr>
    </w:p>
    <w:bookmarkStart w:id="69" w:name="page70"/>
    <w:bookmarkEnd w:id="69"/>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Francine Kincaid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5469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Francine Kincaid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 Supplemental Indenture]</w:t>
      </w:r>
    </w:p>
    <w:p>
      <w:pPr>
        <w:sectPr>
          <w:pgSz w:w="11900" w:h="16838" w:orient="portrait"/>
          <w:cols w:equalWidth="0" w:num="1">
            <w:col w:w="9019"/>
          </w:cols>
          <w:pgMar w:left="1440" w:top="274" w:right="1440"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23,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Comcast Corporation, a Pennsylvania corporation (the “Company”) is filing with the Securities and Exchange Commission a Post-Effective Amendment No. 2 to the Registration Statement (File No. 333-191239) on Form S-3 (the “Registration Statement”) for the purpose of registering under the Securities Act of 1933, as amended (the “Securities Act”), the offer and sale of (i) shares of the Company’s Class A Common Stock, par value $0.01 per share (the “Class A Common Stock”); (ii) shares of the Company’s Class A Special Common Stock, par value $0.01 per share (the “Class A Special Common Stock”); (iii) shares of the Company’s preferred stock, without par value (the “Preferred Stock”); (iv) the Company’s senior debt securities (the “Debt Securities”), which may be fully and unconditionally guaranteed by each of NBCUniversal Media, LLC and Comcast Cable Communications, LLC (together, the “Guarantors”); (v) warrants (the “Warrants”), which may be issued pursuant to a warrant agreement (the “Warrant Agreement”) between the Company and the warrant agent to be named therein; (vi) purchase contracts (the “Purchase Contracts”) which may be issued under one or more purchase contract agreements (each, a “Purchase Contract Agreement”) to be entered into between the Company and the purchase contract agent to be named therein (the “Purchase Contract Agent”) requiring the holders thereof to purchase or sell (A) the Company’s securities or securities of an entity unaffiliated or affiliated with the Company, a basket of such securities, an index or indices of such securities or any combination of the above, (B) currencies or composite currencies or (C) commodities; (vii) units (the “Units”) consisting of Debt Securities, Warrants, Purchase Contracts, Preferred Stock, Class A Common Stock or Class A Special Common Stock or any combination of the foregoing to be issued under one or more unit agreements to be entered into among the Company, a bank or trust company, as unit agent (the “Unit Agent”), and the holders from time to time of the Units (each such unit agreement, a “Unit Agreement”);</w:t>
      </w:r>
    </w:p>
    <w:p>
      <w:pPr>
        <w:spacing w:after="0" w:line="2" w:lineRule="exact"/>
        <w:rPr>
          <w:sz w:val="20"/>
          <w:szCs w:val="20"/>
          <w:color w:val="auto"/>
        </w:rPr>
      </w:pPr>
    </w:p>
    <w:p>
      <w:pPr>
        <w:ind w:right="60" w:firstLine="8"/>
        <w:spacing w:after="0" w:line="287" w:lineRule="auto"/>
        <w:tabs>
          <w:tab w:leader="none" w:pos="405" w:val="left"/>
        </w:tabs>
        <w:numPr>
          <w:ilvl w:val="0"/>
          <w:numId w:val="60"/>
        </w:numPr>
        <w:rPr>
          <w:rFonts w:ascii="Arial" w:cs="Arial" w:eastAsia="Arial" w:hAnsi="Arial"/>
          <w:sz w:val="16"/>
          <w:szCs w:val="16"/>
          <w:color w:val="auto"/>
        </w:rPr>
      </w:pPr>
      <w:r>
        <w:rPr>
          <w:rFonts w:ascii="Arial" w:cs="Arial" w:eastAsia="Arial" w:hAnsi="Arial"/>
          <w:sz w:val="16"/>
          <w:szCs w:val="16"/>
          <w:color w:val="auto"/>
        </w:rPr>
        <w:t>guarantees (the “Guarantees”) of the Debt Securities by the Guarantors; and (ix) guarantees (the “Additional Guarantees”) of Warrants, Purchase Contracts and Units or any combination of the foregoing by the Guarantors to be issued under one or more guarantee agreements (each, a “Guarantee Agreement” to be entered into by the Guarantors). The Debt Securities, Preferred Stock, Class A Common Stock, Class A Special Common Stock, Warrants, Purchase Contracts, Units, Guarantees and Additional Guarantees are herein collectively referred to as the “Securities.” The Debt Securities and the Preferred Stock may be convertible and/or exchangeable for Securities or other securities or rights. The Debt Securities are to be issued pursuant to an indenture dated September 18, 2013, as amended and supplemented from time to time (the “Indenture”), among the Company, the Guarantors and The Bank of New York Mellon, as Trustee. The Company may offer Depositary Shares (the “Depositary Shares”) representing interests in Preferred Stock deposited with a Depositary and evidenced by Depositary Receipts, and such Depositary Shares are also covered by the Registration Statement.</w:t>
      </w:r>
    </w:p>
    <w:p>
      <w:pPr>
        <w:sectPr>
          <w:pgSz w:w="11900" w:h="16838" w:orient="portrait"/>
          <w:cols w:equalWidth="0" w:num="1">
            <w:col w:w="11420"/>
          </w:cols>
          <w:pgMar w:left="240" w:top="121" w:right="239" w:bottom="1440" w:gutter="0" w:footer="0" w:header="0"/>
        </w:sectPr>
      </w:pPr>
    </w:p>
    <w:bookmarkStart w:id="71" w:name="page72"/>
    <w:bookmarkEnd w:id="71"/>
    <w:p>
      <w:pPr>
        <w:ind w:right="3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I advise you that, in my opinion:</w:t>
      </w:r>
    </w:p>
    <w:p>
      <w:pPr>
        <w:spacing w:after="0" w:line="117" w:lineRule="exact"/>
        <w:rPr>
          <w:sz w:val="20"/>
          <w:szCs w:val="20"/>
          <w:color w:val="auto"/>
        </w:rPr>
      </w:pPr>
    </w:p>
    <w:p>
      <w:pPr>
        <w:ind w:right="60" w:firstLine="464"/>
        <w:spacing w:after="0" w:line="255" w:lineRule="auto"/>
        <w:tabs>
          <w:tab w:leader="none" w:pos="6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When the necessary corporate action on the part of the Company has been taken to authorize the issuance and sale of such shares of Class A Common Stock proposed to be sold by the Company, and when such shares of Class A Common Stock are issued and delivered in accordance with the applicable underwriting or other agreement against payment therefor (in an amount not less than the par value thereof) or upon conversion or exercise of any security offered under the Registration Statement (the “Offered Security”), in accordance with the terms of such Offered Security or the instrument governing such Offered Security providing for such conversion or exercise as approved by the Board of Directors, for the consideration approved by the Board of Directors (which consideration is not less than the par value of the Class A Common Stock), such shares of Class A Common Stock will be validly issued, fully-paid and non-assessable.</w:t>
      </w:r>
    </w:p>
    <w:p>
      <w:pPr>
        <w:spacing w:after="0" w:line="189" w:lineRule="exact"/>
        <w:rPr>
          <w:rFonts w:ascii="Arial" w:cs="Arial" w:eastAsia="Arial" w:hAnsi="Arial"/>
          <w:sz w:val="18"/>
          <w:szCs w:val="18"/>
          <w:color w:val="auto"/>
        </w:rPr>
      </w:pPr>
    </w:p>
    <w:p>
      <w:pPr>
        <w:ind w:right="20" w:firstLine="464"/>
        <w:spacing w:after="0" w:line="293" w:lineRule="auto"/>
        <w:tabs>
          <w:tab w:leader="none" w:pos="636" w:val="left"/>
        </w:tabs>
        <w:numPr>
          <w:ilvl w:val="0"/>
          <w:numId w:val="61"/>
        </w:numPr>
        <w:rPr>
          <w:rFonts w:ascii="Arial" w:cs="Arial" w:eastAsia="Arial" w:hAnsi="Arial"/>
          <w:sz w:val="16"/>
          <w:szCs w:val="16"/>
          <w:color w:val="auto"/>
        </w:rPr>
      </w:pPr>
      <w:r>
        <w:rPr>
          <w:rFonts w:ascii="Arial" w:cs="Arial" w:eastAsia="Arial" w:hAnsi="Arial"/>
          <w:sz w:val="16"/>
          <w:szCs w:val="16"/>
          <w:color w:val="auto"/>
        </w:rPr>
        <w:t>When the necessary corporate action on the part of the Company has been taken to authorize the issuance and sale of such shares of Class A Special Common Stock proposed to be sold by the Company, and when such shares of Class A Special Common Stock are issued and delivered in accordance with the applicable underwriting or other agreement against payment therefor (in an amount not less than the par value thereof) or upon conversion or exercise of an Offered Security, in accordance with the terms of such Offered Security or the instrument governing such Offered Security providing for such conversion or exercise as approved by the Board of Directors, for the consideration approved by the Board of Directors (which consideration is not less than the par value of the Class A Special Common Stock), such shares of Class A Special Common Stock will be validly issued, fully-paid and non-assessable.</w:t>
      </w:r>
    </w:p>
    <w:p>
      <w:pPr>
        <w:spacing w:after="0" w:line="164" w:lineRule="exact"/>
        <w:rPr>
          <w:rFonts w:ascii="Arial" w:cs="Arial" w:eastAsia="Arial" w:hAnsi="Arial"/>
          <w:sz w:val="16"/>
          <w:szCs w:val="16"/>
          <w:color w:val="auto"/>
        </w:rPr>
      </w:pPr>
    </w:p>
    <w:p>
      <w:pPr>
        <w:ind w:right="20" w:firstLine="464"/>
        <w:spacing w:after="0" w:line="273" w:lineRule="auto"/>
        <w:tabs>
          <w:tab w:leader="none" w:pos="636" w:val="left"/>
        </w:tabs>
        <w:numPr>
          <w:ilvl w:val="0"/>
          <w:numId w:val="61"/>
        </w:numPr>
        <w:rPr>
          <w:rFonts w:ascii="Arial" w:cs="Arial" w:eastAsia="Arial" w:hAnsi="Arial"/>
          <w:sz w:val="17"/>
          <w:szCs w:val="17"/>
          <w:color w:val="auto"/>
        </w:rPr>
      </w:pPr>
      <w:r>
        <w:rPr>
          <w:rFonts w:ascii="Arial" w:cs="Arial" w:eastAsia="Arial" w:hAnsi="Arial"/>
          <w:sz w:val="17"/>
          <w:szCs w:val="17"/>
          <w:color w:val="auto"/>
        </w:rPr>
        <w:t>Upon designation of the relative rights, preferences and limitations of any series of Preferred Stock by the Board of Directors of the Company and proper filing with the Secretary of State of the Commonwealth of Pennsylvania of a Certificate of Designations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in accordance with the applicable underwriting or other agreement against payment therefor or upon conversion in accordance with the terms of any other Security that has been duly authorized, issued, paid for and delivered, such shares of Preferred Stock will be validly issued, fully paid and non-assessable.</w:t>
      </w:r>
    </w:p>
    <w:p>
      <w:pPr>
        <w:spacing w:after="0" w:line="178" w:lineRule="exact"/>
        <w:rPr>
          <w:rFonts w:ascii="Arial" w:cs="Arial" w:eastAsia="Arial" w:hAnsi="Arial"/>
          <w:sz w:val="17"/>
          <w:szCs w:val="17"/>
          <w:color w:val="auto"/>
        </w:rPr>
      </w:pPr>
    </w:p>
    <w:p>
      <w:pPr>
        <w:ind w:firstLine="464"/>
        <w:spacing w:after="0" w:line="264" w:lineRule="auto"/>
        <w:tabs>
          <w:tab w:leader="none" w:pos="6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When Depositary Shares evidenced by Depositary Receipts are issued and delivered in accordance with the terms of a Deposit Agreement against the deposit of duly authorized, validly issued, fully paid and non-assessable shares of Preferred Stock, such Depositary Shares will entitle the holders thereof to the rights specified in the Deposit Agreement.</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my opinions expressed above, I have assumed that, at or prior to the time of the delivery of any such Security, (i) the Board of Directors shall have duly established the terms of such Security; (ii) the Company is, and shall remain, validly subsisting as a corporation in good standing under the laws of the Commonwealth of Pennsylvania; (iii) the Registration Statement shall have become effective and such effectiveness shall not have been terminated or rescinded; (iv) the Indentures and the Debt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are each valid, binding and enforceable agreements of each party thereto (other than as expressly covered above in respect of the Company); and</w:t>
      </w:r>
    </w:p>
    <w:p>
      <w:pPr>
        <w:spacing w:after="0" w:line="46" w:lineRule="exact"/>
        <w:rPr>
          <w:sz w:val="20"/>
          <w:szCs w:val="20"/>
          <w:color w:val="auto"/>
        </w:rPr>
      </w:pPr>
    </w:p>
    <w:p>
      <w:pPr>
        <w:jc w:val="both"/>
        <w:ind w:firstLine="8"/>
        <w:spacing w:after="0" w:line="273" w:lineRule="auto"/>
        <w:tabs>
          <w:tab w:leader="none" w:pos="255"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there shall not have occurred any change in law affecting the validity or enforceability of such Security. I have also assumed that none of the terms of any Security to be established subsequent to the date hereof, nor the issuance and delivery of such Security, nor the compliance by the Company with the terms of such Security will violate any applicable law or public policy or will result in a violation of any provision of any instrument or agreement then binding upon the Company, or any restriction imposed by any court or governmental body having jurisdiction over the Company.</w:t>
      </w:r>
    </w:p>
    <w:p>
      <w:pPr>
        <w:spacing w:after="0" w:line="177"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 hereby consent to the filing of this opinion as an exhibit to the Registration Statement referred to above and further consent to the reference to my name under the caption “Legal Matters” in the prospectus, which is a part of the Registration Statement. In giving this consent, I do not admit that I am in the category of persons whose consent is required under Section 7 of the Securities Act.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9906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9060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Arthur R. Block</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73" w:name="page74"/>
    <w:bookmarkEnd w:id="73"/>
    <w:p>
      <w:pPr>
        <w:ind w:left="10580"/>
        <w:spacing w:after="0"/>
        <w:rPr>
          <w:sz w:val="20"/>
          <w:szCs w:val="20"/>
          <w:color w:val="auto"/>
        </w:rPr>
      </w:pPr>
      <w:r>
        <w:rPr>
          <w:rFonts w:ascii="Arial" w:cs="Arial" w:eastAsia="Arial" w:hAnsi="Arial"/>
          <w:sz w:val="16"/>
          <w:szCs w:val="16"/>
          <w:b w:val="1"/>
          <w:bCs w:val="1"/>
          <w:color w:val="auto"/>
        </w:rPr>
        <w:t>Exhibit 5.2</w:t>
      </w:r>
    </w:p>
    <w:p>
      <w:pPr>
        <w:sectPr>
          <w:pgSz w:w="11900" w:h="16838" w:orient="portrait"/>
          <w:cols w:equalWidth="0" w:num="1">
            <w:col w:w="11420"/>
          </w:cols>
          <w:pgMar w:left="240" w:top="121" w:right="239" w:bottom="1440" w:gutter="0" w:footer="0" w:header="0"/>
        </w:sectPr>
      </w:pPr>
    </w:p>
    <w:p>
      <w:pPr>
        <w:spacing w:after="0" w:line="275"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Menlo Park</w:t>
      </w:r>
    </w:p>
    <w:p>
      <w:pPr>
        <w:spacing w:after="0" w:line="9" w:lineRule="exact"/>
        <w:rPr>
          <w:sz w:val="20"/>
          <w:szCs w:val="20"/>
          <w:color w:val="auto"/>
        </w:rPr>
      </w:pPr>
    </w:p>
    <w:p>
      <w:pPr>
        <w:ind w:left="8120"/>
        <w:spacing w:after="0"/>
        <w:rPr>
          <w:sz w:val="20"/>
          <w:szCs w:val="20"/>
          <w:color w:val="auto"/>
        </w:rPr>
      </w:pPr>
      <w:r>
        <w:rPr>
          <w:rFonts w:ascii="Arial" w:cs="Arial" w:eastAsia="Arial" w:hAnsi="Arial"/>
          <w:sz w:val="16"/>
          <w:szCs w:val="16"/>
          <w:b w:val="1"/>
          <w:bCs w:val="1"/>
          <w:color w:val="auto"/>
        </w:rPr>
        <w:t>Washington DC</w:t>
      </w:r>
    </w:p>
    <w:p>
      <w:pPr>
        <w:spacing w:after="0" w:line="32"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363345" cy="2489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63345"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0"/>
          <w:szCs w:val="20"/>
          <w:color w:val="auto"/>
        </w:rPr>
      </w:pPr>
    </w:p>
    <w:p>
      <w:pPr>
        <w:sectPr>
          <w:pgSz w:w="11900" w:h="16838" w:orient="portrait"/>
          <w:cols w:equalWidth="0" w:num="2">
            <w:col w:w="9360" w:space="460"/>
            <w:col w:w="1600"/>
          </w:cols>
          <w:pgMar w:left="240" w:top="121" w:right="23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5"/>
                <w:szCs w:val="15"/>
                <w:color w:val="auto"/>
              </w:rPr>
              <w:t>LLP</w:t>
            </w:r>
          </w:p>
        </w:tc>
        <w:tc>
          <w:tcPr>
            <w:tcW w:w="1560" w:type="dxa"/>
            <w:vAlign w:val="bottom"/>
          </w:tcPr>
          <w:p>
            <w:pPr>
              <w:ind w:left="300"/>
              <w:spacing w:after="0"/>
              <w:rPr>
                <w:sz w:val="20"/>
                <w:szCs w:val="20"/>
                <w:color w:val="auto"/>
              </w:rPr>
            </w:pPr>
            <w:r>
              <w:rPr>
                <w:rFonts w:ascii="Arial" w:cs="Arial" w:eastAsia="Arial" w:hAnsi="Arial"/>
                <w:sz w:val="18"/>
                <w:szCs w:val="18"/>
                <w:color w:val="auto"/>
                <w:w w:val="92"/>
              </w:rPr>
              <w:t>212 450 4000 tel</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450 Lexington Avenue</w:t>
            </w:r>
          </w:p>
        </w:tc>
        <w:tc>
          <w:tcPr>
            <w:tcW w:w="1560" w:type="dxa"/>
            <w:vAlign w:val="bottom"/>
          </w:tcPr>
          <w:p>
            <w:pPr>
              <w:ind w:left="300"/>
              <w:spacing w:after="0"/>
              <w:rPr>
                <w:sz w:val="20"/>
                <w:szCs w:val="20"/>
                <w:color w:val="auto"/>
              </w:rPr>
            </w:pPr>
            <w:r>
              <w:rPr>
                <w:rFonts w:ascii="Arial" w:cs="Arial" w:eastAsia="Arial" w:hAnsi="Arial"/>
                <w:sz w:val="18"/>
                <w:szCs w:val="18"/>
                <w:color w:val="auto"/>
                <w:w w:val="89"/>
              </w:rPr>
              <w:t>212 701 5800 fax</w:t>
            </w: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New York, NY 10017</w:t>
            </w:r>
          </w:p>
        </w:tc>
        <w:tc>
          <w:tcPr>
            <w:tcW w:w="1560" w:type="dxa"/>
            <w:vAlign w:val="bottom"/>
          </w:tcPr>
          <w:p>
            <w:pPr>
              <w:spacing w:after="0"/>
              <w:rPr>
                <w:sz w:val="20"/>
                <w:szCs w:val="20"/>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November 23,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Comcast Corporation, a Pennsylvania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is filing with the Securities and Exchange Commission a Post-Effective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Amendment No. 2 to the Registration Statement (File No. 333-191239) on 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 purpose of registering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offer and sale of (i) shares of the Company’s Class A Common Stock, par value $0.01 per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 (the “</w:t>
      </w:r>
      <w:r>
        <w:rPr>
          <w:rFonts w:ascii="Arial" w:cs="Arial" w:eastAsia="Arial" w:hAnsi="Arial"/>
          <w:sz w:val="17"/>
          <w:szCs w:val="17"/>
          <w:b w:val="1"/>
          <w:bCs w:val="1"/>
          <w:color w:val="auto"/>
        </w:rPr>
        <w:t>Class A Common Stock</w:t>
      </w:r>
      <w:r>
        <w:rPr>
          <w:rFonts w:ascii="Arial" w:cs="Arial" w:eastAsia="Arial" w:hAnsi="Arial"/>
          <w:sz w:val="17"/>
          <w:szCs w:val="17"/>
          <w:color w:val="auto"/>
        </w:rPr>
        <w:t>”); (ii) shares of the Company’s Class A Special Common Stock, par value $0.01 per share (the “Class A Special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(iii) shares of the Company’s preferred stock, without par value (the “</w:t>
      </w:r>
      <w:r>
        <w:rPr>
          <w:rFonts w:ascii="Arial" w:cs="Arial" w:eastAsia="Arial" w:hAnsi="Arial"/>
          <w:sz w:val="16"/>
          <w:szCs w:val="16"/>
          <w:b w:val="1"/>
          <w:bCs w:val="1"/>
          <w:color w:val="auto"/>
        </w:rPr>
        <w:t>Preferred Stock</w:t>
      </w:r>
      <w:r>
        <w:rPr>
          <w:rFonts w:ascii="Arial" w:cs="Arial" w:eastAsia="Arial" w:hAnsi="Arial"/>
          <w:sz w:val="16"/>
          <w:szCs w:val="16"/>
          <w:color w:val="auto"/>
        </w:rPr>
        <w:t>”); (iv) the Company’s senior debt securities (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 Securities</w:t>
      </w:r>
      <w:r>
        <w:rPr>
          <w:rFonts w:ascii="Arial" w:cs="Arial" w:eastAsia="Arial" w:hAnsi="Arial"/>
          <w:sz w:val="17"/>
          <w:szCs w:val="17"/>
          <w:color w:val="auto"/>
        </w:rPr>
        <w:t>”) which may be fully and unconditionally guaranteed by each of NBCUniversal Media, LLC and Comcast Cable Communications, LLC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(together, the “</w:t>
      </w:r>
      <w:r>
        <w:rPr>
          <w:rFonts w:ascii="Arial" w:cs="Arial" w:eastAsia="Arial" w:hAnsi="Arial"/>
          <w:sz w:val="16"/>
          <w:szCs w:val="16"/>
          <w:b w:val="1"/>
          <w:bCs w:val="1"/>
          <w:color w:val="auto"/>
        </w:rPr>
        <w:t>Guarantors</w:t>
      </w:r>
      <w:r>
        <w:rPr>
          <w:rFonts w:ascii="Arial" w:cs="Arial" w:eastAsia="Arial" w:hAnsi="Arial"/>
          <w:sz w:val="16"/>
          <w:szCs w:val="16"/>
          <w:color w:val="auto"/>
        </w:rPr>
        <w:t>”), and which may be issued pursuant to an indenture dated as of September 18, 2013, as amended and supplemented from time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(the “</w:t>
      </w:r>
      <w:r>
        <w:rPr>
          <w:rFonts w:ascii="Arial" w:cs="Arial" w:eastAsia="Arial" w:hAnsi="Arial"/>
          <w:sz w:val="16"/>
          <w:szCs w:val="16"/>
          <w:b w:val="1"/>
          <w:bCs w:val="1"/>
          <w:color w:val="auto"/>
        </w:rPr>
        <w:t>Indenture</w:t>
      </w:r>
      <w:r>
        <w:rPr>
          <w:rFonts w:ascii="Arial" w:cs="Arial" w:eastAsia="Arial" w:hAnsi="Arial"/>
          <w:sz w:val="16"/>
          <w:szCs w:val="16"/>
          <w:color w:val="auto"/>
        </w:rPr>
        <w:t>”), among the Company, the Guarantors and The Bank of New York Mellon, as Trustee; (v) warrants of the Company (the “</w:t>
      </w:r>
      <w:r>
        <w:rPr>
          <w:rFonts w:ascii="Arial" w:cs="Arial" w:eastAsia="Arial" w:hAnsi="Arial"/>
          <w:sz w:val="16"/>
          <w:szCs w:val="16"/>
          <w:b w:val="1"/>
          <w:bCs w:val="1"/>
          <w:color w:val="auto"/>
        </w:rPr>
        <w:t>Warrants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may be issued under one or more warrant agreements (each, a “</w:t>
      </w:r>
      <w:r>
        <w:rPr>
          <w:rFonts w:ascii="Arial" w:cs="Arial" w:eastAsia="Arial" w:hAnsi="Arial"/>
          <w:sz w:val="16"/>
          <w:szCs w:val="16"/>
          <w:b w:val="1"/>
          <w:bCs w:val="1"/>
          <w:color w:val="auto"/>
        </w:rPr>
        <w:t>Warrant Agreement</w:t>
      </w:r>
      <w:r>
        <w:rPr>
          <w:rFonts w:ascii="Arial" w:cs="Arial" w:eastAsia="Arial" w:hAnsi="Arial"/>
          <w:sz w:val="16"/>
          <w:szCs w:val="16"/>
          <w:color w:val="auto"/>
        </w:rPr>
        <w:t>”) to be entered into between the Company and the warrant agent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be named therein; (vi) purchase contracts (the “</w:t>
      </w:r>
      <w:r>
        <w:rPr>
          <w:rFonts w:ascii="Arial" w:cs="Arial" w:eastAsia="Arial" w:hAnsi="Arial"/>
          <w:sz w:val="16"/>
          <w:szCs w:val="16"/>
          <w:b w:val="1"/>
          <w:bCs w:val="1"/>
          <w:color w:val="auto"/>
        </w:rPr>
        <w:t>Purchase Contracts</w:t>
      </w:r>
      <w:r>
        <w:rPr>
          <w:rFonts w:ascii="Arial" w:cs="Arial" w:eastAsia="Arial" w:hAnsi="Arial"/>
          <w:sz w:val="16"/>
          <w:szCs w:val="16"/>
          <w:color w:val="auto"/>
        </w:rPr>
        <w:t>”) which may be issued under one or more purchase contract agreements (each,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 Contract Agreement</w:t>
      </w:r>
      <w:r>
        <w:rPr>
          <w:rFonts w:ascii="Arial" w:cs="Arial" w:eastAsia="Arial" w:hAnsi="Arial"/>
          <w:sz w:val="16"/>
          <w:szCs w:val="16"/>
          <w:color w:val="auto"/>
        </w:rPr>
        <w:t>”) to be entered into between the Company and the purchase contract agent to be named therein (the “</w:t>
      </w:r>
      <w:r>
        <w:rPr>
          <w:rFonts w:ascii="Arial" w:cs="Arial" w:eastAsia="Arial" w:hAnsi="Arial"/>
          <w:sz w:val="16"/>
          <w:szCs w:val="16"/>
          <w:b w:val="1"/>
          <w:bCs w:val="1"/>
          <w:color w:val="auto"/>
        </w:rPr>
        <w:t>Purchase Contract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Agent”</w:t>
      </w:r>
      <w:r>
        <w:rPr>
          <w:rFonts w:ascii="Arial" w:cs="Arial" w:eastAsia="Arial" w:hAnsi="Arial"/>
          <w:sz w:val="16"/>
          <w:szCs w:val="16"/>
          <w:color w:val="auto"/>
        </w:rPr>
        <w:t>) requiring the holders thereof to purchase or sell (A) the Company’s securities or securities of an entity unaffiliated or affiliated with the Company,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basket of such securities, an index or indices of such securities or any combination of the above, (B) currencies or composite currencies or (C) commodities;</w:t>
      </w:r>
    </w:p>
    <w:p>
      <w:pPr>
        <w:spacing w:after="0" w:line="32" w:lineRule="exact"/>
        <w:rPr>
          <w:sz w:val="20"/>
          <w:szCs w:val="20"/>
          <w:color w:val="auto"/>
        </w:rPr>
      </w:pPr>
    </w:p>
    <w:p>
      <w:pPr>
        <w:ind w:firstLine="8"/>
        <w:spacing w:after="0" w:line="292" w:lineRule="auto"/>
        <w:tabs>
          <w:tab w:leader="none" w:pos="355"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units (the </w:t>
      </w:r>
      <w:r>
        <w:rPr>
          <w:rFonts w:ascii="Arial" w:cs="Arial" w:eastAsia="Arial" w:hAnsi="Arial"/>
          <w:sz w:val="16"/>
          <w:szCs w:val="16"/>
          <w:b w:val="1"/>
          <w:bCs w:val="1"/>
          <w:color w:val="auto"/>
        </w:rPr>
        <w:t>“Units”</w:t>
      </w:r>
      <w:r>
        <w:rPr>
          <w:rFonts w:ascii="Arial" w:cs="Arial" w:eastAsia="Arial" w:hAnsi="Arial"/>
          <w:sz w:val="16"/>
          <w:szCs w:val="16"/>
          <w:color w:val="auto"/>
        </w:rPr>
        <w:t>) consisting of Debt Securities, Warrants, Purchase Contracts, Preferred Stock, Class A Common Stock or Class A Special Common Stock or any combination of the foregoing to be issued under one or more unit agreements to be entered into among the Company, a bank or trust company, as unit agent (the “</w:t>
      </w:r>
      <w:r>
        <w:rPr>
          <w:rFonts w:ascii="Arial" w:cs="Arial" w:eastAsia="Arial" w:hAnsi="Arial"/>
          <w:sz w:val="16"/>
          <w:szCs w:val="16"/>
          <w:b w:val="1"/>
          <w:bCs w:val="1"/>
          <w:color w:val="auto"/>
        </w:rPr>
        <w:t>Unit Agent</w:t>
      </w:r>
      <w:r>
        <w:rPr>
          <w:rFonts w:ascii="Arial" w:cs="Arial" w:eastAsia="Arial" w:hAnsi="Arial"/>
          <w:sz w:val="16"/>
          <w:szCs w:val="16"/>
          <w:color w:val="auto"/>
        </w:rPr>
        <w:t>”), and the holders from time to time of the Units (each such unit agreement, a “</w:t>
      </w:r>
      <w:r>
        <w:rPr>
          <w:rFonts w:ascii="Arial" w:cs="Arial" w:eastAsia="Arial" w:hAnsi="Arial"/>
          <w:sz w:val="16"/>
          <w:szCs w:val="16"/>
          <w:b w:val="1"/>
          <w:bCs w:val="1"/>
          <w:color w:val="auto"/>
        </w:rPr>
        <w:t>Unit Agreement”</w:t>
      </w:r>
      <w:r>
        <w:rPr>
          <w:rFonts w:ascii="Arial" w:cs="Arial" w:eastAsia="Arial" w:hAnsi="Arial"/>
          <w:sz w:val="16"/>
          <w:szCs w:val="16"/>
          <w:color w:val="auto"/>
        </w:rPr>
        <w:t>); (viii) guarantees (the “</w:t>
      </w:r>
      <w:r>
        <w:rPr>
          <w:rFonts w:ascii="Arial" w:cs="Arial" w:eastAsia="Arial" w:hAnsi="Arial"/>
          <w:sz w:val="16"/>
          <w:szCs w:val="16"/>
          <w:b w:val="1"/>
          <w:bCs w:val="1"/>
          <w:color w:val="auto"/>
        </w:rPr>
        <w:t>Guarantees</w:t>
      </w:r>
      <w:r>
        <w:rPr>
          <w:rFonts w:ascii="Arial" w:cs="Arial" w:eastAsia="Arial" w:hAnsi="Arial"/>
          <w:sz w:val="16"/>
          <w:szCs w:val="16"/>
          <w:color w:val="auto"/>
        </w:rPr>
        <w:t xml:space="preserve">”) of the Debt Securities by the Guarantors, to be issued under the Indenture; and (ix) guarantees (the </w:t>
      </w:r>
      <w:r>
        <w:rPr>
          <w:rFonts w:ascii="Arial" w:cs="Arial" w:eastAsia="Arial" w:hAnsi="Arial"/>
          <w:sz w:val="16"/>
          <w:szCs w:val="16"/>
          <w:b w:val="1"/>
          <w:bCs w:val="1"/>
          <w:color w:val="auto"/>
        </w:rPr>
        <w:t>“Additional Guarantees”</w:t>
      </w:r>
      <w:r>
        <w:rPr>
          <w:rFonts w:ascii="Arial" w:cs="Arial" w:eastAsia="Arial" w:hAnsi="Arial"/>
          <w:sz w:val="16"/>
          <w:szCs w:val="16"/>
          <w:color w:val="auto"/>
        </w:rPr>
        <w:t>) of Warrants, Purchase Contracts and Units or any combination of the foregoing by the Guarantors to be issued under one or more guarantee agreements</w:t>
      </w:r>
    </w:p>
    <w:p>
      <w:pPr>
        <w:sectPr>
          <w:pgSz w:w="11900" w:h="16838" w:orient="portrait"/>
          <w:cols w:equalWidth="0" w:num="1">
            <w:col w:w="11420"/>
          </w:cols>
          <w:pgMar w:left="240" w:top="121" w:right="239" w:bottom="1440" w:gutter="0" w:footer="0" w:header="0"/>
          <w:type w:val="continuous"/>
        </w:sectPr>
      </w:pPr>
    </w:p>
    <w:bookmarkStart w:id="74" w:name="page75"/>
    <w:bookmarkEnd w:id="74"/>
    <w:p>
      <w:pPr>
        <w:spacing w:after="0"/>
        <w:tabs>
          <w:tab w:leader="none" w:pos="5900" w:val="left"/>
          <w:tab w:leader="none" w:pos="9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November 23, 2015</w:t>
      </w:r>
    </w:p>
    <w:p>
      <w:pPr>
        <w:spacing w:after="0" w:line="12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(each, a “</w:t>
      </w:r>
      <w:r>
        <w:rPr>
          <w:rFonts w:ascii="Arial" w:cs="Arial" w:eastAsia="Arial" w:hAnsi="Arial"/>
          <w:sz w:val="18"/>
          <w:szCs w:val="18"/>
          <w:b w:val="1"/>
          <w:bCs w:val="1"/>
          <w:color w:val="auto"/>
        </w:rPr>
        <w:t>Guarantee Agreement</w:t>
      </w:r>
      <w:r>
        <w:rPr>
          <w:rFonts w:ascii="Arial" w:cs="Arial" w:eastAsia="Arial" w:hAnsi="Arial"/>
          <w:sz w:val="18"/>
          <w:szCs w:val="18"/>
          <w:color w:val="auto"/>
        </w:rPr>
        <w:t xml:space="preserve">” to be entered into by the Guarantors). The Debt Securities, Preferred Stock, Class A Common Stock, Class A Special Common Stock, Warrants, Purchase Contracts, Units, Guarantees and Additional Guarantees are herein collectively referred to as the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The Debt Securities and the Preferred Stock may be convertible and/or exchangeable for Securities or other securities or rights. The Company may offer Depositary Shares (the </w:t>
      </w:r>
      <w:r>
        <w:rPr>
          <w:rFonts w:ascii="Arial" w:cs="Arial" w:eastAsia="Arial" w:hAnsi="Arial"/>
          <w:sz w:val="18"/>
          <w:szCs w:val="18"/>
          <w:b w:val="1"/>
          <w:bCs w:val="1"/>
          <w:color w:val="auto"/>
        </w:rPr>
        <w:t>“Depositary Shares”</w:t>
      </w:r>
      <w:r>
        <w:rPr>
          <w:rFonts w:ascii="Arial" w:cs="Arial" w:eastAsia="Arial" w:hAnsi="Arial"/>
          <w:sz w:val="18"/>
          <w:szCs w:val="18"/>
          <w:color w:val="auto"/>
        </w:rPr>
        <w:t>) representing interests in Preferred Stock deposited with a Depositary and evidenced by Depositary Receipts, and such Depositary Shares are also covered by the Registration Statement.</w:t>
      </w:r>
    </w:p>
    <w:p>
      <w:pPr>
        <w:spacing w:after="0" w:line="18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w:t>
      </w:r>
    </w:p>
    <w:p>
      <w:pPr>
        <w:ind w:right="160" w:firstLine="8"/>
        <w:spacing w:after="0" w:line="255"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natural persons executing documents had and have the legal capacity to do so, (vi) all statements in certificates of public officials and officers of the Company and the Guarantors that we reviewed were and are accurate and (vii) all representations made by the Company and the Guarantors as to matters of fact in the documents that we reviewed were and are accurate.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additional assumptions and qualifications set forth below, we advise you that, in our opinion:</w:t>
      </w:r>
    </w:p>
    <w:p>
      <w:pPr>
        <w:spacing w:after="0" w:line="131" w:lineRule="exact"/>
        <w:rPr>
          <w:sz w:val="20"/>
          <w:szCs w:val="20"/>
          <w:color w:val="auto"/>
        </w:rPr>
      </w:pPr>
    </w:p>
    <w:p>
      <w:pPr>
        <w:ind w:left="900" w:right="80" w:hanging="446"/>
        <w:spacing w:after="0" w:line="270"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Assuming the Indenture and any amendment or supplement thereto has been duly authorized, executed and delivered by the Trustee and the Company, and when any supplemental indenture to be entered into in connection with the issuance of any Debt Securities has been duly authorized, executed and delivered by the Trustee, the Company and, if applicable, the Guarantors; the specific terms of a particular series of Debt Securities and the related Guarantees have been duly authorized and established in accordance with the Indenture; and such Debt Securities and the related Guarantees have been duly authorized, executed, authenticated, issued and delivered in accordance with the Indenture and the applicable underwriting or other agreement against payment therefor, such Debt Securities will constitute valid and binding obligations of the Company and each of the related Guarantees will constitute valid and binding obligations of each respective Guarantor, enforceable in accordance with their terms, subject to applicable bankruptcy, insolvency and similar laws affecting creditors’ rights generally, concepts of reasonableness and equitable principles of general applicability.</w:t>
      </w:r>
    </w:p>
    <w:p>
      <w:pPr>
        <w:spacing w:after="0" w:line="87" w:lineRule="exact"/>
        <w:rPr>
          <w:rFonts w:ascii="Arial" w:cs="Arial" w:eastAsia="Arial" w:hAnsi="Arial"/>
          <w:sz w:val="17"/>
          <w:szCs w:val="17"/>
          <w:color w:val="auto"/>
        </w:rPr>
      </w:pPr>
    </w:p>
    <w:p>
      <w:pPr>
        <w:ind w:left="900" w:right="70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When the Warrant Agreement to be entered into in connection with the issuance of any Warrants has been duly authorized, executed and delivered by the Warrant Agent and the Company; the specific terms of the Warrants</w:t>
      </w:r>
    </w:p>
    <w:p>
      <w:pPr>
        <w:sectPr>
          <w:pgSz w:w="11900" w:h="16838" w:orient="portrait"/>
          <w:cols w:equalWidth="0" w:num="1">
            <w:col w:w="11420"/>
          </w:cols>
          <w:pgMar w:left="240" w:top="422" w:right="239" w:bottom="1440" w:gutter="0" w:footer="0" w:header="0"/>
        </w:sectPr>
      </w:pPr>
    </w:p>
    <w:bookmarkStart w:id="75" w:name="page76"/>
    <w:bookmarkEnd w:id="75"/>
    <w:p>
      <w:pPr>
        <w:spacing w:after="0"/>
        <w:tabs>
          <w:tab w:leader="none" w:pos="5900" w:val="left"/>
          <w:tab w:leader="none" w:pos="9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November 23, 2015</w:t>
      </w:r>
    </w:p>
    <w:p>
      <w:pPr>
        <w:sectPr>
          <w:pgSz w:w="11900" w:h="16838" w:orient="portrait"/>
          <w:cols w:equalWidth="0" w:num="1">
            <w:col w:w="11420"/>
          </w:cols>
          <w:pgMar w:left="240" w:top="422" w:right="239" w:bottom="1440" w:gutter="0" w:footer="0" w:header="0"/>
        </w:sectPr>
      </w:pPr>
    </w:p>
    <w:p>
      <w:pPr>
        <w:spacing w:after="0" w:line="131" w:lineRule="exact"/>
        <w:rPr>
          <w:sz w:val="20"/>
          <w:szCs w:val="20"/>
          <w:color w:val="auto"/>
        </w:rPr>
      </w:pPr>
    </w:p>
    <w:p>
      <w:pPr>
        <w:ind w:left="920" w:right="200"/>
        <w:spacing w:after="0" w:line="257" w:lineRule="auto"/>
        <w:rPr>
          <w:sz w:val="20"/>
          <w:szCs w:val="20"/>
          <w:color w:val="auto"/>
        </w:rPr>
      </w:pPr>
      <w:r>
        <w:rPr>
          <w:rFonts w:ascii="Arial" w:cs="Arial" w:eastAsia="Arial" w:hAnsi="Arial"/>
          <w:sz w:val="18"/>
          <w:szCs w:val="18"/>
          <w:color w:val="auto"/>
        </w:rPr>
        <w:t>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94" w:lineRule="exact"/>
        <w:rPr>
          <w:sz w:val="20"/>
          <w:szCs w:val="20"/>
          <w:color w:val="auto"/>
        </w:rPr>
      </w:pPr>
    </w:p>
    <w:p>
      <w:pPr>
        <w:ind w:left="900" w:right="260" w:hanging="446"/>
        <w:spacing w:after="0" w:line="255"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When the Guarantee Agreement to be entered into in connection with the issuance of any Additional Guarantees has been duly authorized, executed and delivered by the Guarantors and any agent party thereto; the Additional Guarantees have been duly authorized and established in accordance with the Guarantee Agreement; and such Additional Guarantees have been duly authorized, executed, issued and delivered in accordance with the Guarantee Agreement and the applicable underwriting or other agreement against payment therefor, such Additional Guarantees will constitute valid and binding obligations of the applicable Guarantors, enforceable in accordance with their terms, subject to applicable bankruptcy, insolvency and similar laws affecting creditors’ rights generally, concepts of reasonableness and equitable principles of general applicability.</w:t>
      </w:r>
    </w:p>
    <w:p>
      <w:pPr>
        <w:spacing w:after="0" w:line="94" w:lineRule="exact"/>
        <w:rPr>
          <w:rFonts w:ascii="Arial" w:cs="Arial" w:eastAsia="Arial" w:hAnsi="Arial"/>
          <w:sz w:val="18"/>
          <w:szCs w:val="18"/>
          <w:color w:val="auto"/>
        </w:rPr>
      </w:pPr>
    </w:p>
    <w:p>
      <w:pPr>
        <w:ind w:left="900" w:right="20" w:hanging="446"/>
        <w:spacing w:after="0" w:line="255"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When the Purchase Contract Agreement to be entered into in connection with the issuance of any Purchase Contracts has been duly authorized, executed and delivered by the Purchase Contract Agent and the Company; the specific terms of the Purchase Contracts have been duly authorized and established in accordance with the Purchase Contract Agreement; and such Purchase Contracts have been duly authorized, executed, issued and delivered in accordance with the Purchase Contract Agreement and the applicable underwriting or other agreement against payment therefor, such Purchase Contracts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94" w:lineRule="exact"/>
        <w:rPr>
          <w:rFonts w:ascii="Arial" w:cs="Arial" w:eastAsia="Arial" w:hAnsi="Arial"/>
          <w:sz w:val="18"/>
          <w:szCs w:val="18"/>
          <w:color w:val="auto"/>
        </w:rPr>
      </w:pPr>
    </w:p>
    <w:p>
      <w:pPr>
        <w:ind w:left="900" w:right="100" w:hanging="446"/>
        <w:spacing w:after="0" w:line="273"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ectPr>
          <w:pgSz w:w="11900" w:h="16838" w:orient="portrait"/>
          <w:cols w:equalWidth="0" w:num="1">
            <w:col w:w="11420"/>
          </w:cols>
          <w:pgMar w:left="240" w:top="422" w:right="239" w:bottom="1440" w:gutter="0" w:footer="0" w:header="0"/>
          <w:type w:val="continuous"/>
        </w:sectPr>
      </w:pPr>
    </w:p>
    <w:bookmarkStart w:id="76" w:name="page77"/>
    <w:bookmarkEnd w:id="76"/>
    <w:p>
      <w:pPr>
        <w:spacing w:after="0"/>
        <w:tabs>
          <w:tab w:leader="none" w:pos="5900" w:val="left"/>
          <w:tab w:leader="none" w:pos="9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November 23, 2015</w:t>
      </w:r>
    </w:p>
    <w:p>
      <w:pPr>
        <w:spacing w:after="0" w:line="13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In connection with the opinions expressed above, we have assumed that, at or prior to the time of the delivery of any such Security, (i) the Board of Directors or, in the case of a limited liability company, the managing member, shall have duly established the terms of such Security and duly authorized the issuance and sale of such Security and such authorization shall not have been modified or rescinded; (ii) the Company is, and shall remain, and each of the Guarantors shall remain, validly existing and in good standing under the laws of the Commonwealth of Pennsylvania or the State of Delaware, as applicable;</w:t>
      </w:r>
    </w:p>
    <w:p>
      <w:pPr>
        <w:spacing w:after="0" w:line="2" w:lineRule="exact"/>
        <w:rPr>
          <w:sz w:val="20"/>
          <w:szCs w:val="20"/>
          <w:color w:val="auto"/>
        </w:rPr>
      </w:pPr>
    </w:p>
    <w:p>
      <w:pPr>
        <w:ind w:left="320" w:hanging="312"/>
        <w:spacing w:after="0"/>
        <w:tabs>
          <w:tab w:leader="none" w:pos="3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Registration Statement shall have become effective pursuant to Rule 462(e) and such effectiveness shall not have been terminated or rescinded;</w:t>
      </w:r>
    </w:p>
    <w:p>
      <w:pPr>
        <w:spacing w:after="0" w:line="32" w:lineRule="exact"/>
        <w:rPr>
          <w:rFonts w:ascii="Arial" w:cs="Arial" w:eastAsia="Arial" w:hAnsi="Arial"/>
          <w:sz w:val="16"/>
          <w:szCs w:val="16"/>
          <w:color w:val="auto"/>
        </w:rPr>
      </w:pPr>
    </w:p>
    <w:p>
      <w:pPr>
        <w:ind w:right="380" w:firstLine="8"/>
        <w:spacing w:after="0" w:line="281" w:lineRule="auto"/>
        <w:tabs>
          <w:tab w:leader="none" w:pos="30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Indenture, the Debt Securities, the Warrant Agreement, the Purchase Contract Agreement, the Unit Agreement and the Guarantees are each valid, binding and enforceable agreements of each party thereto (other than as expressly covered above in respect of the Company and each Guarantor); and</w:t>
      </w:r>
    </w:p>
    <w:p>
      <w:pPr>
        <w:spacing w:after="0" w:line="1" w:lineRule="exact"/>
        <w:rPr>
          <w:rFonts w:ascii="Arial" w:cs="Arial" w:eastAsia="Arial" w:hAnsi="Arial"/>
          <w:sz w:val="16"/>
          <w:szCs w:val="16"/>
          <w:color w:val="auto"/>
        </w:rPr>
      </w:pPr>
    </w:p>
    <w:p>
      <w:pPr>
        <w:ind w:right="40" w:firstLine="8"/>
        <w:spacing w:after="0" w:line="252" w:lineRule="auto"/>
        <w:tabs>
          <w:tab w:leader="none" w:pos="2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there shall not have occurred any change in law affecting the validity or enforceability of such Security. We have also assumed that the execution, delivery and performance by the Company or any Guarantor of any Security whose terms are established subsequent to the date hereof (a) are within their corporate powers, (b) do not contravene, or constitute a default under, the certificate of incorporation or bylaws or other constitutive documents of the Company or any Guarantor,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the Company or any Guarantor.</w:t>
      </w:r>
    </w:p>
    <w:p>
      <w:pPr>
        <w:spacing w:after="0" w:line="194"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are members of the Bars of the States of New York and California and the foregoing opinion is limited to the laws and the published cases of the State of New York and the General Corporation Law of the State of Delaware.</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709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12.2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Statement Regarding Computation of Ratio of Earnings to Fixed Charges and Ratio of Earnings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Combined Fixed Charges and Preferred Dividends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1008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8"/>
        </w:trPr>
        <w:tc>
          <w:tcPr>
            <w:tcW w:w="1008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73"/>
              <w:spacing w:after="0" w:line="158"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9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0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Computation of Earnings:</w:t>
            </w:r>
            <w:r>
              <w:rPr>
                <w:rFonts w:ascii="Arial" w:cs="Arial" w:eastAsia="Arial" w:hAnsi="Arial"/>
                <w:sz w:val="15"/>
                <w:szCs w:val="15"/>
                <w:b w:val="1"/>
                <w:bCs w:val="1"/>
                <w:color w:val="auto"/>
              </w:rPr>
              <w:t>(1)</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60" w:type="dxa"/>
            <w:vAlign w:val="bottom"/>
            <w:gridSpan w:val="2"/>
          </w:tcPr>
          <w:p>
            <w:pPr>
              <w:spacing w:after="0" w:line="201" w:lineRule="exact"/>
              <w:rPr>
                <w:sz w:val="20"/>
                <w:szCs w:val="20"/>
                <w:color w:val="auto"/>
              </w:rPr>
            </w:pPr>
            <w:r>
              <w:rPr>
                <w:rFonts w:ascii="Arial" w:cs="Arial" w:eastAsia="Arial" w:hAnsi="Arial"/>
                <w:sz w:val="18"/>
                <w:szCs w:val="18"/>
                <w:color w:val="auto"/>
                <w:w w:val="94"/>
              </w:rPr>
              <w:t>Pretax income from continuing operations before adjustment for noncontrolling interests in consolidated subsidiaries or income or loss</w:t>
            </w:r>
          </w:p>
        </w:tc>
        <w:tc>
          <w:tcPr>
            <w:tcW w:w="50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10,356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60" w:type="dxa"/>
            <w:vAlign w:val="bottom"/>
            <w:gridSpan w:val="2"/>
          </w:tcPr>
          <w:p>
            <w:pPr>
              <w:ind w:left="160"/>
              <w:spacing w:after="0"/>
              <w:rPr>
                <w:sz w:val="20"/>
                <w:szCs w:val="20"/>
                <w:color w:val="auto"/>
              </w:rPr>
            </w:pPr>
            <w:r>
              <w:rPr>
                <w:rFonts w:ascii="Arial" w:cs="Arial" w:eastAsia="Arial" w:hAnsi="Arial"/>
                <w:sz w:val="18"/>
                <w:szCs w:val="18"/>
                <w:color w:val="auto"/>
              </w:rPr>
              <w:t>from equity investees</w:t>
            </w:r>
          </w:p>
        </w:tc>
        <w:tc>
          <w:tcPr>
            <w:tcW w:w="50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Distributed income of equity investees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Capitalized interest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Less: Preference security dividend requirements of consolidated subsidiaries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9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Earnings</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12,595</w:t>
            </w:r>
          </w:p>
        </w:tc>
        <w:tc>
          <w:tcPr>
            <w:tcW w:w="0" w:type="dxa"/>
            <w:vAlign w:val="bottom"/>
          </w:tcPr>
          <w:p>
            <w:pPr>
              <w:spacing w:after="0"/>
              <w:rPr>
                <w:sz w:val="1"/>
                <w:szCs w:val="1"/>
                <w:color w:val="auto"/>
              </w:rPr>
            </w:pPr>
          </w:p>
        </w:tc>
      </w:tr>
      <w:tr>
        <w:trPr>
          <w:trHeight w:val="223"/>
        </w:trPr>
        <w:tc>
          <w:tcPr>
            <w:tcW w:w="10080" w:type="dxa"/>
            <w:vAlign w:val="bottom"/>
            <w:gridSpan w:val="3"/>
          </w:tcPr>
          <w:p>
            <w:pPr>
              <w:spacing w:after="0"/>
              <w:rPr>
                <w:sz w:val="20"/>
                <w:szCs w:val="20"/>
                <w:color w:val="auto"/>
              </w:rPr>
            </w:pPr>
            <w:r>
              <w:rPr>
                <w:rFonts w:ascii="Arial" w:cs="Arial" w:eastAsia="Arial" w:hAnsi="Arial"/>
                <w:sz w:val="18"/>
                <w:szCs w:val="18"/>
                <w:b w:val="1"/>
                <w:bCs w:val="1"/>
                <w:color w:val="auto"/>
              </w:rPr>
              <w:t>Computation of Fixed charges:</w:t>
            </w:r>
            <w:r>
              <w:rPr>
                <w:rFonts w:ascii="Arial" w:cs="Arial" w:eastAsia="Arial" w:hAnsi="Arial"/>
                <w:sz w:val="15"/>
                <w:szCs w:val="15"/>
                <w:b w:val="1"/>
                <w:bCs w:val="1"/>
                <w:color w:val="auto"/>
              </w:rPr>
              <w:t>(1)</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expensed and capitalized</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Amortized premiums, discounts and capitalized expenses related to indebtedness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preferred dividends in interest expense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Portion of rents representative of an interest factor</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Preference security dividend requirements of consolidated subsidiaries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168</w:t>
            </w:r>
          </w:p>
        </w:tc>
        <w:tc>
          <w:tcPr>
            <w:tcW w:w="0" w:type="dxa"/>
            <w:vAlign w:val="bottom"/>
          </w:tcPr>
          <w:p>
            <w:pPr>
              <w:spacing w:after="0"/>
              <w:rPr>
                <w:sz w:val="1"/>
                <w:szCs w:val="1"/>
                <w:color w:val="auto"/>
              </w:rPr>
            </w:pPr>
          </w:p>
        </w:tc>
      </w:tr>
      <w:tr>
        <w:trPr>
          <w:trHeight w:val="230"/>
        </w:trPr>
        <w:tc>
          <w:tcPr>
            <w:tcW w:w="10080" w:type="dxa"/>
            <w:vAlign w:val="bottom"/>
            <w:gridSpan w:val="3"/>
          </w:tcPr>
          <w:p>
            <w:pPr>
              <w:spacing w:after="0"/>
              <w:rPr>
                <w:sz w:val="20"/>
                <w:szCs w:val="20"/>
                <w:color w:val="auto"/>
              </w:rPr>
            </w:pPr>
            <w:r>
              <w:rPr>
                <w:rFonts w:ascii="Arial" w:cs="Arial" w:eastAsia="Arial" w:hAnsi="Arial"/>
                <w:sz w:val="18"/>
                <w:szCs w:val="18"/>
                <w:b w:val="1"/>
                <w:bCs w:val="1"/>
                <w:color w:val="auto"/>
              </w:rPr>
              <w:t>Total Fixed Charges</w:t>
            </w: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r>
              <w:rPr>
                <w:rFonts w:ascii="Arial" w:cs="Arial" w:eastAsia="Arial" w:hAnsi="Arial"/>
                <w:sz w:val="15"/>
                <w:szCs w:val="15"/>
                <w:b w:val="1"/>
                <w:bCs w:val="1"/>
                <w:color w:val="auto"/>
              </w:rPr>
              <w:t>(1)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5.51x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220" w:hanging="452"/>
        <w:spacing w:after="0" w:line="291"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For purposes of calculating the ratio of earnings to fixed charges, earnings is the amount resulting from (1) adding (a) pretax income from continuing operations before adjustment for noncontrolling interests in consolidated subsidiaries or income or loss from equity investees, (b) fixed charges,</w:t>
      </w:r>
    </w:p>
    <w:p>
      <w:pPr>
        <w:ind w:left="460" w:right="20"/>
        <w:spacing w:after="0" w:line="269" w:lineRule="auto"/>
        <w:rPr>
          <w:rFonts w:ascii="Arial" w:cs="Arial" w:eastAsia="Arial" w:hAnsi="Arial"/>
          <w:sz w:val="16"/>
          <w:szCs w:val="16"/>
          <w:color w:val="auto"/>
        </w:rPr>
      </w:pPr>
      <w:r>
        <w:rPr>
          <w:rFonts w:ascii="Arial" w:cs="Arial" w:eastAsia="Arial" w:hAnsi="Arial"/>
          <w:sz w:val="17"/>
          <w:szCs w:val="17"/>
          <w:color w:val="auto"/>
        </w:rPr>
        <w:t>(c)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 Interest associated with our uncertain tax positions is a component of income tax expense.</w:t>
      </w:r>
    </w:p>
    <w:p>
      <w:pPr>
        <w:sectPr>
          <w:pgSz w:w="11900" w:h="16838" w:orient="portrait"/>
          <w:cols w:equalWidth="0" w:num="1">
            <w:col w:w="11420"/>
          </w:cols>
          <w:pgMar w:left="240" w:top="12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consent to the incorporation by reference in this Post-Effective Amendment No. 2 to Registration Statement No. 333-191239 on Form S-3 of our reports dated February 27, 2015, relating to the consolidated financial statements and consolidated financial statement schedule of Comcast Corporation and the effectiveness of Comcast Corporation’s internal control over financial reporting, appearing in the Annual Report on Form 10-K of Comcast Corporation for the year ended December 31, 2014, and to the reference to us under the heading “Experts” in the Prospectus, which is part of such Registration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23, 2015</w:t>
      </w:r>
    </w:p>
    <w:p>
      <w:pPr>
        <w:sectPr>
          <w:pgSz w:w="11900" w:h="16838" w:orient="portrait"/>
          <w:cols w:equalWidth="0" w:num="1">
            <w:col w:w="11420"/>
          </w:cols>
          <w:pgMar w:left="240" w:top="12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consent to the incorporation by reference in this Post-Effective Amendment No. 2 to Registration Statement No. 333-191239-05 on Form S-3 of our reports dated February 27, 2015, relating to the consolidated financial statements and consolidated financial statement schedule of NBCUniversal Media, LLC, appearing in the Annual Report on Form 10-K of NBCUniversal Media, LLC for the year ended December 31, 2014, and to the reference to us under the heading “Experts” in the Prospectus, which is part of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23,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1)"/>
      <w:numFmt w:val="lowerLetter"/>
      <w:start w:val="3"/>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1)"/>
      <w:numFmt w:val="lowerLetter"/>
      <w:start w:val="1"/>
    </w:lvl>
  </w:abstractNum>
  <w:abstractNum w:abstractNumId="8">
    <w:nsid w:val="2463B9EA"/>
    <w:multiLevelType w:val="hybridMultilevel"/>
    <w:lvl w:ilvl="0">
      <w:lvlJc w:val="left"/>
      <w:lvlText w:val="(%1)"/>
      <w:numFmt w:val="lowerLetter"/>
      <w:start w:val="1"/>
    </w:lvl>
  </w:abstractNum>
  <w:abstractNum w:abstractNumId="9">
    <w:nsid w:val="5E884ADC"/>
    <w:multiLevelType w:val="hybridMultilevel"/>
    <w:lvl w:ilvl="0">
      <w:lvlJc w:val="left"/>
      <w:lvlText w:val="(%1)"/>
      <w:numFmt w:val="lowerLetter"/>
      <w:start w:val="1"/>
    </w:lvl>
  </w:abstractNum>
  <w:abstractNum w:abstractNumId="10">
    <w:nsid w:val="51EAD36B"/>
    <w:multiLevelType w:val="hybridMultilevel"/>
    <w:lvl w:ilvl="0">
      <w:lvlJc w:val="left"/>
      <w:lvlText w:val="(%1)"/>
      <w:numFmt w:val="lowerLetter"/>
      <w:start w:val="3"/>
    </w:lvl>
  </w:abstractNum>
  <w:abstractNum w:abstractNumId="11">
    <w:nsid w:val="2D517796"/>
    <w:multiLevelType w:val="hybridMultilevel"/>
    <w:lvl w:ilvl="0">
      <w:lvlJc w:val="left"/>
      <w:lvlText w:val="%1"/>
      <w:numFmt w:val="lowerLetter"/>
      <w:start w:val="1"/>
    </w:lvl>
    <w:lvl w:ilvl="1">
      <w:lvlJc w:val="left"/>
      <w:lvlText w:val="(%2)"/>
      <w:numFmt w:val="lowerLetter"/>
      <w:start w:val="13"/>
    </w:lvl>
  </w:abstractNum>
  <w:abstractNum w:abstractNumId="12">
    <w:nsid w:val="580BD78F"/>
    <w:multiLevelType w:val="hybridMultilevel"/>
    <w:lvl w:ilvl="0">
      <w:lvlJc w:val="left"/>
      <w:lvlText w:val="(%1)"/>
      <w:numFmt w:val="lowerLetter"/>
      <w:start w:val="61"/>
    </w:lvl>
    <w:lvl w:ilvl="1">
      <w:lvlJc w:val="left"/>
      <w:lvlText w:val="(%2)"/>
      <w:numFmt w:val="lowerLetter"/>
      <w:start w:val="19"/>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1)"/>
      <w:numFmt w:val="lowerLetter"/>
      <w:start w:val="1"/>
    </w:lvl>
  </w:abstractNum>
  <w:abstractNum w:abstractNumId="20">
    <w:nsid w:val="2CD89A32"/>
    <w:multiLevelType w:val="hybridMultilevel"/>
    <w:lvl w:ilvl="0">
      <w:lvlJc w:val="left"/>
      <w:lvlText w:val="•"/>
      <w:numFmt w:val="bullet"/>
      <w:start w:val="1"/>
    </w:lvl>
    <w:lvl w:ilvl="1">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lvl w:ilvl="1">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4">
    <w:nsid w:val="79A1DEAA"/>
    <w:multiLevelType w:val="hybridMultilevel"/>
    <w:lvl w:ilvl="0">
      <w:lvlJc w:val="left"/>
      <w:lvlText w:val="(%1)"/>
      <w:numFmt w:val="decimal"/>
      <w:start w:val="2"/>
    </w:lvl>
    <w:lvl w:ilvl="1">
      <w:lvlJc w:val="left"/>
      <w:lvlText w:val="(%2)"/>
      <w:numFmt w:val="lowerRoman"/>
      <w:start w:val="1"/>
    </w:lvl>
  </w:abstractNum>
  <w:abstractNum w:abstractNumId="35">
    <w:nsid w:val="75C6C33A"/>
    <w:multiLevelType w:val="hybridMultilevel"/>
    <w:lvl w:ilvl="0">
      <w:lvlJc w:val="left"/>
      <w:lvlText w:val="%1"/>
      <w:numFmt w:val="lowerLetter"/>
      <w:start w:val="1"/>
    </w:lvl>
    <w:lvl w:ilvl="1">
      <w:lvlJc w:val="left"/>
      <w:lvlText w:val="(%2)"/>
      <w:numFmt w:val="lowerRoman"/>
      <w:start w:val="1"/>
    </w:lvl>
  </w:abstractNum>
  <w:abstractNum w:abstractNumId="36">
    <w:nsid w:val="12E685FB"/>
    <w:multiLevelType w:val="hybridMultilevel"/>
    <w:lvl w:ilvl="0">
      <w:lvlJc w:val="left"/>
      <w:lvlText w:val="(%1)"/>
      <w:numFmt w:val="lowerLetter"/>
      <w:start w:val="2"/>
    </w:lvl>
    <w:lvl w:ilvl="1">
      <w:lvlJc w:val="left"/>
      <w:lvlText w:val="%2"/>
      <w:numFmt w:val="lowerRoman"/>
      <w:start w:val="1"/>
    </w:lvl>
  </w:abstractNum>
  <w:abstractNum w:abstractNumId="37">
    <w:nsid w:val="70C6A529"/>
    <w:multiLevelType w:val="hybridMultilevel"/>
    <w:lvl w:ilvl="0">
      <w:lvlJc w:val="left"/>
      <w:lvlText w:val="(%1)"/>
      <w:numFmt w:val="lowerLetter"/>
      <w:start w:val="3"/>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1."/>
      <w:numFmt w:val="decimal"/>
      <w:start w:val="1"/>
    </w:lvl>
    <w:lvl w:ilvl="1">
      <w:lvlJc w:val="left"/>
      <w:lvlText w:val="(%2)"/>
      <w:numFmt w:val="lowerLetter"/>
      <w:start w:val="1"/>
    </w:lvl>
  </w:abstractNum>
  <w:abstractNum w:abstractNumId="41">
    <w:nsid w:val="23F9C13C"/>
    <w:multiLevelType w:val="hybridMultilevel"/>
    <w:lvl w:ilvl="0">
      <w:lvlJc w:val="left"/>
      <w:lvlText w:val="%1"/>
      <w:numFmt w:val="decimal"/>
      <w:start w:val="1"/>
    </w:lvl>
    <w:lvl w:ilvl="1">
      <w:lvlJc w:val="left"/>
      <w:lvlText w:val="(%2)"/>
      <w:numFmt w:val="lowerLetter"/>
      <w:start w:val="6"/>
    </w:lvl>
  </w:abstractNum>
  <w:abstractNum w:abstractNumId="42">
    <w:nsid w:val="649BB77C"/>
    <w:multiLevelType w:val="hybridMultilevel"/>
    <w:lvl w:ilvl="0">
      <w:lvlJc w:val="left"/>
      <w:lvlText w:val="%1."/>
      <w:numFmt w:val="decimal"/>
      <w:start w:val="2"/>
    </w:lvl>
    <w:lvl w:ilvl="1">
      <w:lvlJc w:val="left"/>
      <w:lvlText w:val="%2"/>
      <w:numFmt w:val="lowerLetter"/>
      <w:start w:val="1"/>
    </w:lvl>
  </w:abstractNum>
  <w:abstractNum w:abstractNumId="43">
    <w:nsid w:val="275AC794"/>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44">
    <w:nsid w:val="39386575"/>
    <w:multiLevelType w:val="hybridMultilevel"/>
    <w:lvl w:ilvl="0">
      <w:lvlJc w:val="left"/>
      <w:lvlText w:val="(%1)"/>
      <w:numFmt w:val="lowerRoman"/>
      <w:start w:val="2"/>
    </w:lvl>
  </w:abstractNum>
  <w:abstractNum w:abstractNumId="45">
    <w:nsid w:val="1CF10FD8"/>
    <w:multiLevelType w:val="hybridMultilevel"/>
    <w:lvl w:ilvl="0">
      <w:lvlJc w:val="left"/>
      <w:lvlText w:val="(%1)"/>
      <w:numFmt w:val="lowerRoman"/>
      <w:start w:val="9"/>
    </w:lvl>
  </w:abstractNum>
  <w:abstractNum w:abstractNumId="46">
    <w:nsid w:val="180115BE"/>
    <w:multiLevelType w:val="hybridMultilevel"/>
    <w:lvl w:ilvl="0">
      <w:lvlJc w:val="left"/>
      <w:lvlText w:val="1"/>
      <w:numFmt w:val="bullet"/>
      <w:start w:val="1"/>
    </w:lvl>
  </w:abstractNum>
  <w:abstractNum w:abstractNumId="47">
    <w:nsid w:val="235BA861"/>
    <w:multiLevelType w:val="hybridMultilevel"/>
    <w:lvl w:ilvl="0">
      <w:lvlJc w:val="left"/>
      <w:lvlText w:val="(%1)"/>
      <w:numFmt w:val="lowerRoman"/>
      <w:start w:val="12"/>
    </w:lvl>
  </w:abstractNum>
  <w:abstractNum w:abstractNumId="48">
    <w:nsid w:val="47398C89"/>
    <w:multiLevelType w:val="hybridMultilevel"/>
    <w:lvl w:ilvl="0">
      <w:lvlJc w:val="left"/>
      <w:lvlText w:val="(%1)"/>
      <w:numFmt w:val="lowerLetter"/>
      <w:start w:val="4"/>
    </w:lvl>
  </w:abstractNum>
  <w:abstractNum w:abstractNumId="49">
    <w:nsid w:val="354FE9F9"/>
    <w:multiLevelType w:val="hybridMultilevel"/>
    <w:lvl w:ilvl="0">
      <w:lvlJc w:val="left"/>
      <w:lvlText w:val="%1"/>
      <w:numFmt w:val="upperLetter"/>
      <w:start w:val="1"/>
    </w:lvl>
    <w:lvl w:ilvl="1">
      <w:lvlJc w:val="left"/>
      <w:lvlText w:val="(%2)"/>
      <w:numFmt w:val="lowerRoman"/>
      <w:start w:val="1"/>
    </w:lvl>
  </w:abstractNum>
  <w:abstractNum w:abstractNumId="50">
    <w:nsid w:val="15B5AF5C"/>
    <w:multiLevelType w:val="hybridMultilevel"/>
    <w:lvl w:ilvl="0">
      <w:lvlJc w:val="left"/>
      <w:lvlText w:val="(%1)"/>
      <w:numFmt w:val="upperLetter"/>
      <w:start w:val="2"/>
    </w:lvl>
    <w:lvl w:ilvl="1">
      <w:lvlJc w:val="left"/>
      <w:lvlText w:val="(%2)"/>
      <w:numFmt w:val="lowerRoman"/>
      <w:start w:val="4"/>
    </w:lvl>
  </w:abstractNum>
  <w:abstractNum w:abstractNumId="51">
    <w:nsid w:val="741226BB"/>
    <w:multiLevelType w:val="hybridMultilevel"/>
    <w:lvl w:ilvl="0">
      <w:lvlJc w:val="left"/>
      <w:lvlText w:val="(%1)"/>
      <w:numFmt w:val="upperLetter"/>
      <w:start w:val="2"/>
    </w:lvl>
    <w:lvl w:ilvl="1">
      <w:lvlJc w:val="left"/>
      <w:lvlText w:val="(%2)"/>
      <w:numFmt w:val="lowerRoman"/>
      <w:start w:val="6"/>
    </w:lvl>
  </w:abstractNum>
  <w:abstractNum w:abstractNumId="52">
    <w:nsid w:val="D34B6A8"/>
    <w:multiLevelType w:val="hybridMultilevel"/>
    <w:lvl w:ilvl="0">
      <w:lvlJc w:val="left"/>
      <w:lvlText w:val="(%1)"/>
      <w:numFmt w:val="lowerLetter"/>
      <w:start w:val="5"/>
    </w:lvl>
    <w:lvl w:ilvl="1">
      <w:lvlJc w:val="left"/>
      <w:lvlText w:val="(%2)"/>
      <w:numFmt w:val="lowerRoman"/>
      <w:start w:val="1"/>
    </w:lvl>
  </w:abstractNum>
  <w:abstractNum w:abstractNumId="53">
    <w:nsid w:val="10233C99"/>
    <w:multiLevelType w:val="hybridMultilevel"/>
    <w:lvl w:ilvl="0">
      <w:lvlJc w:val="left"/>
      <w:lvlText w:val="%1"/>
      <w:numFmt w:val="decimal"/>
      <w:start w:val="1"/>
    </w:lvl>
    <w:lvl w:ilvl="1">
      <w:lvlJc w:val="left"/>
      <w:lvlText w:val="(%2)"/>
      <w:numFmt w:val="lowerLetter"/>
      <w:start w:val="6"/>
    </w:lvl>
  </w:abstractNum>
  <w:abstractNum w:abstractNumId="54">
    <w:nsid w:val="3F6AB60F"/>
    <w:multiLevelType w:val="hybridMultilevel"/>
    <w:lvl w:ilvl="0">
      <w:lvlJc w:val="left"/>
      <w:lvlText w:val="%1."/>
      <w:numFmt w:val="decimal"/>
      <w:start w:val="5"/>
    </w:lvl>
    <w:lvl w:ilvl="1">
      <w:lvlJc w:val="left"/>
      <w:lvlText w:val="(%2)"/>
      <w:numFmt w:val="lowerLetter"/>
      <w:start w:val="1"/>
    </w:lvl>
  </w:abstractNum>
  <w:abstractNum w:abstractNumId="55">
    <w:nsid w:val="61574095"/>
    <w:multiLevelType w:val="hybridMultilevel"/>
    <w:lvl w:ilvl="0">
      <w:lvlJc w:val="left"/>
      <w:lvlText w:val="(%1)"/>
      <w:numFmt w:val="lowerLetter"/>
      <w:start w:val="4"/>
    </w:lvl>
  </w:abstractNum>
  <w:abstractNum w:abstractNumId="56">
    <w:nsid w:val="7E0C57B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7">
    <w:nsid w:val="77AE35EB"/>
    <w:multiLevelType w:val="hybridMultilevel"/>
    <w:lvl w:ilvl="0">
      <w:lvlJc w:val="left"/>
      <w:lvlText w:val="%1."/>
      <w:numFmt w:val="decimal"/>
      <w:start w:val="8"/>
    </w:lvl>
  </w:abstractNum>
  <w:abstractNum w:abstractNumId="58">
    <w:nsid w:val="579BE4F1"/>
    <w:multiLevelType w:val="hybridMultilevel"/>
    <w:lvl w:ilvl="0">
      <w:lvlJc w:val="left"/>
      <w:lvlText w:val="%1."/>
      <w:numFmt w:val="decimal"/>
      <w:start w:val="9"/>
    </w:lvl>
  </w:abstractNum>
  <w:abstractNum w:abstractNumId="59">
    <w:nsid w:val="310C50B3"/>
    <w:multiLevelType w:val="hybridMultilevel"/>
    <w:lvl w:ilvl="0">
      <w:lvlJc w:val="left"/>
      <w:lvlText w:val="(%1)"/>
      <w:numFmt w:val="lowerRoman"/>
      <w:start w:val="8"/>
    </w:lvl>
  </w:abstractNum>
  <w:abstractNum w:abstractNumId="60">
    <w:nsid w:val="5FF87E05"/>
    <w:multiLevelType w:val="hybridMultilevel"/>
    <w:lvl w:ilvl="0">
      <w:lvlJc w:val="left"/>
      <w:lvlText w:val="%1."/>
      <w:numFmt w:val="decimal"/>
      <w:start w:val="1"/>
    </w:lvl>
  </w:abstractNum>
  <w:abstractNum w:abstractNumId="61">
    <w:nsid w:val="2F305DEF"/>
    <w:multiLevelType w:val="hybridMultilevel"/>
    <w:lvl w:ilvl="0">
      <w:lvlJc w:val="left"/>
      <w:lvlText w:val="(%1)"/>
      <w:numFmt w:val="lowerRoman"/>
      <w:start w:val="5"/>
    </w:lvl>
  </w:abstractNum>
  <w:abstractNum w:abstractNumId="62">
    <w:nsid w:val="25A70BF7"/>
    <w:multiLevelType w:val="hybridMultilevel"/>
    <w:lvl w:ilvl="0">
      <w:lvlJc w:val="left"/>
      <w:lvlText w:val="(%1)"/>
      <w:numFmt w:val="lowerRoman"/>
      <w:start w:val="7"/>
    </w:lvl>
  </w:abstractNum>
  <w:abstractNum w:abstractNumId="63">
    <w:nsid w:val="1DBABF00"/>
    <w:multiLevelType w:val="hybridMultilevel"/>
    <w:lvl w:ilvl="0">
      <w:lvlJc w:val="left"/>
      <w:lvlText w:val="(%1)"/>
      <w:numFmt w:val="lowerRoman"/>
      <w:start w:val="5"/>
    </w:lvl>
  </w:abstractNum>
  <w:abstractNum w:abstractNumId="64">
    <w:nsid w:val="4AD084E9"/>
    <w:multiLevelType w:val="hybridMultilevel"/>
    <w:lvl w:ilvl="0">
      <w:lvlJc w:val="left"/>
      <w:lvlText w:val="%1."/>
      <w:numFmt w:val="decimal"/>
      <w:start w:val="1"/>
    </w:lvl>
  </w:abstractNum>
  <w:abstractNum w:abstractNumId="65">
    <w:nsid w:val="1F48EAA1"/>
    <w:multiLevelType w:val="hybridMultilevel"/>
    <w:lvl w:ilvl="0">
      <w:lvlJc w:val="left"/>
      <w:lvlText w:val="%1."/>
      <w:numFmt w:val="decimal"/>
      <w:start w:val="3"/>
    </w:lvl>
  </w:abstractNum>
  <w:abstractNum w:abstractNumId="66">
    <w:nsid w:val="1381823A"/>
    <w:multiLevelType w:val="hybridMultilevel"/>
    <w:lvl w:ilvl="0">
      <w:lvlJc w:val="left"/>
      <w:lvlText w:val="(%1)"/>
      <w:numFmt w:val="lowerRoman"/>
      <w:start w:val="3"/>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2019-12-18T23:25:51Z</dcterms:created>
  <dcterms:modified xsi:type="dcterms:W3CDTF">2019-12-18T23:25:51Z</dcterms:modified>
</cp:coreProperties>
</file>