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425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42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RODGERS JOHNATHAN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01/03/2017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01/03/2017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3,101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00"/>
                <w:w w:val="81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5"/>
                <w:szCs w:val="35"/>
                <w:color w:val="0000FF"/>
                <w:w w:val="81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(2)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27,038.1544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60" w:type="dxa"/>
            <w:vAlign w:val="bottom"/>
            <w:gridSpan w:val="1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right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6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3,101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01/03/2017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3,101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2,671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1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6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9"/>
              </w:rPr>
              <w:t>1. Shares acquired on settlement of phantom stock. The reporting person received cash for the fractional shares.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</w:rPr>
              <w:t>2. The price is $0.00.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6"/>
              </w:rPr>
              <w:t>3. These securities convert on a one-to-one basis.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20" w:type="dxa"/>
            <w:vAlign w:val="bottom"/>
            <w:gridSpan w:val="1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3"/>
              </w:rPr>
              <w:t>4. These securities were automatically converted to shares of Class A common stock on the transaction date pursuant to a previously deferred stock award.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Arthur R. Block, Attorney-in-</w:t>
            </w:r>
          </w:p>
        </w:tc>
        <w:tc>
          <w:tcPr>
            <w:tcW w:w="960" w:type="dxa"/>
            <w:vAlign w:val="bottom"/>
            <w:gridSpan w:val="4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01/05/2017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5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6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Reminder: Report on a separate line for each class of securities beneficially owned directly or indirectly.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2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7281545</wp:posOffset>
            </wp:positionH>
            <wp:positionV relativeFrom="paragraph">
              <wp:posOffset>-3553460</wp:posOffset>
            </wp:positionV>
            <wp:extent cx="33655" cy="221234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55" cy="22123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90704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2019-12-04T00:41:00Z</dcterms:created>
  <dcterms:modified xsi:type="dcterms:W3CDTF">2019-12-04T00:41:00Z</dcterms:modified>
</cp:coreProperties>
</file>