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58"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_______________________</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tbl>
      <w:tblPr>
        <w:tblLayout w:type="fixed"/>
        <w:tblInd w:w="420" w:type="dxa"/>
        <w:tblCellMar>
          <w:top w:w="0" w:type="dxa"/>
          <w:left w:w="0" w:type="dxa"/>
          <w:bottom w:w="0" w:type="dxa"/>
          <w:right w:w="0" w:type="dxa"/>
        </w:tblCellMar>
      </w:tblPr>
      <w:tr>
        <w:trPr>
          <w:trHeight w:val="421"/>
        </w:trPr>
        <w:tc>
          <w:tcPr>
            <w:tcW w:w="7820" w:type="dxa"/>
            <w:vAlign w:val="bottom"/>
          </w:tcPr>
          <w:p>
            <w:pPr>
              <w:jc w:val="center"/>
              <w:ind w:left="2673"/>
              <w:spacing w:after="0"/>
              <w:rPr>
                <w:sz w:val="20"/>
                <w:szCs w:val="20"/>
                <w:color w:val="auto"/>
              </w:rPr>
            </w:pPr>
            <w:r>
              <w:rPr>
                <w:rFonts w:ascii="Arial" w:cs="Arial" w:eastAsia="Arial" w:hAnsi="Arial"/>
                <w:sz w:val="32"/>
                <w:szCs w:val="32"/>
                <w:b w:val="1"/>
                <w:bCs w:val="1"/>
                <w:color w:val="auto"/>
              </w:rPr>
              <w:t>FORM 8-K</w:t>
            </w:r>
          </w:p>
        </w:tc>
        <w:tc>
          <w:tcPr>
            <w:tcW w:w="2540" w:type="dxa"/>
            <w:vAlign w:val="bottom"/>
          </w:tcPr>
          <w:p>
            <w:pPr>
              <w:spacing w:after="0"/>
              <w:rPr>
                <w:sz w:val="24"/>
                <w:szCs w:val="24"/>
                <w:color w:val="auto"/>
              </w:rPr>
            </w:pPr>
          </w:p>
        </w:tc>
      </w:tr>
      <w:tr>
        <w:trPr>
          <w:trHeight w:val="534"/>
        </w:trPr>
        <w:tc>
          <w:tcPr>
            <w:tcW w:w="7820" w:type="dxa"/>
            <w:vAlign w:val="bottom"/>
          </w:tcPr>
          <w:p>
            <w:pPr>
              <w:jc w:val="center"/>
              <w:ind w:left="2673"/>
              <w:spacing w:after="0"/>
              <w:rPr>
                <w:sz w:val="20"/>
                <w:szCs w:val="20"/>
                <w:color w:val="auto"/>
              </w:rPr>
            </w:pPr>
            <w:r>
              <w:rPr>
                <w:rFonts w:ascii="Arial" w:cs="Arial" w:eastAsia="Arial" w:hAnsi="Arial"/>
                <w:sz w:val="29"/>
                <w:szCs w:val="29"/>
                <w:b w:val="1"/>
                <w:bCs w:val="1"/>
                <w:color w:val="auto"/>
                <w:w w:val="99"/>
              </w:rPr>
              <w:t>CURRENT REPORT</w:t>
            </w:r>
          </w:p>
        </w:tc>
        <w:tc>
          <w:tcPr>
            <w:tcW w:w="2540" w:type="dxa"/>
            <w:vAlign w:val="bottom"/>
          </w:tcPr>
          <w:p>
            <w:pPr>
              <w:spacing w:after="0"/>
              <w:rPr>
                <w:sz w:val="24"/>
                <w:szCs w:val="24"/>
                <w:color w:val="auto"/>
              </w:rPr>
            </w:pPr>
          </w:p>
        </w:tc>
      </w:tr>
      <w:tr>
        <w:trPr>
          <w:trHeight w:val="338"/>
        </w:trPr>
        <w:tc>
          <w:tcPr>
            <w:tcW w:w="7820" w:type="dxa"/>
            <w:vAlign w:val="bottom"/>
          </w:tcPr>
          <w:p>
            <w:pPr>
              <w:jc w:val="center"/>
              <w:ind w:left="2673"/>
              <w:spacing w:after="0"/>
              <w:rPr>
                <w:sz w:val="20"/>
                <w:szCs w:val="20"/>
                <w:color w:val="auto"/>
              </w:rPr>
            </w:pPr>
            <w:r>
              <w:rPr>
                <w:rFonts w:ascii="Arial" w:cs="Arial" w:eastAsia="Arial" w:hAnsi="Arial"/>
                <w:sz w:val="29"/>
                <w:szCs w:val="29"/>
                <w:b w:val="1"/>
                <w:bCs w:val="1"/>
                <w:color w:val="auto"/>
                <w:w w:val="89"/>
              </w:rPr>
              <w:t>Pursuant to Section 13 or 15(d) of the</w:t>
            </w:r>
          </w:p>
        </w:tc>
        <w:tc>
          <w:tcPr>
            <w:tcW w:w="2540" w:type="dxa"/>
            <w:vAlign w:val="bottom"/>
          </w:tcPr>
          <w:p>
            <w:pPr>
              <w:spacing w:after="0"/>
              <w:rPr>
                <w:sz w:val="24"/>
                <w:szCs w:val="24"/>
                <w:color w:val="auto"/>
              </w:rPr>
            </w:pPr>
          </w:p>
        </w:tc>
      </w:tr>
      <w:tr>
        <w:trPr>
          <w:trHeight w:val="375"/>
        </w:trPr>
        <w:tc>
          <w:tcPr>
            <w:tcW w:w="7820" w:type="dxa"/>
            <w:vAlign w:val="bottom"/>
          </w:tcPr>
          <w:p>
            <w:pPr>
              <w:jc w:val="center"/>
              <w:ind w:left="2653"/>
              <w:spacing w:after="0"/>
              <w:rPr>
                <w:sz w:val="20"/>
                <w:szCs w:val="20"/>
                <w:color w:val="auto"/>
              </w:rPr>
            </w:pPr>
            <w:r>
              <w:rPr>
                <w:rFonts w:ascii="Arial" w:cs="Arial" w:eastAsia="Arial" w:hAnsi="Arial"/>
                <w:sz w:val="29"/>
                <w:szCs w:val="29"/>
                <w:b w:val="1"/>
                <w:bCs w:val="1"/>
                <w:color w:val="auto"/>
                <w:w w:val="88"/>
              </w:rPr>
              <w:t>Securities Exchange Act of 1934</w:t>
            </w:r>
          </w:p>
        </w:tc>
        <w:tc>
          <w:tcPr>
            <w:tcW w:w="2540" w:type="dxa"/>
            <w:vAlign w:val="bottom"/>
          </w:tcPr>
          <w:p>
            <w:pPr>
              <w:spacing w:after="0"/>
              <w:rPr>
                <w:sz w:val="24"/>
                <w:szCs w:val="24"/>
                <w:color w:val="auto"/>
              </w:rPr>
            </w:pPr>
          </w:p>
        </w:tc>
      </w:tr>
      <w:tr>
        <w:trPr>
          <w:trHeight w:val="454"/>
        </w:trPr>
        <w:tc>
          <w:tcPr>
            <w:tcW w:w="7820" w:type="dxa"/>
            <w:vAlign w:val="bottom"/>
          </w:tcPr>
          <w:p>
            <w:pPr>
              <w:jc w:val="center"/>
              <w:ind w:left="2653"/>
              <w:spacing w:after="0"/>
              <w:rPr>
                <w:sz w:val="20"/>
                <w:szCs w:val="20"/>
                <w:color w:val="auto"/>
              </w:rPr>
            </w:pPr>
            <w:r>
              <w:rPr>
                <w:rFonts w:ascii="Arial" w:cs="Arial" w:eastAsia="Arial" w:hAnsi="Arial"/>
                <w:sz w:val="18"/>
                <w:szCs w:val="18"/>
                <w:color w:val="auto"/>
                <w:w w:val="91"/>
              </w:rPr>
              <w:t>Date of report (Date of earliest event reported): October 8, 2014</w:t>
            </w:r>
          </w:p>
        </w:tc>
        <w:tc>
          <w:tcPr>
            <w:tcW w:w="2540" w:type="dxa"/>
            <w:vAlign w:val="bottom"/>
          </w:tcPr>
          <w:p>
            <w:pPr>
              <w:spacing w:after="0"/>
              <w:rPr>
                <w:sz w:val="24"/>
                <w:szCs w:val="24"/>
                <w:color w:val="auto"/>
              </w:rPr>
            </w:pPr>
          </w:p>
        </w:tc>
      </w:tr>
      <w:tr>
        <w:trPr>
          <w:trHeight w:val="485"/>
        </w:trPr>
        <w:tc>
          <w:tcPr>
            <w:tcW w:w="7820" w:type="dxa"/>
            <w:vAlign w:val="bottom"/>
          </w:tcPr>
          <w:p>
            <w:pPr>
              <w:jc w:val="center"/>
              <w:ind w:left="2673"/>
              <w:spacing w:after="0"/>
              <w:rPr>
                <w:sz w:val="20"/>
                <w:szCs w:val="20"/>
                <w:color w:val="auto"/>
              </w:rPr>
            </w:pPr>
            <w:r>
              <w:rPr>
                <w:rFonts w:ascii="Arial" w:cs="Arial" w:eastAsia="Arial" w:hAnsi="Arial"/>
                <w:sz w:val="29"/>
                <w:szCs w:val="29"/>
                <w:b w:val="1"/>
                <w:bCs w:val="1"/>
                <w:color w:val="auto"/>
                <w:w w:val="90"/>
              </w:rPr>
              <w:t>Comcast Corporation</w:t>
            </w:r>
          </w:p>
        </w:tc>
        <w:tc>
          <w:tcPr>
            <w:tcW w:w="2540" w:type="dxa"/>
            <w:vAlign w:val="bottom"/>
          </w:tcPr>
          <w:p>
            <w:pPr>
              <w:spacing w:after="0"/>
              <w:rPr>
                <w:sz w:val="24"/>
                <w:szCs w:val="24"/>
                <w:color w:val="auto"/>
              </w:rPr>
            </w:pPr>
          </w:p>
        </w:tc>
      </w:tr>
      <w:tr>
        <w:trPr>
          <w:trHeight w:val="216"/>
        </w:trPr>
        <w:tc>
          <w:tcPr>
            <w:tcW w:w="7820" w:type="dxa"/>
            <w:vAlign w:val="bottom"/>
          </w:tcPr>
          <w:p>
            <w:pPr>
              <w:jc w:val="center"/>
              <w:ind w:left="2673"/>
              <w:spacing w:after="0"/>
              <w:rPr>
                <w:sz w:val="20"/>
                <w:szCs w:val="20"/>
                <w:color w:val="auto"/>
              </w:rPr>
            </w:pPr>
            <w:r>
              <w:rPr>
                <w:rFonts w:ascii="Arial" w:cs="Arial" w:eastAsia="Arial" w:hAnsi="Arial"/>
                <w:sz w:val="18"/>
                <w:szCs w:val="18"/>
                <w:color w:val="auto"/>
                <w:w w:val="90"/>
              </w:rPr>
              <w:t>(Exact Name of Registrant</w:t>
            </w:r>
          </w:p>
        </w:tc>
        <w:tc>
          <w:tcPr>
            <w:tcW w:w="2540" w:type="dxa"/>
            <w:vAlign w:val="bottom"/>
          </w:tcPr>
          <w:p>
            <w:pPr>
              <w:spacing w:after="0"/>
              <w:rPr>
                <w:sz w:val="18"/>
                <w:szCs w:val="18"/>
                <w:color w:val="auto"/>
              </w:rPr>
            </w:pPr>
          </w:p>
        </w:tc>
      </w:tr>
      <w:tr>
        <w:trPr>
          <w:trHeight w:val="230"/>
        </w:trPr>
        <w:tc>
          <w:tcPr>
            <w:tcW w:w="7820" w:type="dxa"/>
            <w:vAlign w:val="bottom"/>
          </w:tcPr>
          <w:p>
            <w:pPr>
              <w:jc w:val="center"/>
              <w:ind w:left="2673"/>
              <w:spacing w:after="0"/>
              <w:rPr>
                <w:sz w:val="20"/>
                <w:szCs w:val="20"/>
                <w:color w:val="auto"/>
              </w:rPr>
            </w:pPr>
            <w:r>
              <w:rPr>
                <w:rFonts w:ascii="Arial" w:cs="Arial" w:eastAsia="Arial" w:hAnsi="Arial"/>
                <w:sz w:val="18"/>
                <w:szCs w:val="18"/>
                <w:color w:val="auto"/>
                <w:w w:val="90"/>
              </w:rPr>
              <w:t>as Specified in its Charter)</w:t>
            </w:r>
          </w:p>
        </w:tc>
        <w:tc>
          <w:tcPr>
            <w:tcW w:w="2540" w:type="dxa"/>
            <w:vAlign w:val="bottom"/>
          </w:tcPr>
          <w:p>
            <w:pPr>
              <w:spacing w:after="0"/>
              <w:rPr>
                <w:sz w:val="20"/>
                <w:szCs w:val="20"/>
                <w:color w:val="auto"/>
              </w:rPr>
            </w:pPr>
          </w:p>
        </w:tc>
      </w:tr>
      <w:tr>
        <w:trPr>
          <w:trHeight w:val="364"/>
        </w:trPr>
        <w:tc>
          <w:tcPr>
            <w:tcW w:w="7820" w:type="dxa"/>
            <w:vAlign w:val="bottom"/>
          </w:tcPr>
          <w:p>
            <w:pPr>
              <w:jc w:val="center"/>
              <w:ind w:left="2693"/>
              <w:spacing w:after="0"/>
              <w:rPr>
                <w:sz w:val="20"/>
                <w:szCs w:val="20"/>
                <w:color w:val="auto"/>
              </w:rPr>
            </w:pPr>
            <w:r>
              <w:rPr>
                <w:rFonts w:ascii="Arial" w:cs="Arial" w:eastAsia="Arial" w:hAnsi="Arial"/>
                <w:sz w:val="18"/>
                <w:szCs w:val="18"/>
                <w:b w:val="1"/>
                <w:bCs w:val="1"/>
                <w:color w:val="auto"/>
                <w:w w:val="88"/>
              </w:rPr>
              <w:t>Pennsylvania</w:t>
            </w:r>
          </w:p>
        </w:tc>
        <w:tc>
          <w:tcPr>
            <w:tcW w:w="2540" w:type="dxa"/>
            <w:vAlign w:val="bottom"/>
          </w:tcPr>
          <w:p>
            <w:pPr>
              <w:spacing w:after="0"/>
              <w:rPr>
                <w:sz w:val="24"/>
                <w:szCs w:val="24"/>
                <w:color w:val="auto"/>
              </w:rPr>
            </w:pPr>
          </w:p>
        </w:tc>
      </w:tr>
      <w:tr>
        <w:trPr>
          <w:trHeight w:val="230"/>
        </w:trPr>
        <w:tc>
          <w:tcPr>
            <w:tcW w:w="7820" w:type="dxa"/>
            <w:vAlign w:val="bottom"/>
          </w:tcPr>
          <w:p>
            <w:pPr>
              <w:jc w:val="center"/>
              <w:ind w:left="2673"/>
              <w:spacing w:after="0"/>
              <w:rPr>
                <w:sz w:val="20"/>
                <w:szCs w:val="20"/>
                <w:color w:val="auto"/>
              </w:rPr>
            </w:pPr>
            <w:r>
              <w:rPr>
                <w:rFonts w:ascii="Arial" w:cs="Arial" w:eastAsia="Arial" w:hAnsi="Arial"/>
                <w:sz w:val="18"/>
                <w:szCs w:val="18"/>
                <w:color w:val="auto"/>
                <w:w w:val="92"/>
              </w:rPr>
              <w:t>(State or Other Jurisdiction of Incorporation)</w:t>
            </w:r>
          </w:p>
        </w:tc>
        <w:tc>
          <w:tcPr>
            <w:tcW w:w="2540" w:type="dxa"/>
            <w:vAlign w:val="bottom"/>
          </w:tcPr>
          <w:p>
            <w:pPr>
              <w:spacing w:after="0"/>
              <w:rPr>
                <w:sz w:val="20"/>
                <w:szCs w:val="20"/>
                <w:color w:val="auto"/>
              </w:rPr>
            </w:pPr>
          </w:p>
        </w:tc>
      </w:tr>
      <w:tr>
        <w:trPr>
          <w:trHeight w:val="364"/>
        </w:trPr>
        <w:tc>
          <w:tcPr>
            <w:tcW w:w="7820" w:type="dxa"/>
            <w:vAlign w:val="bottom"/>
          </w:tcPr>
          <w:p>
            <w:pPr>
              <w:jc w:val="center"/>
              <w:ind w:right="4773"/>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820" w:type="dxa"/>
            <w:vAlign w:val="bottom"/>
          </w:tcPr>
          <w:p>
            <w:pPr>
              <w:jc w:val="center"/>
              <w:ind w:right="4773"/>
              <w:spacing w:after="0"/>
              <w:rPr>
                <w:sz w:val="20"/>
                <w:szCs w:val="20"/>
                <w:color w:val="auto"/>
              </w:rPr>
            </w:pPr>
            <w:r>
              <w:rPr>
                <w:rFonts w:ascii="Arial" w:cs="Arial" w:eastAsia="Arial" w:hAnsi="Arial"/>
                <w:sz w:val="18"/>
                <w:szCs w:val="18"/>
                <w:color w:val="auto"/>
                <w:w w:val="92"/>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60"/>
        </w:trPr>
        <w:tc>
          <w:tcPr>
            <w:tcW w:w="7820" w:type="dxa"/>
            <w:vAlign w:val="bottom"/>
          </w:tcPr>
          <w:p>
            <w:pPr>
              <w:jc w:val="center"/>
              <w:ind w:right="4773"/>
              <w:spacing w:after="0"/>
              <w:rPr>
                <w:sz w:val="20"/>
                <w:szCs w:val="20"/>
                <w:color w:val="auto"/>
              </w:rPr>
            </w:pPr>
            <w:r>
              <w:rPr>
                <w:rFonts w:ascii="Arial" w:cs="Arial" w:eastAsia="Arial" w:hAnsi="Arial"/>
                <w:sz w:val="18"/>
                <w:szCs w:val="18"/>
                <w:b w:val="1"/>
                <w:bCs w:val="1"/>
                <w:color w:val="auto"/>
                <w:w w:val="90"/>
              </w:rPr>
              <w:t>One Comcast Center</w:t>
            </w:r>
          </w:p>
        </w:tc>
        <w:tc>
          <w:tcPr>
            <w:tcW w:w="2540" w:type="dxa"/>
            <w:vAlign w:val="bottom"/>
          </w:tcPr>
          <w:p>
            <w:pPr>
              <w:spacing w:after="0"/>
              <w:rPr>
                <w:sz w:val="24"/>
                <w:szCs w:val="24"/>
                <w:color w:val="auto"/>
              </w:rPr>
            </w:pPr>
          </w:p>
        </w:tc>
      </w:tr>
      <w:tr>
        <w:trPr>
          <w:trHeight w:val="220"/>
        </w:trPr>
        <w:tc>
          <w:tcPr>
            <w:tcW w:w="7820" w:type="dxa"/>
            <w:vAlign w:val="bottom"/>
          </w:tcPr>
          <w:p>
            <w:pPr>
              <w:jc w:val="center"/>
              <w:ind w:right="4773"/>
              <w:spacing w:after="0"/>
              <w:rPr>
                <w:sz w:val="20"/>
                <w:szCs w:val="20"/>
                <w:color w:val="auto"/>
              </w:rPr>
            </w:pPr>
            <w:r>
              <w:rPr>
                <w:rFonts w:ascii="Arial" w:cs="Arial" w:eastAsia="Arial" w:hAnsi="Arial"/>
                <w:sz w:val="18"/>
                <w:szCs w:val="18"/>
                <w:b w:val="1"/>
                <w:bCs w:val="1"/>
                <w:color w:val="auto"/>
                <w:w w:val="92"/>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820" w:type="dxa"/>
            <w:vAlign w:val="bottom"/>
          </w:tcPr>
          <w:p>
            <w:pPr>
              <w:jc w:val="center"/>
              <w:ind w:right="4773"/>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40"/>
        </w:trPr>
        <w:tc>
          <w:tcPr>
            <w:tcW w:w="7820" w:type="dxa"/>
            <w:vAlign w:val="bottom"/>
          </w:tcPr>
          <w:p>
            <w:pPr>
              <w:jc w:val="center"/>
              <w:ind w:left="2653"/>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540"/>
        </w:trPr>
        <w:tc>
          <w:tcPr>
            <w:tcW w:w="7820" w:type="dxa"/>
            <w:vAlign w:val="bottom"/>
          </w:tcPr>
          <w:p>
            <w:pPr>
              <w:jc w:val="center"/>
              <w:ind w:left="2653"/>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bl>
    <w:p>
      <w:pPr>
        <w:spacing w:after="0" w:line="18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40"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8, 2014, Comcast Corporation held a special meeting of shareholders in connection with its proposed merger with Time Warner Cable Inc. (the “merger”) pursuant to the Agreement and Plan of Merger, dated as of February 12, 2014, among Comcast, Tango Acquisition Sub, Inc. and Time Warner Cable.</w:t>
      </w:r>
    </w:p>
    <w:p>
      <w:pPr>
        <w:spacing w:after="0" w:line="208"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At the special meeting, shareholders approved the issuance of shares of Comcast’s Class A common stock to Time Warner Cable stockholders as consideration in the merger (the “stock issuance”). The shareholders that voted at the special meeting represented approximately 84% of the eligible shares entitled to vote in person or by proxy. The number of votes cast for and against and the number of abstentions and broker non-votes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3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Against</w:t>
            </w:r>
          </w:p>
        </w:tc>
        <w:tc>
          <w:tcPr>
            <w:tcW w:w="27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0"/>
              </w:rPr>
              <w:t>Abstain</w:t>
            </w:r>
          </w:p>
        </w:tc>
        <w:tc>
          <w:tcPr>
            <w:tcW w:w="28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820" w:type="dxa"/>
            <w:vAlign w:val="bottom"/>
          </w:tcPr>
          <w:p>
            <w:pPr>
              <w:jc w:val="right"/>
              <w:ind w:right="950"/>
              <w:spacing w:after="0"/>
              <w:rPr>
                <w:sz w:val="20"/>
                <w:szCs w:val="20"/>
                <w:color w:val="auto"/>
              </w:rPr>
            </w:pPr>
            <w:r>
              <w:rPr>
                <w:rFonts w:ascii="Arial" w:cs="Arial" w:eastAsia="Arial" w:hAnsi="Arial"/>
                <w:sz w:val="18"/>
                <w:szCs w:val="18"/>
                <w:color w:val="auto"/>
              </w:rPr>
              <w:t>353,614,954</w:t>
            </w:r>
          </w:p>
        </w:tc>
        <w:tc>
          <w:tcPr>
            <w:tcW w:w="3000" w:type="dxa"/>
            <w:vAlign w:val="bottom"/>
          </w:tcPr>
          <w:p>
            <w:pPr>
              <w:jc w:val="right"/>
              <w:ind w:right="1130"/>
              <w:spacing w:after="0"/>
              <w:rPr>
                <w:sz w:val="20"/>
                <w:szCs w:val="20"/>
                <w:color w:val="auto"/>
              </w:rPr>
            </w:pPr>
            <w:r>
              <w:rPr>
                <w:rFonts w:ascii="Arial" w:cs="Arial" w:eastAsia="Arial" w:hAnsi="Arial"/>
                <w:sz w:val="18"/>
                <w:szCs w:val="18"/>
                <w:color w:val="auto"/>
              </w:rPr>
              <w:t>1,518,317</w:t>
            </w:r>
          </w:p>
        </w:tc>
        <w:tc>
          <w:tcPr>
            <w:tcW w:w="2760" w:type="dxa"/>
            <w:vAlign w:val="bottom"/>
          </w:tcPr>
          <w:p>
            <w:pPr>
              <w:jc w:val="right"/>
              <w:ind w:right="710"/>
              <w:spacing w:after="0"/>
              <w:rPr>
                <w:sz w:val="20"/>
                <w:szCs w:val="20"/>
                <w:color w:val="auto"/>
              </w:rPr>
            </w:pPr>
            <w:r>
              <w:rPr>
                <w:rFonts w:ascii="Arial" w:cs="Arial" w:eastAsia="Arial" w:hAnsi="Arial"/>
                <w:sz w:val="18"/>
                <w:szCs w:val="18"/>
                <w:color w:val="auto"/>
              </w:rPr>
              <w:t>1,441,161</w:t>
            </w:r>
          </w:p>
        </w:tc>
        <w:tc>
          <w:tcPr>
            <w:tcW w:w="2840" w:type="dxa"/>
            <w:vAlign w:val="bottom"/>
          </w:tcPr>
          <w:p>
            <w:pPr>
              <w:jc w:val="right"/>
              <w:ind w:right="1210"/>
              <w:spacing w:after="0"/>
              <w:rPr>
                <w:sz w:val="20"/>
                <w:szCs w:val="20"/>
                <w:color w:val="auto"/>
              </w:rPr>
            </w:pPr>
            <w:r>
              <w:rPr>
                <w:rFonts w:ascii="Arial" w:cs="Arial" w:eastAsia="Arial" w:hAnsi="Arial"/>
                <w:sz w:val="18"/>
                <w:szCs w:val="18"/>
                <w:color w:val="auto"/>
              </w:rPr>
              <w:t>0</w:t>
            </w:r>
          </w:p>
        </w:tc>
      </w:tr>
    </w:tbl>
    <w:p>
      <w:pPr>
        <w:spacing w:after="0" w:line="37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Because there were sufficient votes at the time of Comcast’s special meeting to approve the stock issuance, a vote was not called on the proposal to approve the adjournment of the Comcast special meeting if necessary to solicit additional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6540" w:type="dxa"/>
            <w:vAlign w:val="bottom"/>
            <w:gridSpan w:val="3"/>
          </w:tcPr>
          <w:p>
            <w:pPr>
              <w:ind w:left="2000"/>
              <w:spacing w:after="0"/>
              <w:rPr>
                <w:sz w:val="20"/>
                <w:szCs w:val="20"/>
                <w:color w:val="auto"/>
              </w:rPr>
            </w:pPr>
            <w:r>
              <w:rPr>
                <w:rFonts w:ascii="Arial" w:cs="Arial" w:eastAsia="Arial" w:hAnsi="Arial"/>
                <w:sz w:val="18"/>
                <w:szCs w:val="18"/>
                <w:b w:val="1"/>
                <w:bCs w:val="1"/>
                <w:color w:val="auto"/>
              </w:rPr>
              <w:t>COMCAST CORPORATION</w:t>
            </w:r>
          </w:p>
        </w:tc>
        <w:tc>
          <w:tcPr>
            <w:tcW w:w="1160" w:type="dxa"/>
            <w:vAlign w:val="bottom"/>
          </w:tcPr>
          <w:p>
            <w:pPr>
              <w:spacing w:after="0"/>
              <w:rPr>
                <w:sz w:val="20"/>
                <w:szCs w:val="20"/>
                <w:color w:val="auto"/>
              </w:rPr>
            </w:pP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  October 8, 2014</w:t>
            </w:r>
          </w:p>
        </w:tc>
        <w:tc>
          <w:tcPr>
            <w:tcW w:w="6540" w:type="dxa"/>
            <w:vAlign w:val="bottom"/>
            <w:gridSpan w:val="3"/>
          </w:tcPr>
          <w:p>
            <w:pPr>
              <w:ind w:left="2000"/>
              <w:spacing w:after="0"/>
              <w:rPr>
                <w:sz w:val="20"/>
                <w:szCs w:val="20"/>
                <w:color w:val="auto"/>
              </w:rPr>
            </w:pPr>
            <w:r>
              <w:rPr>
                <w:rFonts w:ascii="Arial" w:cs="Arial" w:eastAsia="Arial" w:hAnsi="Arial"/>
                <w:sz w:val="18"/>
                <w:szCs w:val="18"/>
                <w:color w:val="auto"/>
              </w:rPr>
              <w:t>By:  /s/ Arthur R. Block</w:t>
            </w:r>
          </w:p>
        </w:tc>
        <w:tc>
          <w:tcPr>
            <w:tcW w:w="116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5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Arthur R. Block</w:t>
            </w:r>
          </w:p>
        </w:tc>
        <w:tc>
          <w:tcPr>
            <w:tcW w:w="116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80"/>
              <w:spacing w:after="0"/>
              <w:rPr>
                <w:sz w:val="20"/>
                <w:szCs w:val="20"/>
                <w:color w:val="auto"/>
              </w:rPr>
            </w:pPr>
            <w:r>
              <w:rPr>
                <w:rFonts w:ascii="Arial" w:cs="Arial" w:eastAsia="Arial" w:hAnsi="Arial"/>
                <w:sz w:val="18"/>
                <w:szCs w:val="18"/>
                <w:color w:val="auto"/>
                <w:w w:val="96"/>
              </w:rPr>
              <w:t>Senior Vice President, General Counsel and</w:t>
            </w:r>
          </w:p>
        </w:tc>
        <w:tc>
          <w:tcPr>
            <w:tcW w:w="116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Secretary</w:t>
            </w:r>
          </w:p>
        </w:tc>
        <w:tc>
          <w:tcPr>
            <w:tcW w:w="1160" w:type="dxa"/>
            <w:vAlign w:val="bottom"/>
          </w:tcPr>
          <w:p>
            <w:pPr>
              <w:spacing w:after="0"/>
              <w:rPr>
                <w:sz w:val="20"/>
                <w:szCs w:val="20"/>
                <w:color w:val="auto"/>
              </w:rPr>
            </w:pPr>
          </w:p>
        </w:tc>
      </w:tr>
      <w:tr>
        <w:trPr>
          <w:trHeight w:val="1307"/>
        </w:trPr>
        <w:tc>
          <w:tcPr>
            <w:tcW w:w="374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2019-12-07T02:45:48Z</dcterms:created>
  <dcterms:modified xsi:type="dcterms:W3CDTF">2019-12-07T02:45:48Z</dcterms:modified>
</cp:coreProperties>
</file>