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213995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740" w:type="dxa"/>
        <w:tblCellMar>
          <w:top w:w="0" w:type="dxa"/>
          <w:left w:w="0" w:type="dxa"/>
          <w:bottom w:w="0" w:type="dxa"/>
          <w:right w:w="0" w:type="dxa"/>
        </w:tblCellMar>
      </w:tblPr>
      <w:tr>
        <w:trPr>
          <w:trHeight w:val="421"/>
        </w:trPr>
        <w:tc>
          <w:tcPr>
            <w:tcW w:w="2500" w:type="dxa"/>
            <w:vAlign w:val="bottom"/>
          </w:tcPr>
          <w:p>
            <w:pPr>
              <w:spacing w:after="0"/>
              <w:rPr>
                <w:sz w:val="24"/>
                <w:szCs w:val="24"/>
                <w:color w:val="auto"/>
              </w:rPr>
            </w:pPr>
          </w:p>
        </w:tc>
        <w:tc>
          <w:tcPr>
            <w:tcW w:w="7260" w:type="dxa"/>
            <w:vAlign w:val="bottom"/>
          </w:tcPr>
          <w:p>
            <w:pPr>
              <w:jc w:val="center"/>
              <w:ind w:right="2200"/>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500" w:type="dxa"/>
            <w:vAlign w:val="bottom"/>
          </w:tcPr>
          <w:p>
            <w:pPr>
              <w:spacing w:after="0"/>
              <w:rPr>
                <w:sz w:val="24"/>
                <w:szCs w:val="24"/>
                <w:color w:val="auto"/>
              </w:rPr>
            </w:pPr>
          </w:p>
        </w:tc>
        <w:tc>
          <w:tcPr>
            <w:tcW w:w="7260" w:type="dxa"/>
            <w:vAlign w:val="bottom"/>
          </w:tcPr>
          <w:p>
            <w:pPr>
              <w:jc w:val="center"/>
              <w:ind w:right="2200"/>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500" w:type="dxa"/>
            <w:vAlign w:val="bottom"/>
          </w:tcPr>
          <w:p>
            <w:pPr>
              <w:spacing w:after="0"/>
              <w:rPr>
                <w:sz w:val="24"/>
                <w:szCs w:val="24"/>
                <w:color w:val="auto"/>
              </w:rPr>
            </w:pPr>
          </w:p>
        </w:tc>
        <w:tc>
          <w:tcPr>
            <w:tcW w:w="7260" w:type="dxa"/>
            <w:vAlign w:val="bottom"/>
          </w:tcPr>
          <w:p>
            <w:pPr>
              <w:jc w:val="center"/>
              <w:ind w:right="2200"/>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2500" w:type="dxa"/>
            <w:vAlign w:val="bottom"/>
          </w:tcPr>
          <w:p>
            <w:pPr>
              <w:spacing w:after="0"/>
              <w:rPr>
                <w:sz w:val="24"/>
                <w:szCs w:val="24"/>
                <w:color w:val="auto"/>
              </w:rPr>
            </w:pPr>
          </w:p>
        </w:tc>
        <w:tc>
          <w:tcPr>
            <w:tcW w:w="7260" w:type="dxa"/>
            <w:vAlign w:val="bottom"/>
          </w:tcPr>
          <w:p>
            <w:pPr>
              <w:jc w:val="center"/>
              <w:ind w:right="2220"/>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481"/>
        </w:trPr>
        <w:tc>
          <w:tcPr>
            <w:tcW w:w="2500" w:type="dxa"/>
            <w:vAlign w:val="bottom"/>
          </w:tcPr>
          <w:p>
            <w:pPr>
              <w:spacing w:after="0"/>
              <w:rPr>
                <w:sz w:val="24"/>
                <w:szCs w:val="24"/>
                <w:color w:val="auto"/>
              </w:rPr>
            </w:pPr>
          </w:p>
        </w:tc>
        <w:tc>
          <w:tcPr>
            <w:tcW w:w="7260" w:type="dxa"/>
            <w:vAlign w:val="bottom"/>
          </w:tcPr>
          <w:p>
            <w:pPr>
              <w:jc w:val="center"/>
              <w:ind w:right="2220"/>
              <w:spacing w:after="0"/>
              <w:rPr>
                <w:sz w:val="20"/>
                <w:szCs w:val="20"/>
                <w:color w:val="auto"/>
              </w:rPr>
            </w:pPr>
            <w:r>
              <w:rPr>
                <w:rFonts w:ascii="Arial" w:cs="Arial" w:eastAsia="Arial" w:hAnsi="Arial"/>
                <w:sz w:val="18"/>
                <w:szCs w:val="18"/>
                <w:color w:val="auto"/>
                <w:w w:val="92"/>
              </w:rPr>
              <w:t>Date of report (Date of earliest event reported): May 10, 2015</w:t>
            </w:r>
          </w:p>
        </w:tc>
      </w:tr>
      <w:tr>
        <w:trPr>
          <w:trHeight w:val="562"/>
        </w:trPr>
        <w:tc>
          <w:tcPr>
            <w:tcW w:w="2500" w:type="dxa"/>
            <w:vAlign w:val="bottom"/>
          </w:tcPr>
          <w:p>
            <w:pPr>
              <w:spacing w:after="0"/>
              <w:rPr>
                <w:sz w:val="24"/>
                <w:szCs w:val="24"/>
                <w:color w:val="auto"/>
              </w:rPr>
            </w:pPr>
          </w:p>
        </w:tc>
        <w:tc>
          <w:tcPr>
            <w:tcW w:w="7260" w:type="dxa"/>
            <w:vAlign w:val="bottom"/>
          </w:tcPr>
          <w:p>
            <w:pPr>
              <w:jc w:val="center"/>
              <w:ind w:right="2240"/>
              <w:spacing w:after="0"/>
              <w:rPr>
                <w:sz w:val="20"/>
                <w:szCs w:val="20"/>
                <w:color w:val="auto"/>
              </w:rPr>
            </w:pPr>
            <w:r>
              <w:rPr>
                <w:rFonts w:ascii="Arial" w:cs="Arial" w:eastAsia="Arial" w:hAnsi="Arial"/>
                <w:sz w:val="29"/>
                <w:szCs w:val="29"/>
                <w:b w:val="1"/>
                <w:bCs w:val="1"/>
                <w:color w:val="auto"/>
                <w:w w:val="90"/>
              </w:rPr>
              <w:t>Comcast Corporation</w:t>
            </w:r>
          </w:p>
        </w:tc>
      </w:tr>
      <w:tr>
        <w:trPr>
          <w:trHeight w:val="176"/>
        </w:trPr>
        <w:tc>
          <w:tcPr>
            <w:tcW w:w="2500" w:type="dxa"/>
            <w:vAlign w:val="bottom"/>
          </w:tcPr>
          <w:p>
            <w:pPr>
              <w:spacing w:after="0"/>
              <w:rPr>
                <w:sz w:val="15"/>
                <w:szCs w:val="15"/>
                <w:color w:val="auto"/>
              </w:rPr>
            </w:pPr>
          </w:p>
        </w:tc>
        <w:tc>
          <w:tcPr>
            <w:tcW w:w="7260" w:type="dxa"/>
            <w:vAlign w:val="bottom"/>
          </w:tcPr>
          <w:p>
            <w:pPr>
              <w:jc w:val="center"/>
              <w:ind w:right="2220"/>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500" w:type="dxa"/>
            <w:vAlign w:val="bottom"/>
          </w:tcPr>
          <w:p>
            <w:pPr>
              <w:spacing w:after="0"/>
              <w:rPr>
                <w:sz w:val="15"/>
                <w:szCs w:val="15"/>
                <w:color w:val="auto"/>
              </w:rPr>
            </w:pPr>
          </w:p>
        </w:tc>
        <w:tc>
          <w:tcPr>
            <w:tcW w:w="7260" w:type="dxa"/>
            <w:vAlign w:val="bottom"/>
          </w:tcPr>
          <w:p>
            <w:pPr>
              <w:jc w:val="center"/>
              <w:ind w:right="2220"/>
              <w:spacing w:after="0"/>
              <w:rPr>
                <w:sz w:val="20"/>
                <w:szCs w:val="20"/>
                <w:color w:val="auto"/>
              </w:rPr>
            </w:pPr>
            <w:r>
              <w:rPr>
                <w:rFonts w:ascii="Arial" w:cs="Arial" w:eastAsia="Arial" w:hAnsi="Arial"/>
                <w:sz w:val="14"/>
                <w:szCs w:val="14"/>
                <w:color w:val="auto"/>
                <w:w w:val="93"/>
              </w:rPr>
              <w:t>as Specified in its Charter)</w:t>
            </w:r>
          </w:p>
        </w:tc>
      </w:tr>
      <w:tr>
        <w:trPr>
          <w:trHeight w:val="431"/>
        </w:trPr>
        <w:tc>
          <w:tcPr>
            <w:tcW w:w="2500" w:type="dxa"/>
            <w:vAlign w:val="bottom"/>
          </w:tcPr>
          <w:p>
            <w:pPr>
              <w:spacing w:after="0"/>
              <w:rPr>
                <w:sz w:val="24"/>
                <w:szCs w:val="24"/>
                <w:color w:val="auto"/>
              </w:rPr>
            </w:pPr>
          </w:p>
        </w:tc>
        <w:tc>
          <w:tcPr>
            <w:tcW w:w="7260" w:type="dxa"/>
            <w:vAlign w:val="bottom"/>
          </w:tcPr>
          <w:p>
            <w:pPr>
              <w:jc w:val="center"/>
              <w:ind w:right="2220"/>
              <w:spacing w:after="0"/>
              <w:rPr>
                <w:sz w:val="20"/>
                <w:szCs w:val="20"/>
                <w:color w:val="auto"/>
              </w:rPr>
            </w:pPr>
            <w:r>
              <w:rPr>
                <w:rFonts w:ascii="Arial" w:cs="Arial" w:eastAsia="Arial" w:hAnsi="Arial"/>
                <w:sz w:val="18"/>
                <w:szCs w:val="18"/>
                <w:b w:val="1"/>
                <w:bCs w:val="1"/>
                <w:color w:val="auto"/>
                <w:w w:val="88"/>
              </w:rPr>
              <w:t>Pennsylvania</w:t>
            </w:r>
          </w:p>
        </w:tc>
      </w:tr>
      <w:tr>
        <w:trPr>
          <w:trHeight w:val="218"/>
        </w:trPr>
        <w:tc>
          <w:tcPr>
            <w:tcW w:w="2500" w:type="dxa"/>
            <w:vAlign w:val="bottom"/>
          </w:tcPr>
          <w:p>
            <w:pPr>
              <w:spacing w:after="0"/>
              <w:rPr>
                <w:sz w:val="18"/>
                <w:szCs w:val="18"/>
                <w:color w:val="auto"/>
              </w:rPr>
            </w:pPr>
          </w:p>
        </w:tc>
        <w:tc>
          <w:tcPr>
            <w:tcW w:w="7260" w:type="dxa"/>
            <w:vAlign w:val="bottom"/>
          </w:tcPr>
          <w:p>
            <w:pPr>
              <w:jc w:val="center"/>
              <w:ind w:right="2220"/>
              <w:spacing w:after="0"/>
              <w:rPr>
                <w:sz w:val="20"/>
                <w:szCs w:val="20"/>
                <w:color w:val="auto"/>
              </w:rPr>
            </w:pPr>
            <w:r>
              <w:rPr>
                <w:rFonts w:ascii="Arial" w:cs="Arial" w:eastAsia="Arial" w:hAnsi="Arial"/>
                <w:sz w:val="14"/>
                <w:szCs w:val="14"/>
                <w:color w:val="auto"/>
                <w:w w:val="94"/>
              </w:rPr>
              <w:t>(State or Other Jurisdiction of Incorporation)</w:t>
            </w:r>
          </w:p>
        </w:tc>
      </w:tr>
      <w:tr>
        <w:trPr>
          <w:trHeight w:val="431"/>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260" w:type="dxa"/>
            <w:vAlign w:val="bottom"/>
          </w:tcPr>
          <w:p>
            <w:pPr>
              <w:jc w:val="center"/>
              <w:ind w:left="5200"/>
              <w:spacing w:after="0"/>
              <w:rPr>
                <w:sz w:val="20"/>
                <w:szCs w:val="20"/>
                <w:color w:val="auto"/>
              </w:rPr>
            </w:pPr>
            <w:r>
              <w:rPr>
                <w:rFonts w:ascii="Arial" w:cs="Arial" w:eastAsia="Arial" w:hAnsi="Arial"/>
                <w:sz w:val="18"/>
                <w:szCs w:val="18"/>
                <w:b w:val="1"/>
                <w:bCs w:val="1"/>
                <w:color w:val="auto"/>
                <w:w w:val="91"/>
              </w:rPr>
              <w:t>27-0000798</w:t>
            </w:r>
          </w:p>
        </w:tc>
      </w:tr>
      <w:tr>
        <w:trPr>
          <w:trHeight w:val="218"/>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4"/>
              </w:rPr>
              <w:t>(Commission File Number)</w:t>
            </w:r>
          </w:p>
        </w:tc>
        <w:tc>
          <w:tcPr>
            <w:tcW w:w="7260" w:type="dxa"/>
            <w:vAlign w:val="bottom"/>
          </w:tcPr>
          <w:p>
            <w:pPr>
              <w:jc w:val="center"/>
              <w:ind w:left="5180"/>
              <w:spacing w:after="0"/>
              <w:rPr>
                <w:sz w:val="20"/>
                <w:szCs w:val="20"/>
                <w:color w:val="auto"/>
              </w:rPr>
            </w:pPr>
            <w:r>
              <w:rPr>
                <w:rFonts w:ascii="Arial" w:cs="Arial" w:eastAsia="Arial" w:hAnsi="Arial"/>
                <w:sz w:val="14"/>
                <w:szCs w:val="14"/>
                <w:color w:val="auto"/>
                <w:w w:val="97"/>
              </w:rPr>
              <w:t>(IRS Employer Identification No.)</w:t>
            </w:r>
          </w:p>
        </w:tc>
      </w:tr>
      <w:tr>
        <w:trPr>
          <w:trHeight w:val="412"/>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One Comcast Center</w:t>
            </w:r>
          </w:p>
        </w:tc>
        <w:tc>
          <w:tcPr>
            <w:tcW w:w="7260" w:type="dxa"/>
            <w:vAlign w:val="bottom"/>
          </w:tcPr>
          <w:p>
            <w:pPr>
              <w:spacing w:after="0"/>
              <w:rPr>
                <w:sz w:val="24"/>
                <w:szCs w:val="24"/>
                <w:color w:val="auto"/>
              </w:rPr>
            </w:pPr>
          </w:p>
        </w:tc>
      </w:tr>
      <w:tr>
        <w:trPr>
          <w:trHeight w:val="234"/>
        </w:trPr>
        <w:tc>
          <w:tcPr>
            <w:tcW w:w="2500" w:type="dxa"/>
            <w:vAlign w:val="bottom"/>
          </w:tcPr>
          <w:p>
            <w:pPr>
              <w:jc w:val="center"/>
              <w:ind w:right="97"/>
              <w:spacing w:after="0"/>
              <w:rPr>
                <w:sz w:val="20"/>
                <w:szCs w:val="20"/>
                <w:color w:val="auto"/>
              </w:rPr>
            </w:pPr>
            <w:r>
              <w:rPr>
                <w:rFonts w:ascii="Arial" w:cs="Arial" w:eastAsia="Arial" w:hAnsi="Arial"/>
                <w:sz w:val="18"/>
                <w:szCs w:val="18"/>
                <w:b w:val="1"/>
                <w:bCs w:val="1"/>
                <w:color w:val="auto"/>
                <w:w w:val="90"/>
              </w:rPr>
              <w:t>Philadelphia, PA</w:t>
            </w:r>
          </w:p>
        </w:tc>
        <w:tc>
          <w:tcPr>
            <w:tcW w:w="7260" w:type="dxa"/>
            <w:vAlign w:val="bottom"/>
          </w:tcPr>
          <w:p>
            <w:pPr>
              <w:jc w:val="center"/>
              <w:ind w:left="5200"/>
              <w:spacing w:after="0"/>
              <w:rPr>
                <w:sz w:val="20"/>
                <w:szCs w:val="20"/>
                <w:color w:val="auto"/>
              </w:rPr>
            </w:pPr>
            <w:r>
              <w:rPr>
                <w:rFonts w:ascii="Arial" w:cs="Arial" w:eastAsia="Arial" w:hAnsi="Arial"/>
                <w:sz w:val="18"/>
                <w:szCs w:val="18"/>
                <w:b w:val="1"/>
                <w:bCs w:val="1"/>
                <w:color w:val="auto"/>
                <w:w w:val="91"/>
              </w:rPr>
              <w:t>19103-2838</w:t>
            </w:r>
          </w:p>
        </w:tc>
      </w:tr>
      <w:tr>
        <w:trPr>
          <w:trHeight w:val="218"/>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5"/>
              </w:rPr>
              <w:t>(Address of Principal Executive Offices)</w:t>
            </w:r>
          </w:p>
        </w:tc>
        <w:tc>
          <w:tcPr>
            <w:tcW w:w="7260" w:type="dxa"/>
            <w:vAlign w:val="bottom"/>
          </w:tcPr>
          <w:p>
            <w:pPr>
              <w:jc w:val="center"/>
              <w:ind w:left="5200"/>
              <w:spacing w:after="0"/>
              <w:rPr>
                <w:sz w:val="20"/>
                <w:szCs w:val="20"/>
                <w:color w:val="auto"/>
              </w:rPr>
            </w:pPr>
            <w:r>
              <w:rPr>
                <w:rFonts w:ascii="Arial" w:cs="Arial" w:eastAsia="Arial" w:hAnsi="Arial"/>
                <w:sz w:val="14"/>
                <w:szCs w:val="14"/>
                <w:color w:val="auto"/>
                <w:w w:val="96"/>
              </w:rPr>
              <w:t>(Zip Code)</w:t>
            </w:r>
          </w:p>
        </w:tc>
      </w:tr>
      <w:tr>
        <w:trPr>
          <w:trHeight w:val="431"/>
        </w:trPr>
        <w:tc>
          <w:tcPr>
            <w:tcW w:w="2500" w:type="dxa"/>
            <w:vAlign w:val="bottom"/>
          </w:tcPr>
          <w:p>
            <w:pPr>
              <w:spacing w:after="0"/>
              <w:rPr>
                <w:sz w:val="24"/>
                <w:szCs w:val="24"/>
                <w:color w:val="auto"/>
              </w:rPr>
            </w:pPr>
          </w:p>
        </w:tc>
        <w:tc>
          <w:tcPr>
            <w:tcW w:w="7260" w:type="dxa"/>
            <w:vAlign w:val="bottom"/>
          </w:tcPr>
          <w:p>
            <w:pPr>
              <w:jc w:val="center"/>
              <w:ind w:right="2200"/>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393"/>
        </w:trPr>
        <w:tc>
          <w:tcPr>
            <w:tcW w:w="2500" w:type="dxa"/>
            <w:vAlign w:val="bottom"/>
          </w:tcPr>
          <w:p>
            <w:pPr>
              <w:spacing w:after="0"/>
              <w:rPr>
                <w:sz w:val="24"/>
                <w:szCs w:val="24"/>
                <w:color w:val="auto"/>
              </w:rPr>
            </w:pPr>
          </w:p>
        </w:tc>
        <w:tc>
          <w:tcPr>
            <w:tcW w:w="7260" w:type="dxa"/>
            <w:vAlign w:val="bottom"/>
          </w:tcPr>
          <w:p>
            <w:pPr>
              <w:jc w:val="center"/>
              <w:ind w:right="2200"/>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5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580" w:right="77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May 11, 2015, Comcast Corporation (the “Company”) announced that it had appointed Michael J. Cavanagh to serve as Senior Executive Vice President and Chief Financial Officer, effective at a date to be mutually agreed and not expected to be later than July 6, 2015. In connection with this appointment, Michael J. Angelakis will cease to serve as the Company’s Vice Chairman and Chief Financial Officer and, as previously disclosed, will become a Senior Advisor to the Company, and for a period of time to be mutually agreed will assist in the transition.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Since July 2014, Mr. Cavanagh, age 49, served as Co-President and Co-Chief Operating Officer of The Carlyle Group. Prior to that, he held various positions at JP Morgan Chase &amp; Co., including as Co-Chief Executive Officer of its Corporate &amp; Investment Bank from August 2012 until March 2014, Chief Executive Officer of its Treasury and Securities Services Business from June 2010 until July 2012 and its Chief Financial Officer from September 2004 until June 2010. He also was a member of JP Morgan Chase &amp; Co.’s Operating Committee from September 2004 until March 2014. Mr. Cavanagh serves on the Board of Directors of Yum! Brands, Inc.</w:t>
      </w:r>
    </w:p>
    <w:p>
      <w:pPr>
        <w:spacing w:after="0" w:line="24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and Mr. Cavanagh entered into an employment agreement dated as of May 10, 2015. The employment agreement secures Mr. Cavanagh’s employment through December 31, 2019 and provides him with a signing bonus comprised of a performance-based restricted stock unit award with a grant date value of $10,000,000, which will vest on the thirteen-month anniversary of the grant date; a performance-based restricted stock unit award with a grant date value of $2,500,000, which will vest one-third on the thirteen-month anniversary of the grant date and one-third each on the second and third anniversaries of the grant date; and a contribution of $10,000,000 to the Company’s deferred compensation plan. The deferred compensation contribution will be subject to a 100% clawback should Mr. Cavanagh’s employment be terminated by the Company with cause or by him without good reason within 12 months following the date employment commences and a 50% clawback if such termination occurs between 12 and 24 months following such date.</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employment agreement provides that, in lieu of the compensation Mr. Cavanagh would have been eligible to receive from his prior employer in 2015, for 2015 he will receive a base salary of $1,800,000, a cash bonus opportunity of 300% of his base salary, and a deferred compensation contribution and equity compensation plan awards consistent with such compensation elements set forth in the agreement for 2016. The deferred compensation contribution will be subject to the same clawback provision as is described above. The agreement also provides for specified equity compensation plan awards for 2016 and specified deferred compensation contributions from 2016 through 2019.</w:t>
      </w:r>
    </w:p>
    <w:p>
      <w:pPr>
        <w:spacing w:after="0" w:line="24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a termination of his employment by the Company without cause or by him for good reason, Mr. Cavanagh will be entitled to specified post-termination payments and benefits, including continued participation in the Company’s cash bonus plan, continued vesting of specified equity compensation plan awards and continued exercisability of specified stock options. Mr. Cavanagh will be subject to non-solicitation, non-competition and confidentiality covenants and will also be subject to the Company’s Stock Ownership Policy.</w:t>
      </w:r>
    </w:p>
    <w:p>
      <w:pPr>
        <w:spacing w:after="0" w:line="24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above summary is qualified by its entirety by the terms and conditions set forth in the employment agreement, a copy of which is attached hereto as Exhibit 99.1. On May 11, 2015, Comcast issued a press release with respect to the foregoing. A copy of the press release is attached hereto as Exhibit 99.2.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9960" w:type="dxa"/>
            <w:vAlign w:val="bottom"/>
          </w:tcPr>
          <w:p>
            <w:pPr>
              <w:spacing w:after="0"/>
              <w:rPr>
                <w:sz w:val="18"/>
                <w:szCs w:val="18"/>
                <w:color w:val="auto"/>
              </w:rPr>
            </w:pPr>
          </w:p>
        </w:tc>
      </w:tr>
      <w:tr>
        <w:trPr>
          <w:trHeight w:val="241"/>
        </w:trPr>
        <w:tc>
          <w:tcPr>
            <w:tcW w:w="10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340" w:type="dxa"/>
            <w:vAlign w:val="bottom"/>
            <w:gridSpan w:val="2"/>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380" w:type="dxa"/>
            <w:vAlign w:val="bottom"/>
          </w:tcPr>
          <w:p>
            <w:pPr>
              <w:spacing w:after="0"/>
              <w:rPr>
                <w:sz w:val="17"/>
                <w:szCs w:val="17"/>
                <w:color w:val="auto"/>
              </w:rPr>
            </w:pPr>
          </w:p>
        </w:tc>
        <w:tc>
          <w:tcPr>
            <w:tcW w:w="9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Employment Agreement dated May 10, 2015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10340" w:type="dxa"/>
            <w:vAlign w:val="bottom"/>
            <w:gridSpan w:val="2"/>
          </w:tcPr>
          <w:p>
            <w:pPr>
              <w:ind w:left="380"/>
              <w:spacing w:after="0"/>
              <w:rPr>
                <w:sz w:val="20"/>
                <w:szCs w:val="20"/>
                <w:color w:val="auto"/>
              </w:rPr>
            </w:pPr>
            <w:r>
              <w:rPr>
                <w:rFonts w:ascii="Arial" w:cs="Arial" w:eastAsia="Arial" w:hAnsi="Arial"/>
                <w:sz w:val="18"/>
                <w:szCs w:val="18"/>
                <w:color w:val="auto"/>
              </w:rPr>
              <w:t>Press Release dated May 11, 2015</w:t>
            </w:r>
          </w:p>
        </w:tc>
      </w:tr>
      <w:tr>
        <w:trPr>
          <w:trHeight w:val="686"/>
        </w:trPr>
        <w:tc>
          <w:tcPr>
            <w:tcW w:w="10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c>
          <w:tcPr>
            <w:tcW w:w="196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May 11, 2015</w:t>
            </w:r>
          </w:p>
        </w:tc>
        <w:tc>
          <w:tcPr>
            <w:tcW w:w="5820" w:type="dxa"/>
            <w:vAlign w:val="bottom"/>
            <w:gridSpan w:val="2"/>
          </w:tcPr>
          <w:p>
            <w:pPr>
              <w:ind w:left="2080"/>
              <w:spacing w:after="0"/>
              <w:rPr>
                <w:sz w:val="20"/>
                <w:szCs w:val="20"/>
                <w:color w:val="auto"/>
              </w:rPr>
            </w:pPr>
            <w:r>
              <w:rPr>
                <w:rFonts w:ascii="Arial" w:cs="Arial" w:eastAsia="Arial" w:hAnsi="Arial"/>
                <w:sz w:val="18"/>
                <w:szCs w:val="18"/>
                <w:color w:val="auto"/>
              </w:rPr>
              <w:t>By: /s/ Arthur R. Block</w:t>
            </w:r>
          </w:p>
        </w:tc>
        <w:tc>
          <w:tcPr>
            <w:tcW w:w="196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96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8"/>
              </w:rPr>
              <w:t>Executive Vice President, General Counsel</w:t>
            </w:r>
          </w:p>
        </w:tc>
        <w:tc>
          <w:tcPr>
            <w:tcW w:w="196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and Secretary</w:t>
            </w:r>
          </w:p>
        </w:tc>
        <w:tc>
          <w:tcPr>
            <w:tcW w:w="1960" w:type="dxa"/>
            <w:vAlign w:val="bottom"/>
          </w:tcPr>
          <w:p>
            <w:pPr>
              <w:spacing w:after="0"/>
              <w:rPr>
                <w:sz w:val="20"/>
                <w:szCs w:val="20"/>
                <w:color w:val="auto"/>
              </w:rPr>
            </w:pPr>
          </w:p>
        </w:tc>
      </w:tr>
      <w:tr>
        <w:trPr>
          <w:trHeight w:val="388"/>
        </w:trPr>
        <w:tc>
          <w:tcPr>
            <w:tcW w:w="36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83"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This EMPLOYMENT AGREEMENT (the “Agreement”) is entered into as of the 10 day of May, 2015, between COMCAST CORPORATION, a Pennsylvania corporation (together with its subsidiaries, the “Company”), and MICHAEL J. CAVANAGH (“Employee”).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83" w:lineRule="exact"/>
        <w:rPr>
          <w:sz w:val="20"/>
          <w:szCs w:val="20"/>
          <w:color w:val="auto"/>
        </w:rPr>
      </w:pPr>
    </w:p>
    <w:p>
      <w:pPr>
        <w:ind w:right="120" w:firstLine="495"/>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79" w:lineRule="exact"/>
        <w:rPr>
          <w:sz w:val="20"/>
          <w:szCs w:val="20"/>
          <w:color w:val="auto"/>
        </w:rPr>
      </w:pPr>
    </w:p>
    <w:p>
      <w:pPr>
        <w:ind w:left="1080" w:hanging="5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right="300" w:firstLine="980"/>
        <w:spacing w:after="0" w:line="342" w:lineRule="auto"/>
        <w:tabs>
          <w:tab w:leader="none" w:pos="1487" w:val="left"/>
        </w:tabs>
        <w:numPr>
          <w:ilvl w:val="1"/>
          <w:numId w:val="2"/>
        </w:numPr>
        <w:rPr>
          <w:rFonts w:ascii="Arial" w:cs="Arial" w:eastAsia="Arial" w:hAnsi="Arial"/>
          <w:sz w:val="16"/>
          <w:szCs w:val="16"/>
          <w:color w:val="auto"/>
        </w:rPr>
      </w:pPr>
      <w:r>
        <w:rPr>
          <w:rFonts w:ascii="Arial" w:cs="Arial" w:eastAsia="Arial" w:hAnsi="Arial"/>
          <w:sz w:val="16"/>
          <w:szCs w:val="16"/>
          <w:color w:val="auto"/>
        </w:rPr>
        <w:t>Employee shall serve and the Company shall employ Employee in the position set forth on Schedule 1, provided that the position and duties of Employee from time to time hereunder will be those assigned by the Company commensurate with Employee’s education, skills and experience.</w:t>
      </w:r>
    </w:p>
    <w:p>
      <w:pPr>
        <w:spacing w:after="0" w:line="177" w:lineRule="exact"/>
        <w:rPr>
          <w:rFonts w:ascii="Arial" w:cs="Arial" w:eastAsia="Arial" w:hAnsi="Arial"/>
          <w:sz w:val="16"/>
          <w:szCs w:val="16"/>
          <w:color w:val="auto"/>
        </w:rPr>
      </w:pPr>
    </w:p>
    <w:p>
      <w:pPr>
        <w:ind w:right="20" w:firstLine="980"/>
        <w:spacing w:after="0" w:line="279" w:lineRule="auto"/>
        <w:tabs>
          <w:tab w:leader="none" w:pos="1497"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25" w:lineRule="exact"/>
        <w:rPr>
          <w:rFonts w:ascii="Arial" w:cs="Arial" w:eastAsia="Arial" w:hAnsi="Arial"/>
          <w:sz w:val="17"/>
          <w:szCs w:val="17"/>
          <w:color w:val="auto"/>
        </w:rPr>
      </w:pPr>
    </w:p>
    <w:p>
      <w:pPr>
        <w:ind w:left="1500" w:hanging="520"/>
        <w:spacing w:after="0"/>
        <w:tabs>
          <w:tab w:leader="none" w:pos="1500"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comply with all policies of the Company applicable to Employee, including the Employee Handbook and the Code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Conduct.</w:t>
      </w:r>
    </w:p>
    <w:p>
      <w:pPr>
        <w:spacing w:after="0" w:line="264" w:lineRule="exact"/>
        <w:rPr>
          <w:rFonts w:ascii="Arial" w:cs="Arial" w:eastAsia="Arial" w:hAnsi="Arial"/>
          <w:sz w:val="17"/>
          <w:szCs w:val="17"/>
          <w:color w:val="auto"/>
        </w:rPr>
      </w:pPr>
    </w:p>
    <w:p>
      <w:pPr>
        <w:ind w:right="60" w:firstLine="503"/>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“Term”) shall be from such date as is mutually agreed by the parties (the “Commencement Date”) through the first to occur of: (a) the date Employee’s employment is terminated in accordance with Paragraph 6; or (b) December 31, 2019 (the date specified in subparagraph (b) above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000" w:hanging="49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79" w:lineRule="exact"/>
        <w:rPr>
          <w:sz w:val="20"/>
          <w:szCs w:val="20"/>
          <w:color w:val="auto"/>
        </w:rPr>
      </w:pPr>
    </w:p>
    <w:p>
      <w:pPr>
        <w:ind w:left="1500" w:hanging="52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(“Base Salary”) from the Commencement Date through December 31, 2015 shall be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$1,800,000. Base Salary from January 1, 2016 through February 29, 2016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245" w:lineRule="exact"/>
        <w:rPr>
          <w:sz w:val="20"/>
          <w:szCs w:val="20"/>
          <w:color w:val="auto"/>
        </w:rPr>
      </w:pPr>
    </w:p>
    <w:p>
      <w:pPr>
        <w:ind w:left="1500" w:hanging="520"/>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Signing Bonuses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80" w:firstLine="1467"/>
        <w:spacing w:after="0" w:line="255" w:lineRule="auto"/>
        <w:tabs>
          <w:tab w:leader="none" w:pos="2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Within thirty (30) days of the Commencement Date, the Company shall credit to Employee’s account under, and pursuant to the terms and conditions of, the Company’s Deferred Compensation Plan (the “DCP”), the amount of $10,000,000, provided that in the event of a Termination With Cause or Termination Without Good Reason (as such terms are defined in subparagraph 6(c)) which occurs within twelve (12) months of the Commencement Date, then 100% of the crediting of such amount (and any amounts credited with respect thereto) (the “Clawback Amount”) will be automatically cancelled from the original date or dates thereof, with the result that Employee shall be entitled to no benefit under the DCP on account thereof (a “Clawback”). If any such termination occurs following twelve (12) months but within twenty-four (24) months of the Commencement Date, then 50% of the Clawback Amount will be subject to a Clawback.</w:t>
      </w:r>
    </w:p>
    <w:p>
      <w:pPr>
        <w:spacing w:after="0" w:line="243" w:lineRule="exact"/>
        <w:rPr>
          <w:rFonts w:ascii="Arial" w:cs="Arial" w:eastAsia="Arial" w:hAnsi="Arial"/>
          <w:sz w:val="18"/>
          <w:szCs w:val="18"/>
          <w:color w:val="auto"/>
        </w:rPr>
      </w:pPr>
    </w:p>
    <w:p>
      <w:pPr>
        <w:ind w:firstLine="1467"/>
        <w:spacing w:after="0" w:line="257" w:lineRule="auto"/>
        <w:tabs>
          <w:tab w:leader="none" w:pos="2170"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Within thirty (30) days of the Commencement Date, Employee shall receive a grant of restricted stock units under the Company’s Restricted Stock Plan (the “RSP”) for the number of shares of the Company’s Class A Common Stock (“Class A Common”) having a market value most closely equal to $10,000,000. Such units shall vest on the thirteen month anniversary of the grant date. Vesting of restricted stock units pursuant to this grant and all other grants hereunder shall be subject to the same performance condition (if any) as is contained in the most recent grants made under the RSP to the Company’s other Named Executive Officers.</w:t>
      </w:r>
    </w:p>
    <w:p>
      <w:pPr>
        <w:spacing w:after="0" w:line="242" w:lineRule="exact"/>
        <w:rPr>
          <w:rFonts w:ascii="Arial" w:cs="Arial" w:eastAsia="Arial" w:hAnsi="Arial"/>
          <w:sz w:val="18"/>
          <w:szCs w:val="18"/>
          <w:color w:val="auto"/>
        </w:rPr>
      </w:pPr>
    </w:p>
    <w:p>
      <w:pPr>
        <w:ind w:right="40" w:firstLine="1467"/>
        <w:spacing w:after="0" w:line="264" w:lineRule="auto"/>
        <w:tabs>
          <w:tab w:leader="none" w:pos="2130"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Within thirty (30) days of the Commencement Date, Employee shall receive a grant of restricted stock units under the RSP for the number of shares of the Class A Common most closely equal to $2,500,000. Such units shall vest one-third on the thirteen month anniversary of the grant date, and one-third on each of the second and third anniversaries of the grant date.</w:t>
      </w:r>
    </w:p>
    <w:p>
      <w:pPr>
        <w:spacing w:after="0" w:line="235" w:lineRule="exact"/>
        <w:rPr>
          <w:rFonts w:ascii="Arial" w:cs="Arial" w:eastAsia="Arial" w:hAnsi="Arial"/>
          <w:sz w:val="18"/>
          <w:szCs w:val="18"/>
          <w:color w:val="auto"/>
        </w:rPr>
      </w:pPr>
    </w:p>
    <w:p>
      <w:pPr>
        <w:ind w:right="200" w:firstLine="980"/>
        <w:spacing w:after="0" w:line="259" w:lineRule="auto"/>
        <w:tabs>
          <w:tab w:leader="none" w:pos="148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Other 2015 Compensation</w:t>
      </w:r>
      <w:r>
        <w:rPr>
          <w:rFonts w:ascii="Arial" w:cs="Arial" w:eastAsia="Arial" w:hAnsi="Arial"/>
          <w:sz w:val="18"/>
          <w:szCs w:val="18"/>
          <w:color w:val="auto"/>
        </w:rPr>
        <w:t>. In lieu of the compensation Employee would have received from his prior employer in 2015, in addition to Base Salary and Cash Bonus compensation set forth in this Agreement, over the course of 2015 Employee shall also receive a Company-credited DCP contribution and grants of equity-based compensation consistent with such compensation elements set forth in this Agreement for 2016. Such DCP contribution will be subject to a Clawback in the same manner as set forth in subparagraph (b)(i) above.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460" w:hanging="520"/>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Future Restricted Stock and Stock Option Grants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40" w:right="180" w:firstLine="1467"/>
        <w:spacing w:after="0" w:line="264" w:lineRule="auto"/>
        <w:tabs>
          <w:tab w:leader="none" w:pos="2083"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Commencing in 2016, Employee shall be entitled to participate in any annual (or other) broad-based grant programs under the RSP and/or SOP (or any successor equity-based compensation plan or plans), on a basis consistent with that applicable to other employees at Employee’s level, taking into account Employee’s position, duties and performance.</w:t>
      </w:r>
    </w:p>
    <w:p>
      <w:pPr>
        <w:spacing w:after="0" w:line="235" w:lineRule="exact"/>
        <w:rPr>
          <w:rFonts w:ascii="Arial" w:cs="Arial" w:eastAsia="Arial" w:hAnsi="Arial"/>
          <w:sz w:val="18"/>
          <w:szCs w:val="18"/>
          <w:color w:val="auto"/>
        </w:rPr>
      </w:pPr>
    </w:p>
    <w:p>
      <w:pPr>
        <w:ind w:left="-40" w:right="180" w:firstLine="1467"/>
        <w:spacing w:after="0" w:line="259" w:lineRule="auto"/>
        <w:tabs>
          <w:tab w:leader="none" w:pos="2134"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Consistent with the above, on such date in 2016 as the Company makes its annual grants of restricted stock units, Employee shall receive a grant of restricted stock units under the RSP for the number of shares of the Class A Common most closely equal to $4,000,000. Such units shall vest 15% on the thirteen month anniversary of the grant date, 15% on each of the second to fourth anniversaries of the grant date, and 40% on the fifth anniversary of the grant date.</w:t>
      </w:r>
    </w:p>
    <w:p>
      <w:pPr>
        <w:spacing w:after="0" w:line="240" w:lineRule="exact"/>
        <w:rPr>
          <w:rFonts w:ascii="Arial" w:cs="Arial" w:eastAsia="Arial" w:hAnsi="Arial"/>
          <w:sz w:val="18"/>
          <w:szCs w:val="18"/>
          <w:color w:val="auto"/>
        </w:rPr>
      </w:pPr>
    </w:p>
    <w:p>
      <w:pPr>
        <w:ind w:left="-40" w:firstLine="1467"/>
        <w:spacing w:after="0" w:line="279" w:lineRule="auto"/>
        <w:tabs>
          <w:tab w:leader="none" w:pos="2139"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Consistent with the above, on such date in 2016 as the Company makes its annual grants of stock options, Employee shall receive a grant of stock options under the SOP with respect to a number of shares of the Class A Common most nearly equal to $4,000,000. Such shares shall vest 30% on the second anniversary of the date of grant, 15% on the third through the fifth anniversaries of the date of grant, 5% on the sixth through the ninth anniversaries of the date of grant, and 5% on the nine year and six month anniversary of the date of grant.</w:t>
      </w:r>
    </w:p>
    <w:p>
      <w:pPr>
        <w:spacing w:after="0" w:line="225" w:lineRule="exact"/>
        <w:rPr>
          <w:rFonts w:ascii="Arial" w:cs="Arial" w:eastAsia="Arial" w:hAnsi="Arial"/>
          <w:sz w:val="17"/>
          <w:szCs w:val="17"/>
          <w:color w:val="auto"/>
        </w:rPr>
      </w:pPr>
    </w:p>
    <w:p>
      <w:pPr>
        <w:ind w:left="1460" w:hanging="520"/>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40" w:right="120" w:firstLine="1467"/>
        <w:spacing w:after="0" w:line="286" w:lineRule="auto"/>
        <w:tabs>
          <w:tab w:leader="none" w:pos="2083" w:val="left"/>
        </w:tabs>
        <w:numPr>
          <w:ilvl w:val="1"/>
          <w:numId w:val="6"/>
        </w:numPr>
        <w:rPr>
          <w:rFonts w:ascii="Arial" w:cs="Arial" w:eastAsia="Arial" w:hAnsi="Arial"/>
          <w:sz w:val="17"/>
          <w:szCs w:val="17"/>
          <w:color w:val="auto"/>
        </w:rPr>
      </w:pPr>
      <w:r>
        <w:rPr>
          <w:rFonts w:ascii="Arial" w:cs="Arial" w:eastAsia="Arial" w:hAnsi="Arial"/>
          <w:sz w:val="17"/>
          <w:szCs w:val="17"/>
          <w:color w:val="auto"/>
        </w:rPr>
        <w:t>Employee shall be entitled to participate in the Company’s Cash Bonus Plan as set forth on Schedule 1 through December 31, 2015. Employee’s participation in such Plan will be pursuant to the terms and conditions thereof. The performance goals applicable to such cash bonus will be consistent with those applicable to other employees at Employee’s level, taking into account Employee’s position and duties.</w:t>
      </w:r>
    </w:p>
    <w:p>
      <w:pPr>
        <w:spacing w:after="0" w:line="219" w:lineRule="exact"/>
        <w:rPr>
          <w:rFonts w:ascii="Arial" w:cs="Arial" w:eastAsia="Arial" w:hAnsi="Arial"/>
          <w:sz w:val="17"/>
          <w:szCs w:val="17"/>
          <w:color w:val="auto"/>
        </w:rPr>
      </w:pPr>
    </w:p>
    <w:p>
      <w:pPr>
        <w:jc w:val="both"/>
        <w:ind w:left="-40" w:right="100" w:firstLine="1467"/>
        <w:spacing w:after="0" w:line="279" w:lineRule="auto"/>
        <w:tabs>
          <w:tab w:leader="none" w:pos="2134" w:val="left"/>
        </w:tabs>
        <w:numPr>
          <w:ilvl w:val="1"/>
          <w:numId w:val="6"/>
        </w:numPr>
        <w:rPr>
          <w:rFonts w:ascii="Arial" w:cs="Arial" w:eastAsia="Arial" w:hAnsi="Arial"/>
          <w:sz w:val="17"/>
          <w:szCs w:val="17"/>
          <w:color w:val="auto"/>
        </w:rPr>
      </w:pPr>
      <w:r>
        <w:rPr>
          <w:rFonts w:ascii="Arial" w:cs="Arial" w:eastAsia="Arial" w:hAnsi="Arial"/>
          <w:sz w:val="17"/>
          <w:szCs w:val="17"/>
          <w:color w:val="auto"/>
        </w:rPr>
        <w:t>Employee shall be entitled to continued participation in the Company’s Cash Bonus Plan (or any successor performance-based cash incentive compensation plan) with respect to each subsequent calendar year (or portion thereof) in the Term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25" w:lineRule="exact"/>
        <w:rPr>
          <w:rFonts w:ascii="Arial" w:cs="Arial" w:eastAsia="Arial" w:hAnsi="Arial"/>
          <w:sz w:val="17"/>
          <w:szCs w:val="17"/>
          <w:color w:val="auto"/>
        </w:rPr>
      </w:pPr>
    </w:p>
    <w:p>
      <w:pPr>
        <w:ind w:left="1480" w:hanging="540"/>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40" w:right="100" w:firstLine="1467"/>
        <w:spacing w:after="0" w:line="277" w:lineRule="auto"/>
        <w:tabs>
          <w:tab w:leader="none" w:pos="2083"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224" w:lineRule="exact"/>
        <w:rPr>
          <w:rFonts w:ascii="Arial" w:cs="Arial" w:eastAsia="Arial" w:hAnsi="Arial"/>
          <w:sz w:val="18"/>
          <w:szCs w:val="18"/>
          <w:color w:val="auto"/>
        </w:rPr>
      </w:pPr>
    </w:p>
    <w:p>
      <w:pPr>
        <w:ind w:left="-40" w:right="200" w:firstLine="1467"/>
        <w:spacing w:after="0" w:line="277" w:lineRule="auto"/>
        <w:tabs>
          <w:tab w:leader="none" w:pos="2134" w:val="left"/>
        </w:tabs>
        <w:numPr>
          <w:ilvl w:val="1"/>
          <w:numId w:val="6"/>
        </w:numPr>
        <w:rPr>
          <w:rFonts w:ascii="Arial" w:cs="Arial" w:eastAsia="Arial" w:hAnsi="Arial"/>
          <w:sz w:val="18"/>
          <w:szCs w:val="18"/>
          <w:color w:val="auto"/>
        </w:rPr>
      </w:pPr>
      <w:r>
        <w:rPr>
          <w:rFonts w:ascii="Arial" w:cs="Arial" w:eastAsia="Arial" w:hAnsi="Arial"/>
          <w:sz w:val="18"/>
          <w:szCs w:val="18"/>
          <w:color w:val="auto"/>
        </w:rPr>
        <w:t>Further, the Company shall credit to Employee’s account under, and pursuant to the terms and conditions of, the DCP (or any successor plan), as of January 1 of each of the following calendar years, the following amounts: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7" w:right="259" w:bottom="1440" w:gutter="0" w:footer="0" w:header="0"/>
        </w:sectPr>
      </w:pPr>
    </w:p>
    <w:bookmarkStart w:id="6" w:name="page7"/>
    <w:bookmarkEnd w:id="6"/>
    <w:tbl>
      <w:tblPr>
        <w:tblLayout w:type="fixed"/>
        <w:tblInd w:w="39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w w:val="84"/>
              </w:rPr>
              <w:t>Year</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Amount</w:t>
            </w:r>
          </w:p>
        </w:tc>
      </w:tr>
      <w:tr>
        <w:trPr>
          <w:trHeight w:val="20"/>
        </w:trPr>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700" w:type="dxa"/>
            <w:vAlign w:val="bottom"/>
            <w:gridSpan w:val="2"/>
          </w:tcPr>
          <w:p>
            <w:pPr>
              <w:spacing w:after="0"/>
              <w:rPr>
                <w:sz w:val="20"/>
                <w:szCs w:val="20"/>
                <w:color w:val="auto"/>
              </w:rPr>
            </w:pPr>
            <w:r>
              <w:rPr>
                <w:rFonts w:ascii="Arial" w:cs="Arial" w:eastAsia="Arial" w:hAnsi="Arial"/>
                <w:sz w:val="18"/>
                <w:szCs w:val="18"/>
                <w:color w:val="auto"/>
              </w:rPr>
              <w:t>2016</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w w:val="90"/>
              </w:rPr>
              <w:t>$1,800,000</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2017</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w w:val="90"/>
              </w:rPr>
              <w:t>$1,890,000</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2018</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w w:val="90"/>
              </w:rPr>
              <w:t>$1,984,500</w:t>
            </w: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2019</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w w:val="86"/>
              </w:rPr>
              <w:t>$2,083,725.</w:t>
            </w:r>
          </w:p>
        </w:tc>
      </w:tr>
    </w:tbl>
    <w:p>
      <w:pPr>
        <w:spacing w:after="0" w:line="256" w:lineRule="exact"/>
        <w:rPr>
          <w:sz w:val="20"/>
          <w:szCs w:val="20"/>
          <w:color w:val="auto"/>
        </w:rPr>
      </w:pPr>
    </w:p>
    <w:p>
      <w:pPr>
        <w:ind w:left="-20" w:firstLine="503"/>
        <w:spacing w:after="0" w:line="254" w:lineRule="auto"/>
        <w:tabs>
          <w:tab w:leader="none" w:pos="110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Benefit Plans and Programs</w:t>
      </w:r>
      <w:r>
        <w:rPr>
          <w:rFonts w:ascii="Arial" w:cs="Arial" w:eastAsia="Arial" w:hAnsi="Arial"/>
          <w:sz w:val="18"/>
          <w:szCs w:val="18"/>
          <w:color w:val="auto"/>
        </w:rPr>
        <w:t>. Employee shall be entitled to participate in the Company’s health and welfare and other employee benefit plans and programs (including group insurance programs, vacation benefits, relocation benefits and applicable directors and officers liability insurance and indemnification and advancement of expenses provisions relating to claims made by third parties against Employee in Employee’s role as a director, officer or employee)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246" w:lineRule="exact"/>
        <w:rPr>
          <w:rFonts w:ascii="Arial" w:cs="Arial" w:eastAsia="Arial" w:hAnsi="Arial"/>
          <w:sz w:val="18"/>
          <w:szCs w:val="18"/>
          <w:color w:val="auto"/>
        </w:rPr>
      </w:pPr>
    </w:p>
    <w:p>
      <w:pPr>
        <w:ind w:left="-20" w:right="40" w:firstLine="503"/>
        <w:spacing w:after="0" w:line="286" w:lineRule="auto"/>
        <w:tabs>
          <w:tab w:leader="none" w:pos="110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19" w:lineRule="exact"/>
        <w:rPr>
          <w:rFonts w:ascii="Arial" w:cs="Arial" w:eastAsia="Arial" w:hAnsi="Arial"/>
          <w:sz w:val="17"/>
          <w:szCs w:val="17"/>
          <w:color w:val="auto"/>
        </w:rPr>
      </w:pPr>
    </w:p>
    <w:p>
      <w:pPr>
        <w:ind w:left="-20" w:right="220" w:firstLine="503"/>
        <w:spacing w:after="0" w:line="312" w:lineRule="auto"/>
        <w:tabs>
          <w:tab w:leader="none" w:pos="110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200" w:lineRule="exact"/>
        <w:rPr>
          <w:rFonts w:ascii="Arial" w:cs="Arial" w:eastAsia="Arial" w:hAnsi="Arial"/>
          <w:sz w:val="16"/>
          <w:szCs w:val="16"/>
          <w:color w:val="auto"/>
        </w:rPr>
      </w:pPr>
    </w:p>
    <w:p>
      <w:pPr>
        <w:ind w:left="1480" w:hanging="520"/>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79" w:lineRule="exact"/>
        <w:rPr>
          <w:rFonts w:ascii="Arial" w:cs="Arial" w:eastAsia="Arial" w:hAnsi="Arial"/>
          <w:sz w:val="18"/>
          <w:szCs w:val="18"/>
          <w:color w:val="auto"/>
        </w:rPr>
      </w:pPr>
    </w:p>
    <w:p>
      <w:pPr>
        <w:jc w:val="both"/>
        <w:ind w:left="-20" w:right="80" w:firstLine="980"/>
        <w:spacing w:after="0" w:line="259" w:lineRule="auto"/>
        <w:tabs>
          <w:tab w:leader="none" w:pos="1477"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240" w:lineRule="exact"/>
        <w:rPr>
          <w:rFonts w:ascii="Arial" w:cs="Arial" w:eastAsia="Arial" w:hAnsi="Arial"/>
          <w:sz w:val="18"/>
          <w:szCs w:val="18"/>
          <w:color w:val="auto"/>
        </w:rPr>
      </w:pPr>
    </w:p>
    <w:p>
      <w:pPr>
        <w:ind w:left="1480" w:hanging="520"/>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right="460" w:firstLine="1467"/>
        <w:spacing w:after="0" w:line="308" w:lineRule="auto"/>
        <w:tabs>
          <w:tab w:leader="none" w:pos="2145" w:val="left"/>
        </w:tabs>
        <w:numPr>
          <w:ilvl w:val="2"/>
          <w:numId w:val="7"/>
        </w:numPr>
        <w:rPr>
          <w:rFonts w:ascii="Arial" w:cs="Arial" w:eastAsia="Arial" w:hAnsi="Arial"/>
          <w:sz w:val="17"/>
          <w:szCs w:val="17"/>
          <w:color w:val="auto"/>
        </w:rPr>
      </w:pPr>
      <w:r>
        <w:rPr>
          <w:rFonts w:ascii="Arial" w:cs="Arial" w:eastAsia="Arial" w:hAnsi="Arial"/>
          <w:sz w:val="17"/>
          <w:szCs w:val="17"/>
          <w:color w:val="auto"/>
        </w:rPr>
        <w:t>The Company may terminate Employee’s employment upon written notice following its determination that Employee has committed any of the following acts (“Termination With Cause”): conviction of a felony or a crime involving moral turpitude; fraud;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0" w:right="259" w:bottom="144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t>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41" w:lineRule="exact"/>
        <w:rPr>
          <w:sz w:val="20"/>
          <w:szCs w:val="20"/>
          <w:color w:val="auto"/>
        </w:rPr>
      </w:pPr>
    </w:p>
    <w:p>
      <w:pPr>
        <w:ind w:right="400" w:firstLine="1467"/>
        <w:spacing w:after="0" w:line="277" w:lineRule="auto"/>
        <w:tabs>
          <w:tab w:leader="none" w:pos="2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224" w:lineRule="exact"/>
        <w:rPr>
          <w:rFonts w:ascii="Arial" w:cs="Arial" w:eastAsia="Arial" w:hAnsi="Arial"/>
          <w:sz w:val="18"/>
          <w:szCs w:val="18"/>
          <w:color w:val="auto"/>
        </w:rPr>
      </w:pPr>
    </w:p>
    <w:p>
      <w:pPr>
        <w:ind w:left="1500" w:hanging="520"/>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w:t>
      </w:r>
      <w:r>
        <w:rPr>
          <w:rFonts w:ascii="Arial" w:cs="Arial" w:eastAsia="Arial" w:hAnsi="Arial"/>
          <w:sz w:val="18"/>
          <w:szCs w:val="18"/>
          <w:color w:val="auto"/>
        </w:rPr>
        <w:t xml:space="preserve"> by Employee.</w:t>
      </w:r>
    </w:p>
    <w:p>
      <w:pPr>
        <w:spacing w:after="0" w:line="279" w:lineRule="exact"/>
        <w:rPr>
          <w:rFonts w:ascii="Arial" w:cs="Arial" w:eastAsia="Arial" w:hAnsi="Arial"/>
          <w:sz w:val="18"/>
          <w:szCs w:val="18"/>
          <w:color w:val="auto"/>
        </w:rPr>
      </w:pPr>
    </w:p>
    <w:p>
      <w:pPr>
        <w:ind w:right="20" w:firstLine="1467"/>
        <w:spacing w:after="0" w:line="277" w:lineRule="auto"/>
        <w:tabs>
          <w:tab w:leader="none" w:pos="216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-490855</wp:posOffset>
            </wp:positionV>
            <wp:extent cx="663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75" cy="8890"/>
                    </a:xfrm>
                    <a:prstGeom prst="rect">
                      <a:avLst/>
                    </a:prstGeom>
                    <a:noFill/>
                  </pic:spPr>
                </pic:pic>
              </a:graphicData>
            </a:graphic>
          </wp:anchor>
        </w:drawing>
      </w:r>
    </w:p>
    <w:p>
      <w:pPr>
        <w:spacing w:after="0" w:line="204" w:lineRule="exact"/>
        <w:rPr>
          <w:sz w:val="20"/>
          <w:szCs w:val="20"/>
          <w:color w:val="auto"/>
        </w:rPr>
      </w:pPr>
    </w:p>
    <w:p>
      <w:pPr>
        <w:jc w:val="both"/>
        <w:ind w:right="100" w:firstLine="1467"/>
        <w:spacing w:after="0" w:line="302" w:lineRule="auto"/>
        <w:tabs>
          <w:tab w:leader="none" w:pos="2173" w:val="left"/>
        </w:tabs>
        <w:numPr>
          <w:ilvl w:val="2"/>
          <w:numId w:val="10"/>
        </w:numPr>
        <w:rPr>
          <w:rFonts w:ascii="Arial" w:cs="Arial" w:eastAsia="Arial" w:hAnsi="Arial"/>
          <w:sz w:val="16"/>
          <w:szCs w:val="16"/>
          <w:color w:val="auto"/>
        </w:rPr>
      </w:pPr>
      <w:r>
        <w:rPr>
          <w:rFonts w:ascii="Arial" w:cs="Arial" w:eastAsia="Arial" w:hAnsi="Arial"/>
          <w:sz w:val="16"/>
          <w:szCs w:val="16"/>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208" w:lineRule="exact"/>
        <w:rPr>
          <w:rFonts w:ascii="Arial" w:cs="Arial" w:eastAsia="Arial" w:hAnsi="Arial"/>
          <w:sz w:val="16"/>
          <w:szCs w:val="16"/>
          <w:color w:val="auto"/>
        </w:rPr>
      </w:pPr>
    </w:p>
    <w:p>
      <w:pPr>
        <w:ind w:right="320" w:firstLine="503"/>
        <w:spacing w:after="0" w:line="277" w:lineRule="auto"/>
        <w:tabs>
          <w:tab w:leader="none" w:pos="112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224" w:lineRule="exact"/>
        <w:rPr>
          <w:rFonts w:ascii="Arial" w:cs="Arial" w:eastAsia="Arial" w:hAnsi="Arial"/>
          <w:sz w:val="18"/>
          <w:szCs w:val="18"/>
          <w:color w:val="auto"/>
        </w:rPr>
      </w:pPr>
    </w:p>
    <w:p>
      <w:pPr>
        <w:ind w:firstLine="980"/>
        <w:spacing w:after="0" w:line="271" w:lineRule="auto"/>
        <w:tabs>
          <w:tab w:leader="none" w:pos="1532"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the prior year’s Cash Bonus Plan grant, an amount on account of the current year’s Cash Bonus Plan grant (pro-rated through the date of termination, and assuming achievement of performance goals at 100%) (in the case of each of the last two amounts, payable at such time as otherwise applicable absent such death or Disability), and any rights under any applicable provisions of any other compensation or benefit program or plan or grants thereunder. Except as otherwise provided herein, any amounts payable to Employee (or Employee’s estate, as applicable) pursuant to this subparagraph (a)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37" w:lineRule="exact"/>
        <w:rPr>
          <w:rFonts w:ascii="Arial" w:cs="Arial" w:eastAsia="Arial" w:hAnsi="Arial"/>
          <w:sz w:val="17"/>
          <w:szCs w:val="17"/>
          <w:color w:val="auto"/>
        </w:rPr>
      </w:pPr>
    </w:p>
    <w:p>
      <w:pPr>
        <w:ind w:right="80" w:firstLine="980"/>
        <w:spacing w:after="0" w:line="277" w:lineRule="auto"/>
        <w:tabs>
          <w:tab w:leader="none" w:pos="149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 If Employee’s employment terminates as a result of a Termination With Cause or Termination Without Good Reason, Employee shall be entitled only to payment of</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ind w:right="100"/>
        <w:spacing w:after="0" w:line="277" w:lineRule="auto"/>
        <w:rPr>
          <w:sz w:val="20"/>
          <w:szCs w:val="20"/>
          <w:color w:val="auto"/>
        </w:rPr>
      </w:pPr>
      <w:r>
        <w:rPr>
          <w:rFonts w:ascii="Arial" w:cs="Arial" w:eastAsia="Arial" w:hAnsi="Arial"/>
          <w:sz w:val="17"/>
          <w:szCs w:val="17"/>
          <w:color w:val="auto"/>
        </w:rPr>
        <w:t>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30" w:lineRule="exact"/>
        <w:rPr>
          <w:sz w:val="20"/>
          <w:szCs w:val="20"/>
          <w:color w:val="auto"/>
        </w:rPr>
      </w:pPr>
    </w:p>
    <w:p>
      <w:pPr>
        <w:ind w:right="40" w:firstLine="980"/>
        <w:spacing w:after="0" w:line="255" w:lineRule="auto"/>
        <w:tabs>
          <w:tab w:leader="none" w:pos="148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within thirty (30) days following the date of termination, in a form and containing terms as the Company customarily requires of terminated employees receiving salary continuation payments:</w:t>
      </w:r>
    </w:p>
    <w:p>
      <w:pPr>
        <w:spacing w:after="0" w:line="247" w:lineRule="exact"/>
        <w:rPr>
          <w:rFonts w:ascii="Arial" w:cs="Arial" w:eastAsia="Arial" w:hAnsi="Arial"/>
          <w:sz w:val="18"/>
          <w:szCs w:val="18"/>
          <w:color w:val="auto"/>
        </w:rPr>
      </w:pPr>
    </w:p>
    <w:p>
      <w:pPr>
        <w:ind w:firstLine="1467"/>
        <w:spacing w:after="0" w:line="288" w:lineRule="auto"/>
        <w:tabs>
          <w:tab w:leader="none" w:pos="2258" w:val="left"/>
        </w:tabs>
        <w:numPr>
          <w:ilvl w:val="1"/>
          <w:numId w:val="12"/>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or receipt thereof,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above constitutes a “deferral of compensation” within the meaning of Section 409A of the Internal Revenue Code (the “Code”), and its implementing regulations and guidance, the provision of such benefits shall be subject to the terms and conditions of subparagraph 13(a). Subject to subparagraph 13(c),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23" w:lineRule="exact"/>
        <w:rPr>
          <w:rFonts w:ascii="Arial" w:cs="Arial" w:eastAsia="Arial" w:hAnsi="Arial"/>
          <w:sz w:val="16"/>
          <w:szCs w:val="16"/>
          <w:color w:val="auto"/>
        </w:rPr>
      </w:pPr>
    </w:p>
    <w:p>
      <w:pPr>
        <w:ind w:right="20" w:firstLine="1467"/>
        <w:spacing w:after="0" w:line="273" w:lineRule="auto"/>
        <w:tabs>
          <w:tab w:leader="none" w:pos="2263" w:val="left"/>
        </w:tabs>
        <w:numPr>
          <w:ilvl w:val="1"/>
          <w:numId w:val="12"/>
        </w:numPr>
        <w:rPr>
          <w:rFonts w:ascii="Arial" w:cs="Arial" w:eastAsia="Arial" w:hAnsi="Arial"/>
          <w:sz w:val="17"/>
          <w:szCs w:val="17"/>
          <w:color w:val="auto"/>
        </w:rPr>
      </w:pPr>
      <w:r>
        <w:rPr>
          <w:rFonts w:ascii="Arial" w:cs="Arial" w:eastAsia="Arial" w:hAnsi="Arial"/>
          <w:sz w:val="17"/>
          <w:szCs w:val="17"/>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provided that if the 30-day period described in subparagraph (c) above begins in one taxable year and ends in the following taxable year, such amount shall be paid no earlier than in the following taxable year). Except as otherwise provided herein, any amounts payable to Employee pursuant to this subparagraph (ii)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left="-20" w:firstLine="1467"/>
        <w:spacing w:after="0" w:line="273" w:lineRule="auto"/>
        <w:tabs>
          <w:tab w:leader="none" w:pos="2249" w:val="left"/>
        </w:tabs>
        <w:numPr>
          <w:ilvl w:val="2"/>
          <w:numId w:val="13"/>
        </w:numPr>
        <w:rPr>
          <w:rFonts w:ascii="Arial" w:cs="Arial" w:eastAsia="Arial" w:hAnsi="Arial"/>
          <w:sz w:val="17"/>
          <w:szCs w:val="17"/>
          <w:color w:val="auto"/>
        </w:rPr>
      </w:pPr>
      <w:r>
        <w:rPr>
          <w:rFonts w:ascii="Arial" w:cs="Arial" w:eastAsia="Arial" w:hAnsi="Arial"/>
          <w:sz w:val="17"/>
          <w:szCs w:val="17"/>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232" w:lineRule="exact"/>
        <w:rPr>
          <w:rFonts w:ascii="Arial" w:cs="Arial" w:eastAsia="Arial" w:hAnsi="Arial"/>
          <w:sz w:val="17"/>
          <w:szCs w:val="17"/>
          <w:color w:val="auto"/>
        </w:rPr>
      </w:pPr>
    </w:p>
    <w:p>
      <w:pPr>
        <w:ind w:left="-20" w:right="20" w:firstLine="1467"/>
        <w:spacing w:after="0" w:line="259" w:lineRule="auto"/>
        <w:tabs>
          <w:tab w:leader="none" w:pos="2238" w:val="left"/>
        </w:tabs>
        <w:numPr>
          <w:ilvl w:val="2"/>
          <w:numId w:val="13"/>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goals at 100% (payable at such times as otherwise applicable absent such termination).</w:t>
      </w:r>
    </w:p>
    <w:p>
      <w:pPr>
        <w:spacing w:after="0" w:line="240" w:lineRule="exact"/>
        <w:rPr>
          <w:rFonts w:ascii="Arial" w:cs="Arial" w:eastAsia="Arial" w:hAnsi="Arial"/>
          <w:sz w:val="18"/>
          <w:szCs w:val="18"/>
          <w:color w:val="auto"/>
        </w:rPr>
      </w:pPr>
    </w:p>
    <w:p>
      <w:pPr>
        <w:ind w:left="-20" w:right="20" w:firstLine="1467"/>
        <w:spacing w:after="0" w:line="259" w:lineRule="auto"/>
        <w:tabs>
          <w:tab w:leader="none" w:pos="2185"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RSP grants made pursuant to subparagraphs 3(b)(ii) and (iii) and subparagraph 3(c), any RSU grant made in 2016 in addition to that made pursuant to subparagraph 3(d)(ii), and the SOP grant made pursuant to subparagraph 3(c), shall remain outstanding, notwithstanding the termination of employment, with the result that each will continue to vest during its then remaining term and such SOP grant shall remain exercisable through its then remaining term.</w:t>
      </w:r>
    </w:p>
    <w:p>
      <w:pPr>
        <w:spacing w:after="0" w:line="240" w:lineRule="exact"/>
        <w:rPr>
          <w:rFonts w:ascii="Arial" w:cs="Arial" w:eastAsia="Arial" w:hAnsi="Arial"/>
          <w:sz w:val="18"/>
          <w:szCs w:val="18"/>
          <w:color w:val="auto"/>
        </w:rPr>
      </w:pPr>
    </w:p>
    <w:p>
      <w:pPr>
        <w:ind w:left="-20" w:right="120" w:firstLine="1467"/>
        <w:spacing w:after="0" w:line="286" w:lineRule="auto"/>
        <w:tabs>
          <w:tab w:leader="none" w:pos="2238" w:val="left"/>
        </w:tabs>
        <w:numPr>
          <w:ilvl w:val="2"/>
          <w:numId w:val="13"/>
        </w:numPr>
        <w:rPr>
          <w:rFonts w:ascii="Arial" w:cs="Arial" w:eastAsia="Arial" w:hAnsi="Arial"/>
          <w:sz w:val="17"/>
          <w:szCs w:val="17"/>
          <w:color w:val="auto"/>
        </w:rPr>
      </w:pPr>
      <w:r>
        <w:rPr>
          <w:rFonts w:ascii="Arial" w:cs="Arial" w:eastAsia="Arial" w:hAnsi="Arial"/>
          <w:sz w:val="17"/>
          <w:szCs w:val="17"/>
          <w:color w:val="auto"/>
        </w:rPr>
        <w:t>Provided Employee is alive at the time of vesting, Employee shall have the right to continued vesting of all other SOP and RSP grants through the period of time set forth on Schedule 1, as if there had been no termination of employment. Provided Employee is alive at the time of exercise, Employee shall have the right to exercise any vested SOP grants through the period of time set forth on Schedule 1.</w:t>
      </w:r>
    </w:p>
    <w:p>
      <w:pPr>
        <w:spacing w:after="0" w:line="219" w:lineRule="exact"/>
        <w:rPr>
          <w:rFonts w:ascii="Arial" w:cs="Arial" w:eastAsia="Arial" w:hAnsi="Arial"/>
          <w:sz w:val="17"/>
          <w:szCs w:val="17"/>
          <w:color w:val="auto"/>
        </w:rPr>
      </w:pPr>
    </w:p>
    <w:p>
      <w:pPr>
        <w:ind w:left="-20" w:right="100" w:firstLine="503"/>
        <w:spacing w:after="0" w:line="25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42" w:lineRule="exact"/>
        <w:rPr>
          <w:rFonts w:ascii="Arial" w:cs="Arial" w:eastAsia="Arial" w:hAnsi="Arial"/>
          <w:sz w:val="18"/>
          <w:szCs w:val="18"/>
          <w:color w:val="auto"/>
        </w:rPr>
      </w:pPr>
    </w:p>
    <w:p>
      <w:pPr>
        <w:jc w:val="both"/>
        <w:ind w:left="-20" w:right="200" w:firstLine="1025"/>
        <w:spacing w:after="0" w:line="297" w:lineRule="auto"/>
        <w:tabs>
          <w:tab w:leader="none" w:pos="1467" w:val="left"/>
        </w:tabs>
        <w:numPr>
          <w:ilvl w:val="1"/>
          <w:numId w:val="14"/>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0" w:name="page11"/>
    <w:bookmarkEnd w:id="10"/>
    <w:p>
      <w:pPr>
        <w:ind w:left="-20" w:firstLine="980"/>
        <w:spacing w:after="0" w:line="253" w:lineRule="auto"/>
        <w:tabs>
          <w:tab w:leader="none" w:pos="14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A TERMINATION WITHOUT GOOD REASON BY EMPLOYEE OR A TERMINATION WITH CAUSE BY THE COMPANY, IN EITHER CASE OCCURRING PRIOR TO THE REGULAR END DATE,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251" w:lineRule="exact"/>
        <w:rPr>
          <w:rFonts w:ascii="Arial" w:cs="Arial" w:eastAsia="Arial" w:hAnsi="Arial"/>
          <w:sz w:val="18"/>
          <w:szCs w:val="18"/>
          <w:color w:val="auto"/>
        </w:rPr>
      </w:pPr>
    </w:p>
    <w:p>
      <w:pPr>
        <w:ind w:left="-20" w:right="60" w:firstLine="1467"/>
        <w:spacing w:after="0" w:line="264" w:lineRule="auto"/>
        <w:tabs>
          <w:tab w:leader="none" w:pos="2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NATURE OF THE COMPANY’S BUSINESSES, THE PARTIES AGREE THAT ANY BUSINESS ENGAGED IN ANY OF THE ACTIVITIES SET FORTH ON SCHEDULE 2 SHALL BE DEEMED TO BE A COMPETITIVE BUSINESS UNDER SUBPARAGRAPH (i) ABOVE.</w:t>
      </w:r>
    </w:p>
    <w:p>
      <w:pPr>
        <w:spacing w:after="0" w:line="235" w:lineRule="exact"/>
        <w:rPr>
          <w:rFonts w:ascii="Arial" w:cs="Arial" w:eastAsia="Arial" w:hAnsi="Arial"/>
          <w:sz w:val="18"/>
          <w:szCs w:val="18"/>
          <w:color w:val="auto"/>
        </w:rPr>
      </w:pPr>
    </w:p>
    <w:p>
      <w:pPr>
        <w:ind w:left="-20" w:right="320" w:firstLine="1467"/>
        <w:spacing w:after="0" w:line="286" w:lineRule="auto"/>
        <w:tabs>
          <w:tab w:leader="none" w:pos="2249"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THIS RESTRICTION SHALL APPLY IN ANY GEOGRAPHIC AREA IN THE WORLD IN WHICH THE COMPANY CARRIES ON BUSINESS ACTIVITIES. EMPLOYEE AGREES THAT NOT SPECIFYING A MORE LIMITED GEOGRAPHIC AREA IS REASONABLE IN LIGHT OF THE BROAD GEOGRAPHIC SCOPE OF THE ACTIVITIES CARRIED ON BY THE COMPANY IN THE WORLD.</w:t>
      </w:r>
    </w:p>
    <w:p>
      <w:pPr>
        <w:spacing w:after="0" w:line="219" w:lineRule="exact"/>
        <w:rPr>
          <w:rFonts w:ascii="Arial" w:cs="Arial" w:eastAsia="Arial" w:hAnsi="Arial"/>
          <w:sz w:val="17"/>
          <w:szCs w:val="17"/>
          <w:color w:val="auto"/>
        </w:rPr>
      </w:pPr>
    </w:p>
    <w:p>
      <w:pPr>
        <w:ind w:left="-20" w:right="60" w:firstLine="1467"/>
        <w:spacing w:after="0" w:line="264" w:lineRule="auto"/>
        <w:tabs>
          <w:tab w:leader="none" w:pos="22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35" w:lineRule="exact"/>
        <w:rPr>
          <w:rFonts w:ascii="Arial" w:cs="Arial" w:eastAsia="Arial" w:hAnsi="Arial"/>
          <w:sz w:val="18"/>
          <w:szCs w:val="18"/>
          <w:color w:val="auto"/>
        </w:rPr>
      </w:pPr>
    </w:p>
    <w:p>
      <w:pPr>
        <w:ind w:left="-20" w:right="160" w:firstLine="1467"/>
        <w:spacing w:after="0" w:line="264" w:lineRule="auto"/>
        <w:tabs>
          <w:tab w:leader="none" w:pos="22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35" w:lineRule="exact"/>
        <w:rPr>
          <w:rFonts w:ascii="Arial" w:cs="Arial" w:eastAsia="Arial" w:hAnsi="Arial"/>
          <w:sz w:val="18"/>
          <w:szCs w:val="18"/>
          <w:color w:val="auto"/>
        </w:rPr>
      </w:pPr>
    </w:p>
    <w:p>
      <w:pPr>
        <w:ind w:left="-20" w:right="60" w:firstLine="980"/>
        <w:spacing w:after="0" w:line="257" w:lineRule="auto"/>
        <w:tabs>
          <w:tab w:leader="none" w:pos="1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EMPLOYEE TERMINATES EMPLOYMENT WITHOUT GOOD REASON AT ANY TIME FOLLOWING THE REGULAR END DATE, THEN PROVIDED THE COMPANY SO ELECTS BY WRITTEN NOTICE TO EMPLOYEE GIVEN WITHIN TEN (10) BUSINESS DAYS OF SUCH TERMINATION: (i) THE PROVISIONS OF SUBPARAGRAPH (b) ABOVE SHALL APPLY TO EMPLOYEE FOR A ONE-YEAR PERIOD FOLLOWING SUCH TERMINATION; AND (ii) THE COMPANY SHALL PROVIDE TO EMPLOYEE: (A) DURING SUCH ONE YEAR PERIOD, THE PAYMENTS AND BENEFITS DESCRIBED 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SUBPARAGRAPH 7(c)(i) AND (B) THE PAYMENTS DESCRIBED IN SUBPARAGRAPH 7(c)(iv).</w:t>
      </w:r>
    </w:p>
    <w:p>
      <w:pPr>
        <w:spacing w:after="0" w:line="279" w:lineRule="exact"/>
        <w:rPr>
          <w:sz w:val="20"/>
          <w:szCs w:val="20"/>
          <w:color w:val="auto"/>
        </w:rPr>
      </w:pPr>
    </w:p>
    <w:p>
      <w:pPr>
        <w:ind w:right="40" w:firstLine="980"/>
        <w:spacing w:after="0" w:line="288" w:lineRule="auto"/>
        <w:tabs>
          <w:tab w:leader="none" w:pos="14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w:t>
      </w: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w:t>
      </w:r>
    </w:p>
    <w:p>
      <w:pPr>
        <w:spacing w:after="0" w:line="228" w:lineRule="exact"/>
        <w:rPr>
          <w:rFonts w:ascii="Arial" w:cs="Arial" w:eastAsia="Arial" w:hAnsi="Arial"/>
          <w:sz w:val="16"/>
          <w:szCs w:val="16"/>
          <w:color w:val="auto"/>
        </w:rPr>
      </w:pPr>
    </w:p>
    <w:p>
      <w:pPr>
        <w:ind w:firstLine="980"/>
        <w:spacing w:after="0" w:line="291" w:lineRule="auto"/>
        <w:tabs>
          <w:tab w:leader="none" w:pos="14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and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2" w:name="page13"/>
    <w:bookmarkEnd w:id="12"/>
    <w:p>
      <w:pPr>
        <w:jc w:val="both"/>
        <w:ind w:right="120"/>
        <w:spacing w:after="0" w:line="264" w:lineRule="auto"/>
        <w:rPr>
          <w:sz w:val="20"/>
          <w:szCs w:val="20"/>
          <w:color w:val="auto"/>
        </w:rPr>
      </w:pPr>
      <w:r>
        <w:rPr>
          <w:rFonts w:ascii="Arial" w:cs="Arial" w:eastAsia="Arial" w:hAnsi="Arial"/>
          <w:sz w:val="18"/>
          <w:szCs w:val="18"/>
          <w:color w:val="auto"/>
        </w:rPr>
        <w:t>(including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35" w:lineRule="exact"/>
        <w:rPr>
          <w:sz w:val="20"/>
          <w:szCs w:val="20"/>
          <w:color w:val="auto"/>
        </w:rPr>
      </w:pPr>
    </w:p>
    <w:p>
      <w:pPr>
        <w:jc w:val="both"/>
        <w:ind w:right="100" w:firstLine="980"/>
        <w:spacing w:after="0" w:line="257" w:lineRule="auto"/>
        <w:tabs>
          <w:tab w:leader="none" w:pos="1512" w:val="left"/>
        </w:tabs>
        <w:numPr>
          <w:ilvl w:val="2"/>
          <w:numId w:val="17"/>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42" w:lineRule="exact"/>
        <w:rPr>
          <w:rFonts w:ascii="Arial" w:cs="Arial" w:eastAsia="Arial" w:hAnsi="Arial"/>
          <w:sz w:val="18"/>
          <w:szCs w:val="18"/>
          <w:color w:val="auto"/>
        </w:rPr>
      </w:pPr>
    </w:p>
    <w:p>
      <w:pPr>
        <w:ind w:right="20" w:firstLine="980"/>
        <w:spacing w:after="0" w:line="277" w:lineRule="auto"/>
        <w:tabs>
          <w:tab w:leader="none" w:pos="1497" w:val="left"/>
        </w:tabs>
        <w:numPr>
          <w:ilvl w:val="2"/>
          <w:numId w:val="17"/>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224" w:lineRule="exact"/>
        <w:rPr>
          <w:rFonts w:ascii="Arial" w:cs="Arial" w:eastAsia="Arial" w:hAnsi="Arial"/>
          <w:sz w:val="18"/>
          <w:szCs w:val="18"/>
          <w:color w:val="auto"/>
        </w:rPr>
      </w:pPr>
    </w:p>
    <w:p>
      <w:pPr>
        <w:ind w:right="280" w:firstLine="980"/>
        <w:spacing w:after="0" w:line="264" w:lineRule="auto"/>
        <w:tabs>
          <w:tab w:leader="none" w:pos="1497" w:val="left"/>
        </w:tabs>
        <w:numPr>
          <w:ilvl w:val="2"/>
          <w:numId w:val="17"/>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235" w:lineRule="exact"/>
        <w:rPr>
          <w:rFonts w:ascii="Arial" w:cs="Arial" w:eastAsia="Arial" w:hAnsi="Arial"/>
          <w:sz w:val="18"/>
          <w:szCs w:val="18"/>
          <w:color w:val="auto"/>
        </w:rPr>
      </w:pPr>
    </w:p>
    <w:p>
      <w:pPr>
        <w:ind w:left="1120" w:hanging="626"/>
        <w:spacing w:after="0"/>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Non-Derogatory Statements</w:t>
      </w:r>
      <w:r>
        <w:rPr>
          <w:rFonts w:ascii="Arial" w:cs="Arial" w:eastAsia="Arial" w:hAnsi="Arial"/>
          <w:sz w:val="16"/>
          <w:szCs w:val="16"/>
          <w:color w:val="auto"/>
        </w:rPr>
        <w:t>. During the period of Employee’s employment (whether during the Term or thereafter), and for a period of three</w:t>
      </w:r>
    </w:p>
    <w:p>
      <w:pPr>
        <w:spacing w:after="0" w:line="46" w:lineRule="exact"/>
        <w:rPr>
          <w:rFonts w:ascii="Arial" w:cs="Arial" w:eastAsia="Arial" w:hAnsi="Arial"/>
          <w:sz w:val="16"/>
          <w:szCs w:val="16"/>
          <w:color w:val="auto"/>
        </w:rPr>
      </w:pPr>
    </w:p>
    <w:p>
      <w:pPr>
        <w:ind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years thereafter, neither party shall, directly or indirectly, engage in any communication with any person or entity, including: (i) any actual or potential employer of Employee; (ii) any actual or potential employee, customer, consultant, independent contractor, investor, lender, service provider or supplier of the Company; or (iii) any media outlet; which constitutes a derogatory or disparaging statement – orally, written or otherwise – against the other party or, in the case of the Company, any of its employees, officers or directors. The foregoing shall not be deemed to restrict either party’s obligation to testify truthfully in any proceeding or cooperate in any governmental investigation.</w:t>
      </w:r>
    </w:p>
    <w:p>
      <w:pPr>
        <w:spacing w:after="0" w:line="245" w:lineRule="exact"/>
        <w:rPr>
          <w:rFonts w:ascii="Arial" w:cs="Arial" w:eastAsia="Arial" w:hAnsi="Arial"/>
          <w:sz w:val="18"/>
          <w:szCs w:val="18"/>
          <w:color w:val="auto"/>
        </w:rPr>
      </w:pPr>
    </w:p>
    <w:p>
      <w:pPr>
        <w:ind w:left="1080" w:hanging="586"/>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20" w:firstLine="980"/>
        <w:spacing w:after="0" w:line="291" w:lineRule="auto"/>
        <w:tabs>
          <w:tab w:leader="none" w:pos="1487" w:val="left"/>
        </w:tabs>
        <w:numPr>
          <w:ilvl w:val="2"/>
          <w:numId w:val="19"/>
        </w:numPr>
        <w:rPr>
          <w:rFonts w:ascii="Arial" w:cs="Arial" w:eastAsia="Arial" w:hAnsi="Arial"/>
          <w:sz w:val="16"/>
          <w:szCs w:val="16"/>
          <w:color w:val="auto"/>
        </w:rPr>
      </w:pPr>
      <w:r>
        <w:rPr>
          <w:rFonts w:ascii="Arial" w:cs="Arial" w:eastAsia="Arial" w:hAnsi="Arial"/>
          <w:sz w:val="16"/>
          <w:szCs w:val="16"/>
          <w:color w:val="auto"/>
        </w:rPr>
        <w:t>To the extent any Company Intellectual Property (as defined in subparagraph (e) below) is not already owned by the Company as a matter of law or prior written assignment by Employee to the Company, Employee hereby assigns to the Company, and agrees to assign the Company in the future (to the extent necessary),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protecting and enforcing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241" w:lineRule="exact"/>
        <w:rPr>
          <w:sz w:val="20"/>
          <w:szCs w:val="20"/>
          <w:color w:val="auto"/>
        </w:rPr>
      </w:pPr>
    </w:p>
    <w:p>
      <w:pPr>
        <w:ind w:right="40" w:firstLine="980"/>
        <w:spacing w:after="0" w:line="289" w:lineRule="auto"/>
        <w:tabs>
          <w:tab w:leader="none" w:pos="14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Employee has reviewed the notification on Schedule 3 and agrees that Employee’s execution hereof acknowledges receipt of such notification.</w:t>
      </w:r>
    </w:p>
    <w:p>
      <w:pPr>
        <w:spacing w:after="0" w:line="220" w:lineRule="exact"/>
        <w:rPr>
          <w:rFonts w:ascii="Arial" w:cs="Arial" w:eastAsia="Arial" w:hAnsi="Arial"/>
          <w:sz w:val="16"/>
          <w:szCs w:val="16"/>
          <w:color w:val="auto"/>
        </w:rPr>
      </w:pPr>
    </w:p>
    <w:p>
      <w:pPr>
        <w:ind w:right="140" w:firstLine="980"/>
        <w:spacing w:after="0" w:line="255" w:lineRule="auto"/>
        <w:tabs>
          <w:tab w:leader="none" w:pos="14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Intellectual Property rights with the same legal force and effect as if executed by Employee.</w:t>
      </w:r>
    </w:p>
    <w:p>
      <w:pPr>
        <w:spacing w:after="0" w:line="247" w:lineRule="exact"/>
        <w:rPr>
          <w:rFonts w:ascii="Arial" w:cs="Arial" w:eastAsia="Arial" w:hAnsi="Arial"/>
          <w:sz w:val="18"/>
          <w:szCs w:val="18"/>
          <w:color w:val="auto"/>
        </w:rPr>
      </w:pPr>
    </w:p>
    <w:p>
      <w:pPr>
        <w:ind w:firstLine="980"/>
        <w:spacing w:after="0" w:line="259" w:lineRule="auto"/>
        <w:tabs>
          <w:tab w:leader="none" w:pos="1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40" w:lineRule="exact"/>
        <w:rPr>
          <w:rFonts w:ascii="Arial" w:cs="Arial" w:eastAsia="Arial" w:hAnsi="Arial"/>
          <w:sz w:val="18"/>
          <w:szCs w:val="18"/>
          <w:color w:val="auto"/>
        </w:rPr>
      </w:pPr>
    </w:p>
    <w:p>
      <w:pPr>
        <w:ind w:right="100" w:firstLine="980"/>
        <w:spacing w:after="0" w:line="257" w:lineRule="auto"/>
        <w:tabs>
          <w:tab w:leader="none" w:pos="14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4" w:name="page15"/>
    <w:bookmarkEnd w:id="14"/>
    <w:p>
      <w:pPr>
        <w:ind w:right="260"/>
        <w:spacing w:after="0" w:line="312" w:lineRule="auto"/>
        <w:rPr>
          <w:sz w:val="20"/>
          <w:szCs w:val="20"/>
          <w:color w:val="auto"/>
        </w:rPr>
      </w:pPr>
      <w:r>
        <w:rPr>
          <w:rFonts w:ascii="Arial" w:cs="Arial" w:eastAsia="Arial" w:hAnsi="Arial"/>
          <w:sz w:val="16"/>
          <w:szCs w:val="16"/>
          <w:color w:val="auto"/>
        </w:rPr>
        <w:t>alone or jointly with others, whether or not such Intellectual Property is patentable or copyrightable, either: (i) that relates to the Company’s current or planned businesses or is created, etc. in the performance of the Employee’s duties; (ii) that is created, etc. during working hours; or (iii) that is created, etc. using the Company’s information, facilities, equipment or other assets. “Company Intellectual Property” does not include Nonassignable IP.</w:t>
      </w:r>
    </w:p>
    <w:p>
      <w:pPr>
        <w:spacing w:after="0" w:line="201" w:lineRule="exact"/>
        <w:rPr>
          <w:sz w:val="20"/>
          <w:szCs w:val="20"/>
          <w:color w:val="auto"/>
        </w:rPr>
      </w:pPr>
    </w:p>
    <w:p>
      <w:pPr>
        <w:ind w:left="1020" w:hanging="52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500" w:hanging="520"/>
        <w:spacing w:after="0"/>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79" w:lineRule="exact"/>
        <w:rPr>
          <w:rFonts w:ascii="Arial" w:cs="Arial" w:eastAsia="Arial" w:hAnsi="Arial"/>
          <w:sz w:val="18"/>
          <w:szCs w:val="18"/>
          <w:color w:val="auto"/>
        </w:rPr>
      </w:pPr>
    </w:p>
    <w:p>
      <w:pPr>
        <w:ind w:left="2320" w:hanging="853"/>
        <w:spacing w:after="0"/>
        <w:tabs>
          <w:tab w:leader="none" w:pos="23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terms of this Agreement.</w:t>
      </w:r>
    </w:p>
    <w:p>
      <w:pPr>
        <w:spacing w:after="0" w:line="264" w:lineRule="exact"/>
        <w:rPr>
          <w:rFonts w:ascii="Arial" w:cs="Arial" w:eastAsia="Arial" w:hAnsi="Arial"/>
          <w:sz w:val="16"/>
          <w:szCs w:val="16"/>
          <w:color w:val="auto"/>
        </w:rPr>
      </w:pPr>
    </w:p>
    <w:p>
      <w:pPr>
        <w:ind w:left="2320" w:hanging="853"/>
        <w:spacing w:after="0"/>
        <w:tabs>
          <w:tab w:leader="none" w:pos="23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Subject to bankruptcy and insolvency laws and general equitable principles, this Agreement is enforceable against Employee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accordance with its terms.</w:t>
      </w:r>
    </w:p>
    <w:p>
      <w:pPr>
        <w:spacing w:after="0" w:line="264" w:lineRule="exact"/>
        <w:rPr>
          <w:rFonts w:ascii="Arial" w:cs="Arial" w:eastAsia="Arial" w:hAnsi="Arial"/>
          <w:sz w:val="16"/>
          <w:szCs w:val="16"/>
          <w:color w:val="auto"/>
        </w:rPr>
      </w:pPr>
    </w:p>
    <w:p>
      <w:pPr>
        <w:ind w:right="220" w:firstLine="1467"/>
        <w:spacing w:after="0" w:line="264" w:lineRule="auto"/>
        <w:tabs>
          <w:tab w:leader="none" w:pos="231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235" w:lineRule="exact"/>
        <w:rPr>
          <w:rFonts w:ascii="Arial" w:cs="Arial" w:eastAsia="Arial" w:hAnsi="Arial"/>
          <w:sz w:val="18"/>
          <w:szCs w:val="18"/>
          <w:color w:val="auto"/>
        </w:rPr>
      </w:pPr>
    </w:p>
    <w:p>
      <w:pPr>
        <w:ind w:left="1460" w:hanging="480"/>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79" w:lineRule="exact"/>
        <w:rPr>
          <w:rFonts w:ascii="Arial" w:cs="Arial" w:eastAsia="Arial" w:hAnsi="Arial"/>
          <w:sz w:val="18"/>
          <w:szCs w:val="18"/>
          <w:color w:val="auto"/>
        </w:rPr>
      </w:pPr>
    </w:p>
    <w:p>
      <w:pPr>
        <w:ind w:right="600" w:firstLine="1467"/>
        <w:spacing w:after="0" w:line="277" w:lineRule="auto"/>
        <w:tabs>
          <w:tab w:leader="none" w:pos="2303" w:val="left"/>
        </w:tabs>
        <w:numPr>
          <w:ilvl w:val="2"/>
          <w:numId w:val="21"/>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224" w:lineRule="exact"/>
        <w:rPr>
          <w:rFonts w:ascii="Arial" w:cs="Arial" w:eastAsia="Arial" w:hAnsi="Arial"/>
          <w:sz w:val="18"/>
          <w:szCs w:val="18"/>
          <w:color w:val="auto"/>
        </w:rPr>
      </w:pPr>
    </w:p>
    <w:p>
      <w:pPr>
        <w:ind w:firstLine="1467"/>
        <w:spacing w:after="0" w:line="308" w:lineRule="auto"/>
        <w:tabs>
          <w:tab w:leader="none" w:pos="2305"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200" w:lineRule="exact"/>
        <w:rPr>
          <w:rFonts w:ascii="Arial" w:cs="Arial" w:eastAsia="Arial" w:hAnsi="Arial"/>
          <w:sz w:val="17"/>
          <w:szCs w:val="17"/>
          <w:color w:val="auto"/>
        </w:rPr>
      </w:pPr>
    </w:p>
    <w:p>
      <w:pPr>
        <w:ind w:right="100" w:firstLine="494"/>
        <w:spacing w:after="0" w:line="264" w:lineRule="auto"/>
        <w:tabs>
          <w:tab w:leader="none" w:pos="107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Withholding; 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5" w:name="page16"/>
    <w:bookmarkEnd w:id="15"/>
    <w:p>
      <w:pPr>
        <w:ind w:left="1060" w:hanging="58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right="20" w:firstLine="980"/>
        <w:spacing w:after="0" w:line="255" w:lineRule="auto"/>
        <w:tabs>
          <w:tab w:leader="none" w:pos="14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43" w:lineRule="exact"/>
        <w:rPr>
          <w:rFonts w:ascii="Arial" w:cs="Arial" w:eastAsia="Arial" w:hAnsi="Arial"/>
          <w:sz w:val="18"/>
          <w:szCs w:val="18"/>
          <w:color w:val="auto"/>
        </w:rPr>
      </w:pPr>
    </w:p>
    <w:p>
      <w:pPr>
        <w:ind w:left="-20" w:right="600" w:firstLine="980"/>
        <w:spacing w:after="0" w:line="277" w:lineRule="auto"/>
        <w:tabs>
          <w:tab w:leader="none" w:pos="14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224" w:lineRule="exact"/>
        <w:rPr>
          <w:rFonts w:ascii="Arial" w:cs="Arial" w:eastAsia="Arial" w:hAnsi="Arial"/>
          <w:sz w:val="18"/>
          <w:szCs w:val="18"/>
          <w:color w:val="auto"/>
        </w:rPr>
      </w:pPr>
    </w:p>
    <w:p>
      <w:pPr>
        <w:ind w:left="-20" w:firstLine="980"/>
        <w:spacing w:after="0" w:line="269" w:lineRule="auto"/>
        <w:tabs>
          <w:tab w:leader="none" w:pos="1467" w:val="left"/>
        </w:tabs>
        <w:numPr>
          <w:ilvl w:val="1"/>
          <w:numId w:val="2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to Employee pursuant to Paragraph 7 in the first six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233" w:lineRule="exact"/>
        <w:rPr>
          <w:rFonts w:ascii="Arial" w:cs="Arial" w:eastAsia="Arial" w:hAnsi="Arial"/>
          <w:sz w:val="17"/>
          <w:szCs w:val="17"/>
          <w:color w:val="auto"/>
        </w:rPr>
      </w:pPr>
    </w:p>
    <w:p>
      <w:pPr>
        <w:ind w:left="-20" w:right="80" w:firstLine="980"/>
        <w:spacing w:after="0" w:line="279" w:lineRule="auto"/>
        <w:tabs>
          <w:tab w:leader="none" w:pos="1477" w:val="left"/>
        </w:tabs>
        <w:numPr>
          <w:ilvl w:val="1"/>
          <w:numId w:val="2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all benefits or payments provided by the Company to Employee that would be deemed to constitute “nonqualified deferred compensation” within the meaning of Section 409A of the Code are intended to comply with Section 409A of the Code. Notwithstanding any other provision in this Agreement to the contrary or otherwise, distributions may only be made under this Agreement upon an event and in a manner permitted by Section 409A of the Code or an applicable exemption.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6" w:name="page17"/>
    <w:bookmarkEnd w:id="16"/>
    <w:p>
      <w:pPr>
        <w:ind w:left="1060" w:hanging="58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right="120" w:firstLine="980"/>
        <w:spacing w:after="0" w:line="259" w:lineRule="auto"/>
        <w:tabs>
          <w:tab w:leader="none" w:pos="14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240" w:lineRule="exact"/>
        <w:rPr>
          <w:rFonts w:ascii="Arial" w:cs="Arial" w:eastAsia="Arial" w:hAnsi="Arial"/>
          <w:sz w:val="18"/>
          <w:szCs w:val="18"/>
          <w:color w:val="auto"/>
        </w:rPr>
      </w:pPr>
    </w:p>
    <w:p>
      <w:pPr>
        <w:ind w:left="-20" w:right="200" w:firstLine="980"/>
        <w:spacing w:after="0" w:line="276" w:lineRule="auto"/>
        <w:tabs>
          <w:tab w:leader="none" w:pos="1477"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the entity so transferred, then such other entity shall be deemed the successor to the Company hereunder, the term “Company” as used herein shall mean such other entity (together with its subsidiaries) as is appropriate, and this Agreement shall continue in full force and effect.</w:t>
      </w:r>
    </w:p>
    <w:p>
      <w:pPr>
        <w:spacing w:after="0" w:line="222" w:lineRule="exact"/>
        <w:rPr>
          <w:rFonts w:ascii="Arial" w:cs="Arial" w:eastAsia="Arial" w:hAnsi="Arial"/>
          <w:sz w:val="17"/>
          <w:szCs w:val="17"/>
          <w:color w:val="auto"/>
        </w:rPr>
      </w:pPr>
    </w:p>
    <w:p>
      <w:pPr>
        <w:ind w:left="-20" w:firstLine="494"/>
        <w:spacing w:after="0" w:line="258" w:lineRule="auto"/>
        <w:tabs>
          <w:tab w:leader="none" w:pos="1051"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OR RELATING TO THIS AGREEMENT BY WAIVING THE RIGHT TO A JURY TRIAL. NEITHER PARTY IS WAIVING A RIGHT TO SUE THE OTHER; RATHER, THE PARTIES ARE SIMPLLY WAIVING THE RIGHT TO HAVE A JURY DECIDE THE CASE.</w:t>
      </w:r>
    </w:p>
    <w:p>
      <w:pPr>
        <w:spacing w:after="0" w:line="237" w:lineRule="exact"/>
        <w:rPr>
          <w:rFonts w:ascii="Arial" w:cs="Arial" w:eastAsia="Arial" w:hAnsi="Arial"/>
          <w:sz w:val="18"/>
          <w:szCs w:val="18"/>
          <w:color w:val="auto"/>
        </w:rPr>
      </w:pPr>
    </w:p>
    <w:p>
      <w:pPr>
        <w:ind w:left="-20" w:firstLine="494"/>
        <w:spacing w:after="0" w:line="256" w:lineRule="auto"/>
        <w:tabs>
          <w:tab w:leader="none" w:pos="1051"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245" w:lineRule="exact"/>
        <w:rPr>
          <w:rFonts w:ascii="Arial" w:cs="Arial" w:eastAsia="Arial" w:hAnsi="Arial"/>
          <w:sz w:val="18"/>
          <w:szCs w:val="18"/>
          <w:color w:val="auto"/>
        </w:rPr>
      </w:pPr>
    </w:p>
    <w:p>
      <w:pPr>
        <w:ind w:left="-20" w:right="20" w:firstLine="494"/>
        <w:spacing w:after="0" w:line="255" w:lineRule="auto"/>
        <w:tabs>
          <w:tab w:leader="none" w:pos="105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Jurisdiction; Costs</w:t>
      </w:r>
      <w:r>
        <w:rPr>
          <w:rFonts w:ascii="Arial" w:cs="Arial" w:eastAsia="Arial" w:hAnsi="Arial"/>
          <w:sz w:val="18"/>
          <w:szCs w:val="18"/>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proceeding. In any such litigation, the prevailing party shall be entitled to reimbursement from the other party for all costs of defending or maintaining such action, including reasonable attorneys’ fees.</w:t>
      </w:r>
    </w:p>
    <w:p>
      <w:pPr>
        <w:spacing w:after="0" w:line="224" w:lineRule="exact"/>
        <w:rPr>
          <w:sz w:val="20"/>
          <w:szCs w:val="20"/>
          <w:color w:val="auto"/>
        </w:rPr>
      </w:pPr>
    </w:p>
    <w:p>
      <w:pPr>
        <w:ind w:right="800" w:firstLine="494"/>
        <w:spacing w:after="0" w:line="277" w:lineRule="auto"/>
        <w:tabs>
          <w:tab w:leader="none" w:pos="107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224" w:lineRule="exact"/>
        <w:rPr>
          <w:rFonts w:ascii="Arial" w:cs="Arial" w:eastAsia="Arial" w:hAnsi="Arial"/>
          <w:sz w:val="18"/>
          <w:szCs w:val="18"/>
          <w:color w:val="auto"/>
        </w:rPr>
      </w:pPr>
    </w:p>
    <w:p>
      <w:pPr>
        <w:ind w:right="140" w:firstLine="494"/>
        <w:spacing w:after="0" w:line="264" w:lineRule="auto"/>
        <w:tabs>
          <w:tab w:leader="none" w:pos="107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(215) 286-7794; and</w:t>
      </w: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Employee:</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Employee’s address and fax number (if any) as most recently indicated in the Company’s records.</w:t>
      </w:r>
    </w:p>
    <w:p>
      <w:pPr>
        <w:spacing w:after="0" w:line="279" w:lineRule="exact"/>
        <w:rPr>
          <w:sz w:val="20"/>
          <w:szCs w:val="20"/>
          <w:color w:val="auto"/>
        </w:rPr>
      </w:pPr>
    </w:p>
    <w:p>
      <w:pPr>
        <w:ind w:right="100" w:firstLine="494"/>
        <w:spacing w:after="0" w:line="264" w:lineRule="auto"/>
        <w:tabs>
          <w:tab w:leader="none" w:pos="107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and 3 hereto) constitutes the entire agreement of the parties with respect to the subject matter hereof. In the event of any conflict between the terms of this Agreement and the terms of any plans or policies of the Company (including the Employee Handbook), the terms of this Agreement shall control.</w:t>
      </w:r>
    </w:p>
    <w:p>
      <w:pPr>
        <w:spacing w:after="0" w:line="235" w:lineRule="exact"/>
        <w:rPr>
          <w:rFonts w:ascii="Arial" w:cs="Arial" w:eastAsia="Arial" w:hAnsi="Arial"/>
          <w:sz w:val="18"/>
          <w:szCs w:val="18"/>
          <w:color w:val="auto"/>
        </w:rPr>
      </w:pPr>
    </w:p>
    <w:p>
      <w:pPr>
        <w:ind w:firstLine="494"/>
        <w:spacing w:after="0" w:line="264" w:lineRule="auto"/>
        <w:tabs>
          <w:tab w:leader="none" w:pos="107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35" w:lineRule="exact"/>
        <w:rPr>
          <w:rFonts w:ascii="Arial" w:cs="Arial" w:eastAsia="Arial" w:hAnsi="Arial"/>
          <w:sz w:val="18"/>
          <w:szCs w:val="18"/>
          <w:color w:val="auto"/>
        </w:rPr>
      </w:pPr>
    </w:p>
    <w:p>
      <w:pPr>
        <w:ind w:right="60" w:firstLine="494"/>
        <w:spacing w:after="0" w:line="259" w:lineRule="auto"/>
        <w:tabs>
          <w:tab w:leader="none" w:pos="107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40" w:lineRule="exact"/>
        <w:rPr>
          <w:rFonts w:ascii="Arial" w:cs="Arial" w:eastAsia="Arial" w:hAnsi="Arial"/>
          <w:sz w:val="18"/>
          <w:szCs w:val="18"/>
          <w:color w:val="auto"/>
        </w:rPr>
      </w:pPr>
    </w:p>
    <w:p>
      <w:pPr>
        <w:ind w:right="240" w:firstLine="494"/>
        <w:spacing w:after="0" w:line="277" w:lineRule="auto"/>
        <w:tabs>
          <w:tab w:leader="none" w:pos="107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assigns, except that (other than to effect the provisions of Paragraph 14) it may not be assigned by either party without the other party’s written consent.</w:t>
      </w:r>
    </w:p>
    <w:p>
      <w:pPr>
        <w:spacing w:after="0" w:line="3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032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032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24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032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90" w:right="71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u w:val="single" w:color="auto"/>
          <w:color w:val="auto"/>
        </w:rPr>
        <w:t>SCHEDULE 1 TO EMPLOYMENT AGREEMENT WITH MICHAEL J. CAVANAGH</w:t>
      </w:r>
    </w:p>
    <w:p>
      <w:pPr>
        <w:spacing w:after="0" w:line="279" w:lineRule="exact"/>
        <w:rPr>
          <w:sz w:val="20"/>
          <w:szCs w:val="20"/>
          <w:color w:val="auto"/>
        </w:rPr>
      </w:pPr>
    </w:p>
    <w:p>
      <w:pPr>
        <w:spacing w:after="0"/>
        <w:tabs>
          <w:tab w:leader="none" w:pos="480" w:val="left"/>
          <w:tab w:leader="none" w:pos="1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Position:</w:t>
      </w:r>
      <w:r>
        <w:rPr>
          <w:sz w:val="20"/>
          <w:szCs w:val="20"/>
          <w:color w:val="auto"/>
        </w:rPr>
        <w:tab/>
      </w:r>
      <w:r>
        <w:rPr>
          <w:rFonts w:ascii="Arial" w:cs="Arial" w:eastAsia="Arial" w:hAnsi="Arial"/>
          <w:sz w:val="16"/>
          <w:szCs w:val="16"/>
          <w:color w:val="auto"/>
        </w:rPr>
        <w:t>Senior Executive Vice President and Chief Financial Officer, Comcast Corporation.</w:t>
      </w:r>
    </w:p>
    <w:p>
      <w:pPr>
        <w:spacing w:after="0" w:line="200" w:lineRule="exact"/>
        <w:rPr>
          <w:sz w:val="20"/>
          <w:szCs w:val="20"/>
          <w:color w:val="auto"/>
        </w:rPr>
      </w:pPr>
    </w:p>
    <w:p>
      <w:pPr>
        <w:spacing w:after="0" w:line="29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$1,800,000.</w:t>
      </w:r>
    </w:p>
    <w:p>
      <w:pPr>
        <w:spacing w:after="0" w:line="279" w:lineRule="exact"/>
        <w:rPr>
          <w:rFonts w:ascii="Arial" w:cs="Arial" w:eastAsia="Arial" w:hAnsi="Arial"/>
          <w:sz w:val="18"/>
          <w:szCs w:val="18"/>
          <w:color w:val="auto"/>
        </w:rPr>
      </w:pPr>
    </w:p>
    <w:p>
      <w:pPr>
        <w:ind w:left="500" w:right="46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22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224"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Restricted Stock and Stock Option Plan Grants Continued Vesting Period following Termination Without Cause or Termination With Good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Reason: Twelve (12) months, Stock Option Plan Grants Continued Exercisability Period following Termination Without Cause or Termination With</w:t>
      </w:r>
    </w:p>
    <w:p>
      <w:pPr>
        <w:spacing w:after="0" w:line="32"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Good Reason: the lesser of fifteen (15) months or the end of the stock option’s term.</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44" w:right="379" w:bottom="1440" w:gutter="0" w:footer="0" w:header="0"/>
        </w:sectPr>
      </w:pPr>
    </w:p>
    <w:bookmarkStart w:id="20" w:name="page21"/>
    <w:bookmarkEnd w:id="20"/>
    <w:p>
      <w:pPr>
        <w:jc w:val="center"/>
        <w:ind w:right="-51"/>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79" w:lineRule="exact"/>
        <w:rPr>
          <w:sz w:val="20"/>
          <w:szCs w:val="20"/>
          <w:color w:val="auto"/>
        </w:rPr>
      </w:pPr>
    </w:p>
    <w:p>
      <w:pPr>
        <w:ind w:left="652" w:hanging="652"/>
        <w:spacing w:after="0" w:line="269" w:lineRule="auto"/>
        <w:tabs>
          <w:tab w:leader="none" w:pos="6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distribution of video programming to consumer or commercial customers or users,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Employee agrees that the following companies (and their parents, subsidiaries and controlled affiliates), and their successors and assigns, are among those engaged in competitive video programming distribution as of the date hereof: Aereo, Inc.; Amazon.com, Inc.; Apple Inc.; AT&amp;T Inc.; Bright House Networks; Cablevision Systems Corporation; CBS Corporation; CenturyLink, Inc.; Charter Communications, Inc.; Cox Communications, Inc.; DIRECTV; DISH Network Corporation; EchoStar Holding Corporation (including Sling Media); Everest; Facebook, Inc.; Google, Inc. (including YouTube); Hulu, LLC; Joost Operations S.A.; Knology Holdings, Inc.; Microsoft Corporation (including XBox); Midwest Cable, LLC (following its spin-off from the Company) (“Midwest”); Netflix, Inc.; NeuLion, Inc. (including Jumptv); News Corp. (including Fox); Public Broadcasting Service and its broadcast affiliates; RCN Corporation; Redbox; Roku, Inc.; Sony Corporation of America (including PlayStation); Time Warner Cable, Inc.; TiVo Inc.; Verizon Communications, Inc.; VUDU, Inc.; The Walt Disney Company (including ABC); and Wide Open West.</w:t>
      </w:r>
    </w:p>
    <w:p>
      <w:pPr>
        <w:spacing w:after="0" w:line="233" w:lineRule="exact"/>
        <w:rPr>
          <w:rFonts w:ascii="Arial" w:cs="Arial" w:eastAsia="Arial" w:hAnsi="Arial"/>
          <w:sz w:val="17"/>
          <w:szCs w:val="17"/>
          <w:color w:val="auto"/>
        </w:rPr>
      </w:pPr>
    </w:p>
    <w:p>
      <w:pPr>
        <w:ind w:left="652" w:right="20" w:hanging="652"/>
        <w:spacing w:after="0" w:line="270" w:lineRule="auto"/>
        <w:tabs>
          <w:tab w:leader="none" w:pos="6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(and their parents, subsidiaries and controlled affiliates), and their successors and assigns, are among those engaged in competitive high-speed Internet access and/or portal service as of the date hereof: AOL Inc.; AT&amp;T Inc.; Bright House Networks; Cablevision Systems Corporation; CenturyLink, Inc.; Charter Communications Inc.; Clearwire Corporation; Cox Communications, Inc.; DIRECTV; DISH Network Corporation; EchoStar Holding Corporation (including Sling Media); Google, Inc.; Knology Holdings, Inc.; Microsoft Corporation (including MSN); Midwest; RCN Corporation; Sprint Nextel Corporation; Time Warner Cable, Inc.; Verizon Communications, Inc.; and Yahoo, Inc.</w:t>
      </w:r>
    </w:p>
    <w:p>
      <w:pPr>
        <w:spacing w:after="0" w:line="235" w:lineRule="exact"/>
        <w:rPr>
          <w:rFonts w:ascii="Arial" w:cs="Arial" w:eastAsia="Arial" w:hAnsi="Arial"/>
          <w:sz w:val="17"/>
          <w:szCs w:val="17"/>
          <w:color w:val="auto"/>
        </w:rPr>
      </w:pPr>
    </w:p>
    <w:p>
      <w:pPr>
        <w:ind w:left="652" w:right="20" w:hanging="652"/>
        <w:spacing w:after="0" w:line="25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of voice and/or data service to consumer or commercial customers or users, whether by analog or digital technology, by any distribution platform (including coaxial cable, fiber optic cable, digital subscriber line, power line, satellite, wireless and Internet) or protocol (IP or other). Employee agrees that the following companies (and their parents, subsidiaries and controlled affiliates), and their successors and assigns, are among those engaged in competitive voice and/or data service as of the date hereof: AT&amp;T Inc.; Bright House Networks; Cablevision Systems Corporation; Cbeyond, Inc.;</w:t>
      </w:r>
    </w:p>
    <w:p>
      <w:pPr>
        <w:spacing w:after="0" w:line="36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21" w:name="page22"/>
    <w:bookmarkEnd w:id="21"/>
    <w:p>
      <w:pPr>
        <w:ind w:left="652" w:right="60"/>
        <w:spacing w:after="0" w:line="259" w:lineRule="auto"/>
        <w:rPr>
          <w:sz w:val="20"/>
          <w:szCs w:val="20"/>
          <w:color w:val="auto"/>
        </w:rPr>
      </w:pPr>
      <w:r>
        <w:rPr>
          <w:rFonts w:ascii="Arial" w:cs="Arial" w:eastAsia="Arial" w:hAnsi="Arial"/>
          <w:sz w:val="18"/>
          <w:szCs w:val="18"/>
          <w:color w:val="auto"/>
        </w:rPr>
        <w:t>CenturyLink, Inc.; Charter Communications, Inc.; Clearwire Corporation; Cox Communications, Inc.; DIRECTV; DISH Network Corporation; EchoStar Holding Corporation (including Sling Media); Google, Inc.; Integra Telecom; Knology Holdings, Inc.; Midwest; Paetec Communications, Inc.; RCN Corporation; Sprint Nextel Corporation; Skype Limited; TelePacific Communications; Time Warner Cable, Inc.; Vonage Holdings Corp.; Verizon Communications, Inc.; and Wide Open West.</w:t>
      </w:r>
    </w:p>
    <w:p>
      <w:pPr>
        <w:spacing w:after="0" w:line="241" w:lineRule="exact"/>
        <w:rPr>
          <w:sz w:val="20"/>
          <w:szCs w:val="20"/>
          <w:color w:val="auto"/>
        </w:rPr>
      </w:pPr>
    </w:p>
    <w:p>
      <w:pPr>
        <w:ind w:left="652" w:right="140" w:hanging="652"/>
        <w:spacing w:after="0" w:line="276"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 home security or home control services or devices to consumer or commercial customers or users, by any technology (analog or digital) or protocol (IP or other). Employee agrees that the following companies (and their parents, subsidiaries and controlled affiliates), and their successor and assigns, are among those engaged in the provision of home security or home control services or devices as of the date hereof: ADT LLC; alarm.com; AT&amp;T Inc.; CenturyLink, Inc.; FrontPoint Security; Honeywell International, Inc.; Lowe’s Companies, Inc.; Midwest; Protection One Alarm Monitoring, Inc.; Tyco International Ltd.; Verizon Communications, Inc.; and Vivint, Inc.</w:t>
      </w:r>
    </w:p>
    <w:p>
      <w:pPr>
        <w:spacing w:after="0" w:line="226" w:lineRule="exact"/>
        <w:rPr>
          <w:rFonts w:ascii="Arial" w:cs="Arial" w:eastAsia="Arial" w:hAnsi="Arial"/>
          <w:sz w:val="17"/>
          <w:szCs w:val="17"/>
          <w:color w:val="auto"/>
        </w:rPr>
      </w:pPr>
    </w:p>
    <w:p>
      <w:pPr>
        <w:ind w:left="652" w:right="20" w:hanging="652"/>
        <w:spacing w:after="0" w:line="273"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tablet, console or other) and by any technology or protocol (IP or other). Employee agrees that the following companies (and their parents, subsidiaries and controlled affiliates), and their successor and assigns, are among those engaged in the provision of competitive wireless service as of the date hereof: AT&amp;T Inc.; Boingo Wireless, Inc.; Bright House Networks; Clearwire Corporation; Leap Wireless International, Inc.; LightSquared Company; MetroPCS Communications, Inc.; Sprint Nextel Corporation; T-Mobile USA, Inc.; and Verizon Communications, Inc.</w:t>
      </w:r>
    </w:p>
    <w:p>
      <w:pPr>
        <w:spacing w:after="0" w:line="232" w:lineRule="exact"/>
        <w:rPr>
          <w:rFonts w:ascii="Arial" w:cs="Arial" w:eastAsia="Arial" w:hAnsi="Arial"/>
          <w:sz w:val="17"/>
          <w:szCs w:val="17"/>
          <w:color w:val="auto"/>
        </w:rPr>
      </w:pPr>
    </w:p>
    <w:p>
      <w:pPr>
        <w:ind w:left="652" w:hanging="652"/>
        <w:spacing w:after="0" w:line="253"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audio and/or video program content as of the date hereof: A&amp;E Television Networks; AMC Networks Inc.; AOL Inc.; CBS Corporation (including Showtime); Cox Communications, Inc.; Discovery Communications, Inc.; Epix Joint Venture; EW Scripps Co.; Google, Inc. (including YouTube); Hulu, LLC; IAC/InterActive Corp; Liberty Media Corp.; Metro-Goldwyn-Mayer Inc.; MySpace; News Corp. (including Fox); Sony Corporation of America; The CW Television Network; The Walt Disney Company, Inc. (including ABC); Time Warner Inc. (including HBO, Turner and Warner Bros.); and Viacom Inc. (including Dreamworks and Paramount).</w:t>
      </w:r>
    </w:p>
    <w:p>
      <w:pPr>
        <w:spacing w:after="0" w:line="251"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motion pictures, whether for theaters or other venues; broadcast, satellite, cable or other program networks; distributors of program content; or providers of high speed Internet portal or other Internet-based services or websites. Employee agrees that the following</w:t>
      </w:r>
    </w:p>
    <w:p>
      <w:pPr>
        <w:spacing w:after="0" w:line="35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22" w:name="page23"/>
    <w:bookmarkEnd w:id="22"/>
    <w:p>
      <w:pPr>
        <w:ind w:left="652" w:right="60"/>
        <w:spacing w:after="0" w:line="259" w:lineRule="auto"/>
        <w:rPr>
          <w:sz w:val="20"/>
          <w:szCs w:val="20"/>
          <w:color w:val="auto"/>
        </w:rPr>
      </w:pPr>
      <w:r>
        <w:rPr>
          <w:rFonts w:ascii="Arial" w:cs="Arial" w:eastAsia="Arial" w:hAnsi="Arial"/>
          <w:sz w:val="18"/>
          <w:szCs w:val="18"/>
          <w:color w:val="auto"/>
        </w:rPr>
        <w:t>companies (and their parents, subsidiaries and controlled affiliates), and their successors and assigns, are among those engaged in the competitive creation, production or provision of motion pictures as of the date hereof: Metro-Goldwyn Mayer Inc.; News Corp. (including Fox); Sony Corporation of America; The Walt Disney Company, Inc.; Time Warner Inc. (including Warner Bros.); and Viacom Inc. (including Dreamworks and Paramount).</w:t>
      </w:r>
    </w:p>
    <w:p>
      <w:pPr>
        <w:spacing w:after="0" w:line="241" w:lineRule="exact"/>
        <w:rPr>
          <w:sz w:val="20"/>
          <w:szCs w:val="20"/>
          <w:color w:val="auto"/>
        </w:rPr>
      </w:pPr>
    </w:p>
    <w:p>
      <w:pPr>
        <w:ind w:left="652" w:right="260" w:hanging="652"/>
        <w:spacing w:after="0" w:line="288"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provision of Internet-based products or services to consumer or commercial users. Employee agrees that the following companies (and their parents, subsidiaries and controlled affiliates), and their successors and assigns, are among those engaged in providing competitive Internet-based products and services as of the date hereof: Amazon.com, Inc.; Apple Inc.; AT&amp;T Inc.; BitTorrent, Inc.; Bright Cove, Inc.; CBS Interactive Inc.</w:t>
      </w:r>
    </w:p>
    <w:p>
      <w:pPr>
        <w:ind w:left="652"/>
        <w:spacing w:after="0" w:line="254" w:lineRule="auto"/>
        <w:rPr>
          <w:rFonts w:ascii="Arial" w:cs="Arial" w:eastAsia="Arial" w:hAnsi="Arial"/>
          <w:sz w:val="16"/>
          <w:szCs w:val="16"/>
          <w:color w:val="auto"/>
        </w:rPr>
      </w:pPr>
      <w:r>
        <w:rPr>
          <w:rFonts w:ascii="Arial" w:cs="Arial" w:eastAsia="Arial" w:hAnsi="Arial"/>
          <w:sz w:val="18"/>
          <w:szCs w:val="18"/>
          <w:color w:val="auto"/>
        </w:rPr>
        <w:t>(including CNET); Facebook, Inc.; Friendfeed Inc.; Google, Inc. (including YouTube); Joost Operations S.A.; LinkedIn Corporation; Microsoft Corporation (including MSN and XBox); MySpace; NeuLion, Inc. (including Jumptv); RealNetworks, Inc.; Sony Corporation of America (including PlayStation); The Walt Disney Company, Inc.; Time Warner Inc. (including AOL); TiVo Inc.; Verizon Communications, Inc.; XING AG; Xobni Corporation; and Yahoo, Inc.</w:t>
      </w:r>
    </w:p>
    <w:p>
      <w:pPr>
        <w:spacing w:after="0" w:line="243" w:lineRule="exact"/>
        <w:rPr>
          <w:rFonts w:ascii="Arial" w:cs="Arial" w:eastAsia="Arial" w:hAnsi="Arial"/>
          <w:sz w:val="16"/>
          <w:szCs w:val="16"/>
          <w:color w:val="auto"/>
        </w:rPr>
      </w:pPr>
    </w:p>
    <w:p>
      <w:pPr>
        <w:ind w:left="652" w:right="8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224" w:lineRule="exact"/>
        <w:rPr>
          <w:rFonts w:ascii="Arial" w:cs="Arial" w:eastAsia="Arial" w:hAnsi="Arial"/>
          <w:sz w:val="18"/>
          <w:szCs w:val="18"/>
          <w:color w:val="auto"/>
        </w:rPr>
      </w:pPr>
    </w:p>
    <w:p>
      <w:pPr>
        <w:ind w:left="652" w:right="220" w:hanging="652"/>
        <w:spacing w:after="0" w:line="302"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creation, development, enhancement, testing, deployment, operation, licensing, sale, support or service of firmware, hardware, Intellectual Property, software, user interfaces or other technology used in any of the products or services described in A to I above. Employee agrees that the following companies (and their parents, subsidiaries and controlled affiliates), and their successors and assigns, are among those engaged in such competitive activities as of the date hereof: Apple, Inc.; Asurion; BestBuy; Dell; OfficeMax; PlumChoice, Inc.; Staples; and Support.com.</w:t>
      </w:r>
    </w:p>
    <w:p>
      <w:pPr>
        <w:spacing w:after="0" w:line="3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u w:val="single" w:color="auto"/>
          <w:color w:val="auto"/>
        </w:rPr>
        <w:t>SCHEDULE 3</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234" w:lineRule="exact"/>
        <w:rPr>
          <w:sz w:val="20"/>
          <w:szCs w:val="20"/>
          <w:color w:val="auto"/>
        </w:rPr>
      </w:pPr>
    </w:p>
    <w:p>
      <w:pPr>
        <w:ind w:left="980" w:right="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ind w:left="858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75460" cy="660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75460" cy="66040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NAMES MICHAEL J. CAVANAGH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 xml:space="preserve">PHILADELPHIA – May 11, 2015 – </w:t>
      </w:r>
      <w:r>
        <w:rPr>
          <w:rFonts w:ascii="Arial" w:cs="Arial" w:eastAsia="Arial" w:hAnsi="Arial"/>
          <w:sz w:val="18"/>
          <w:szCs w:val="18"/>
          <w:color w:val="auto"/>
        </w:rPr>
        <w:t>Comcast Corporation announced today it has named Michael J. Cavanagh Senior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the company. He will join Comcast early this summer from The Carlyle Group, a global alternative asset manager, where he served as its Co-President and Co-Chief Operating Officer in New York. Prior to Carlyle, Mr. Cavanagh spent almost 10 years as a member of the Operating Committee of JPMorgan Chase &amp; Co. and served nearly six years as its CFO. He will be based at Comcast’s headquarters in Philadelphia.</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Comcast’s appointment of Mr. Cavanagh follows a national search for a CFO after the company announced it entered into an agreement with Vice Chairman and current CFO Michael J. Angelakis to establish a new, strategic company that will focus on investing in and operating growth-oriented companies, both domestically and internationally.</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Comcast Chairman and CEO Brian L. Roberts said, “I’m so thrilled Mike [Cavanagh] is joining our team. He is a world-class executive with significant experience leading and overseeing large companies with multiple, complex businesses. He has had a distinguished career that spans more than two decades, is incredibly talented, and will be a great leader for Comcast.”</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Cavanagh said, “Comcast is an exceptional company that is well-positioned to win in the rapidly evolving media and technology industries. The opportunity to work closely with Brian and one of the best management teams I’ve come across in any industry was something I could not pass up. Carlyle is a great organization with a bright future. Michael Angelakis has helped build Comcast into the strong financial position it is in today and I can’t wait to get to work with my new colleagues to further expand on the company’s success.”</w:t>
      </w:r>
    </w:p>
    <w:p>
      <w:pPr>
        <w:spacing w:after="0" w:line="2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addition to serving as CFO while at JPMorgan Chase following its merger with Bank One and throughout the financial crisis, Mr. Cavanagh more recently held the role of Co-CEO of its Corporate &amp; Investment Bank and CEO of its Treasury and Securities Services Business. Mr. Cavanagh also previously served as an executive at Bank One holding the roles of CEO and COO of Middle Market Banking, Treasurer, and Head of Strategy. Before that, he worked at Citigroup and its predecessor companies, including serving as CFO of its Consumer Group for Europe, Middle East, and Africa.</w:t>
      </w:r>
    </w:p>
    <w:p>
      <w:pPr>
        <w:spacing w:after="0" w:line="206"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Mr. Cavanagh earned a B.A. from Yale University and a J.D. from the University of Chicago. He currently serves on the board of Yum! Brands, Inc. and is a member of the Council on Foreign Relations.</w:t>
      </w:r>
    </w:p>
    <w:p>
      <w:pPr>
        <w:spacing w:after="0" w:line="19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Mr. Angelakis will become a Senior Advisor to Comcast and will assist Mr. Cavanagh with his transition. He will then become CEO of the new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 286-8011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john_demming@comcast.com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2"/>
    </w:lvl>
    <w:lvl w:ilvl="1">
      <w:lvlJc w:val="left"/>
      <w:lvlText w:val="(%2)"/>
      <w:numFmt w:val="lowerRoman"/>
      <w:start w:val="1"/>
    </w:lvl>
  </w:abstractNum>
  <w:abstractNum w:abstractNumId="5">
    <w:nsid w:val="431BD7B7"/>
    <w:multiLevelType w:val="hybridMultilevel"/>
    <w:lvl w:ilvl="0">
      <w:lvlJc w:val="left"/>
      <w:lvlText w:val="(%1)"/>
      <w:numFmt w:val="lowerLetter"/>
      <w:start w:val="4"/>
    </w:lvl>
    <w:lvl w:ilvl="1">
      <w:lvlJc w:val="left"/>
      <w:lvlText w:val="(%2)"/>
      <w:numFmt w:val="lowerRoman"/>
      <w:start w:val="1"/>
    </w:lvl>
  </w:abstractNum>
  <w:abstractNum w:abstractNumId="6">
    <w:nsid w:val="3F2DBA3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
    <w:nsid w:val="7C83E458"/>
    <w:multiLevelType w:val="hybridMultilevel"/>
    <w:lvl w:ilvl="0">
      <w:lvlJc w:val="left"/>
      <w:lvlText w:val="%1"/>
      <w:numFmt w:val="lowerLetter"/>
      <w:start w:val="1"/>
    </w:lvl>
    <w:lvl w:ilvl="1">
      <w:lvlJc w:val="left"/>
      <w:lvlText w:val="(%2)"/>
      <w:numFmt w:val="lowerLetter"/>
      <w:start w:val="35"/>
    </w:lvl>
  </w:abstractNum>
  <w:abstractNum w:abstractNumId="8">
    <w:nsid w:val="257130A3"/>
    <w:multiLevelType w:val="hybridMultilevel"/>
    <w:lvl w:ilvl="0">
      <w:lvlJc w:val="left"/>
      <w:lvlText w:val="(%1)"/>
      <w:numFmt w:val="lowerLetter"/>
      <w:start w:val="4"/>
    </w:lvl>
    <w:lvl w:ilvl="1">
      <w:lvlJc w:val="left"/>
      <w:lvlText w:val="(%2)"/>
      <w:numFmt w:val="lowerLetter"/>
      <w:start w:val="9"/>
    </w:lvl>
  </w:abstractNum>
  <w:abstractNum w:abstractNumId="9">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
    <w:nsid w:val="436C612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
    <w:nsid w:val="721DA31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
    <w:nsid w:val="2443A858"/>
    <w:multiLevelType w:val="hybridMultilevel"/>
    <w:lvl w:ilvl="0">
      <w:lvlJc w:val="left"/>
      <w:lvlText w:val="(%1)"/>
      <w:numFmt w:val="lowerLetter"/>
      <w:start w:val="2"/>
    </w:lvl>
    <w:lvl w:ilvl="1">
      <w:lvlJc w:val="left"/>
      <w:lvlText w:val="(%2)"/>
      <w:numFmt w:val="lowerRoman"/>
      <w:start w:val="2"/>
    </w:lvl>
  </w:abstractNum>
  <w:abstractNum w:abstractNumId="15">
    <w:nsid w:val="2D1D5AE9"/>
    <w:multiLevelType w:val="hybridMultilevel"/>
    <w:lvl w:ilvl="0">
      <w:lvlJc w:val="left"/>
      <w:lvlText w:val="(%1)"/>
      <w:numFmt w:val="lowerLetter"/>
      <w:start w:val="4"/>
    </w:lvl>
  </w:abstractNum>
  <w:abstractNum w:abstractNumId="16">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17">
    <w:nsid w:val="75A2A8D4"/>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8">
    <w:nsid w:val="8EDBDAB"/>
    <w:multiLevelType w:val="hybridMultilevel"/>
    <w:lvl w:ilvl="0">
      <w:lvlJc w:val="left"/>
      <w:lvlText w:val="(%1)"/>
      <w:numFmt w:val="decimal"/>
      <w:start w:val="3"/>
    </w:lvl>
    <w:lvl w:ilvl="1">
      <w:lvlJc w:val="left"/>
      <w:lvlText w:val="%2."/>
      <w:numFmt w:val="decimal"/>
      <w:start w:val="10"/>
    </w:lvl>
    <w:lvl w:ilvl="2">
      <w:lvlJc w:val="left"/>
      <w:lvlText w:val="(%3)"/>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
    <w:nsid w:val="B03E0C6"/>
    <w:multiLevelType w:val="hybridMultilevel"/>
    <w:lvl w:ilvl="0">
      <w:lvlJc w:val="left"/>
      <w:lvlText w:val="%1."/>
      <w:numFmt w:val="decimal"/>
      <w:start w:val="13"/>
    </w:lvl>
    <w:lvl w:ilvl="1">
      <w:lvlJc w:val="left"/>
      <w:lvlText w:val="(%2)"/>
      <w:numFmt w:val="lowerLetter"/>
      <w:start w:val="1"/>
    </w:lvl>
  </w:abstractNum>
  <w:abstractNum w:abstractNumId="22">
    <w:nsid w:val="189A769B"/>
    <w:multiLevelType w:val="hybridMultilevel"/>
    <w:lvl w:ilvl="0">
      <w:lvlJc w:val="left"/>
      <w:lvlText w:val="%1."/>
      <w:numFmt w:val="decimal"/>
      <w:start w:val="14"/>
    </w:lvl>
    <w:lvl w:ilvl="1">
      <w:lvlJc w:val="left"/>
      <w:lvlText w:val="(%2)"/>
      <w:numFmt w:val="lowerLetter"/>
      <w:start w:val="1"/>
    </w:lvl>
  </w:abstractNum>
  <w:abstractNum w:abstractNumId="23">
    <w:nsid w:val="54E49EB4"/>
    <w:multiLevelType w:val="hybridMultilevel"/>
    <w:lvl w:ilvl="0">
      <w:lvlJc w:val="left"/>
      <w:lvlText w:val="%1."/>
      <w:numFmt w:val="decimal"/>
      <w:start w:val="18"/>
    </w:lvl>
  </w:abstractNum>
  <w:abstractNum w:abstractNumId="24">
    <w:nsid w:val="71F32454"/>
    <w:multiLevelType w:val="hybridMultilevel"/>
    <w:lvl w:ilvl="0">
      <w:lvlJc w:val="left"/>
      <w:lvlText w:val="%1."/>
      <w:numFmt w:val="decimal"/>
      <w:start w:val="20"/>
    </w:lvl>
  </w:abstractNum>
  <w:abstractNum w:abstractNumId="25">
    <w:nsid w:val="2CA88611"/>
    <w:multiLevelType w:val="hybridMultilevel"/>
    <w:lvl w:ilvl="0">
      <w:lvlJc w:val="left"/>
      <w:lvlText w:val="%1."/>
      <w:numFmt w:val="decimal"/>
      <w:start w:val="2"/>
    </w:lvl>
  </w:abstractNum>
  <w:abstractNum w:abstractNumId="26">
    <w:nsid w:val="836C40E"/>
    <w:multiLevelType w:val="hybridMultilevel"/>
    <w:lvl w:ilvl="0">
      <w:lvlJc w:val="left"/>
      <w:lvlText w:val="%1."/>
      <w:numFmt w:val="upperLetter"/>
      <w:start w:val="1"/>
    </w:lvl>
  </w:abstractNum>
  <w:abstractNum w:abstractNumId="27">
    <w:nsid w:val="2901D82"/>
    <w:multiLevelType w:val="hybridMultilevel"/>
    <w:lvl w:ilvl="0">
      <w:lvlJc w:val="left"/>
      <w:lvlText w:val="%1."/>
      <w:numFmt w:val="upperLetter"/>
      <w:start w:val="4"/>
    </w:lvl>
  </w:abstractNum>
  <w:abstractNum w:abstractNumId="28">
    <w:nsid w:val="3A95F874"/>
    <w:multiLevelType w:val="hybridMultilevel"/>
    <w:lvl w:ilvl="0">
      <w:lvlJc w:val="left"/>
      <w:lvlText w:val="%1."/>
      <w:numFmt w:val="upperLetter"/>
      <w:start w:val="8"/>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2019-12-08T00:37:37Z</dcterms:created>
  <dcterms:modified xsi:type="dcterms:W3CDTF">2019-12-08T00:37:37Z</dcterms:modified>
</cp:coreProperties>
</file>