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July 29, 2022</w:t>
      </w:r>
    </w:p>
    <w:p>
      <w:pPr>
        <w:spacing w:after="0" w:line="6" w:lineRule="exact"/>
        <w:rPr>
          <w:sz w:val="24"/>
          <w:szCs w:val="24"/>
          <w:color w:val="auto"/>
        </w:rPr>
      </w:pPr>
    </w:p>
    <w:p>
      <w:pPr>
        <w:ind w:left="9460"/>
        <w:spacing w:after="0"/>
        <w:rPr>
          <w:sz w:val="20"/>
          <w:szCs w:val="20"/>
          <w:color w:val="auto"/>
        </w:rPr>
      </w:pPr>
      <w:r>
        <w:rPr>
          <w:rFonts w:ascii="Times New Roman" w:cs="Times New Roman" w:eastAsia="Times New Roman" w:hAnsi="Times New Roman"/>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56515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99060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47625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7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FORM S-3</w:t>
      </w:r>
    </w:p>
    <w:p>
      <w:pPr>
        <w:spacing w:after="0" w:line="1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REGISTRATION STATEMENT</w:t>
      </w:r>
    </w:p>
    <w:p>
      <w:pPr>
        <w:jc w:val="center"/>
        <w:ind w:right="-139"/>
        <w:spacing w:after="0"/>
        <w:rPr>
          <w:sz w:val="20"/>
          <w:szCs w:val="20"/>
          <w:color w:val="auto"/>
        </w:rPr>
      </w:pPr>
      <w:r>
        <w:rPr>
          <w:rFonts w:ascii="Times New Roman" w:cs="Times New Roman" w:eastAsia="Times New Roman" w:hAnsi="Times New Roman"/>
          <w:sz w:val="18"/>
          <w:szCs w:val="18"/>
          <w:b w:val="1"/>
          <w:bCs w:val="1"/>
          <w:i w:val="1"/>
          <w:iCs w:val="1"/>
          <w:color w:val="auto"/>
        </w:rPr>
        <w:t>UNDER THE SECURITIES ACT OF 1933</w:t>
      </w:r>
    </w:p>
    <w:p>
      <w:pPr>
        <w:spacing w:after="0" w:line="7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40"/>
          <w:szCs w:val="40"/>
          <w:b w:val="1"/>
          <w:bCs w:val="1"/>
          <w:color w:val="auto"/>
        </w:rPr>
        <w:t>Comcast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-283210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Comcast Cable Communications, LLC</w:t>
      </w:r>
    </w:p>
    <w:p>
      <w:pPr>
        <w:spacing w:after="0" w:line="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NBCUniversal Media, LLC</w:t>
      </w:r>
    </w:p>
    <w:p>
      <w:pPr>
        <w:spacing w:after="0" w:line="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38" w:lineRule="exact"/>
        <w:rPr>
          <w:sz w:val="24"/>
          <w:szCs w:val="24"/>
          <w:color w:val="auto"/>
        </w:rPr>
      </w:pPr>
    </w:p>
    <w:tbl>
      <w:tblPr>
        <w:tblLayout w:type="fixed"/>
        <w:tblInd w:w="1020" w:type="dxa"/>
        <w:tblCellMar>
          <w:top w:w="0" w:type="dxa"/>
          <w:left w:w="0" w:type="dxa"/>
          <w:bottom w:w="0" w:type="dxa"/>
          <w:right w:w="0" w:type="dxa"/>
        </w:tblCellMar>
      </w:tblPr>
      <w:tr>
        <w:trPr>
          <w:trHeight w:val="161"/>
        </w:trPr>
        <w:tc>
          <w:tcPr>
            <w:tcW w:w="2720" w:type="dxa"/>
            <w:vAlign w:val="bottom"/>
          </w:tcPr>
          <w:p>
            <w:pPr>
              <w:jc w:val="center"/>
              <w:ind w:right="708"/>
              <w:spacing w:after="0"/>
              <w:rPr>
                <w:sz w:val="20"/>
                <w:szCs w:val="20"/>
                <w:color w:val="auto"/>
              </w:rPr>
            </w:pPr>
            <w:r>
              <w:rPr>
                <w:rFonts w:ascii="Times New Roman" w:cs="Times New Roman" w:eastAsia="Times New Roman" w:hAnsi="Times New Roman"/>
                <w:sz w:val="14"/>
                <w:szCs w:val="14"/>
                <w:b w:val="1"/>
                <w:bCs w:val="1"/>
                <w:color w:val="auto"/>
              </w:rPr>
              <w:t>Pennsylvania</w:t>
            </w:r>
          </w:p>
        </w:tc>
        <w:tc>
          <w:tcPr>
            <w:tcW w:w="6340" w:type="dxa"/>
            <w:vAlign w:val="bottom"/>
          </w:tcPr>
          <w:p>
            <w:pPr>
              <w:jc w:val="center"/>
              <w:ind w:left="4848"/>
              <w:spacing w:after="0"/>
              <w:rPr>
                <w:sz w:val="20"/>
                <w:szCs w:val="20"/>
                <w:color w:val="auto"/>
              </w:rPr>
            </w:pPr>
            <w:r>
              <w:rPr>
                <w:rFonts w:ascii="Times New Roman" w:cs="Times New Roman" w:eastAsia="Times New Roman" w:hAnsi="Times New Roman"/>
                <w:sz w:val="14"/>
                <w:szCs w:val="14"/>
                <w:b w:val="1"/>
                <w:bCs w:val="1"/>
                <w:color w:val="auto"/>
              </w:rPr>
              <w:t>27-0000798</w:t>
            </w:r>
          </w:p>
        </w:tc>
      </w:tr>
      <w:tr>
        <w:trPr>
          <w:trHeight w:val="148"/>
        </w:trPr>
        <w:tc>
          <w:tcPr>
            <w:tcW w:w="2720" w:type="dxa"/>
            <w:vAlign w:val="bottom"/>
          </w:tcPr>
          <w:p>
            <w:pPr>
              <w:jc w:val="center"/>
              <w:ind w:right="70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6340" w:type="dxa"/>
            <w:vAlign w:val="bottom"/>
          </w:tcPr>
          <w:p>
            <w:pPr>
              <w:jc w:val="center"/>
              <w:ind w:left="484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49"/>
        </w:trPr>
        <w:tc>
          <w:tcPr>
            <w:tcW w:w="2720" w:type="dxa"/>
            <w:vAlign w:val="bottom"/>
          </w:tcPr>
          <w:p>
            <w:pPr>
              <w:jc w:val="center"/>
              <w:ind w:right="708"/>
              <w:spacing w:after="0" w:line="149" w:lineRule="exact"/>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6340" w:type="dxa"/>
            <w:vAlign w:val="bottom"/>
          </w:tcPr>
          <w:p>
            <w:pPr>
              <w:jc w:val="center"/>
              <w:ind w:left="4848"/>
              <w:spacing w:after="0" w:line="149" w:lineRule="exact"/>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148"/>
        </w:trPr>
        <w:tc>
          <w:tcPr>
            <w:tcW w:w="2720" w:type="dxa"/>
            <w:vAlign w:val="bottom"/>
          </w:tcPr>
          <w:p>
            <w:pPr>
              <w:spacing w:after="0"/>
              <w:rPr>
                <w:sz w:val="12"/>
                <w:szCs w:val="12"/>
                <w:color w:val="auto"/>
              </w:rPr>
            </w:pPr>
          </w:p>
        </w:tc>
        <w:tc>
          <w:tcPr>
            <w:tcW w:w="6340" w:type="dxa"/>
            <w:vAlign w:val="bottom"/>
          </w:tcPr>
          <w:p>
            <w:pPr>
              <w:jc w:val="center"/>
              <w:ind w:right="2268"/>
              <w:spacing w:after="0" w:line="149" w:lineRule="exact"/>
              <w:rPr>
                <w:sz w:val="20"/>
                <w:szCs w:val="20"/>
                <w:color w:val="auto"/>
              </w:rPr>
            </w:pPr>
            <w:r>
              <w:rPr>
                <w:rFonts w:ascii="Times New Roman" w:cs="Times New Roman" w:eastAsia="Times New Roman" w:hAnsi="Times New Roman"/>
                <w:sz w:val="14"/>
                <w:szCs w:val="14"/>
                <w:b w:val="1"/>
                <w:bCs w:val="1"/>
                <w:color w:val="auto"/>
              </w:rPr>
              <w:t>One Comcast Center</w:t>
            </w:r>
          </w:p>
        </w:tc>
      </w:tr>
      <w:tr>
        <w:trPr>
          <w:trHeight w:val="148"/>
        </w:trPr>
        <w:tc>
          <w:tcPr>
            <w:tcW w:w="2720" w:type="dxa"/>
            <w:vAlign w:val="bottom"/>
          </w:tcPr>
          <w:p>
            <w:pPr>
              <w:spacing w:after="0"/>
              <w:rPr>
                <w:sz w:val="12"/>
                <w:szCs w:val="12"/>
                <w:color w:val="auto"/>
              </w:rPr>
            </w:pPr>
          </w:p>
        </w:tc>
        <w:tc>
          <w:tcPr>
            <w:tcW w:w="6340" w:type="dxa"/>
            <w:vAlign w:val="bottom"/>
          </w:tcPr>
          <w:p>
            <w:pPr>
              <w:jc w:val="center"/>
              <w:ind w:right="2268"/>
              <w:spacing w:after="0" w:line="149" w:lineRule="exact"/>
              <w:rPr>
                <w:sz w:val="20"/>
                <w:szCs w:val="20"/>
                <w:color w:val="auto"/>
              </w:rPr>
            </w:pPr>
            <w:r>
              <w:rPr>
                <w:rFonts w:ascii="Times New Roman" w:cs="Times New Roman" w:eastAsia="Times New Roman" w:hAnsi="Times New Roman"/>
                <w:sz w:val="14"/>
                <w:szCs w:val="14"/>
                <w:b w:val="1"/>
                <w:bCs w:val="1"/>
                <w:color w:val="auto"/>
              </w:rPr>
              <w:t>Philadelphia, Pennsylvania 19103-2838</w:t>
            </w:r>
          </w:p>
        </w:tc>
      </w:tr>
      <w:tr>
        <w:trPr>
          <w:trHeight w:val="162"/>
        </w:trPr>
        <w:tc>
          <w:tcPr>
            <w:tcW w:w="2720" w:type="dxa"/>
            <w:vAlign w:val="bottom"/>
          </w:tcPr>
          <w:p>
            <w:pPr>
              <w:spacing w:after="0"/>
              <w:rPr>
                <w:sz w:val="14"/>
                <w:szCs w:val="14"/>
                <w:color w:val="auto"/>
              </w:rPr>
            </w:pPr>
          </w:p>
        </w:tc>
        <w:tc>
          <w:tcPr>
            <w:tcW w:w="6340" w:type="dxa"/>
            <w:vAlign w:val="bottom"/>
          </w:tcPr>
          <w:p>
            <w:pPr>
              <w:jc w:val="center"/>
              <w:ind w:right="2288"/>
              <w:spacing w:after="0"/>
              <w:rPr>
                <w:sz w:val="20"/>
                <w:szCs w:val="20"/>
                <w:color w:val="auto"/>
              </w:rPr>
            </w:pPr>
            <w:r>
              <w:rPr>
                <w:rFonts w:ascii="Times New Roman" w:cs="Times New Roman" w:eastAsia="Times New Roman" w:hAnsi="Times New Roman"/>
                <w:sz w:val="14"/>
                <w:szCs w:val="14"/>
                <w:b w:val="1"/>
                <w:bCs w:val="1"/>
                <w:color w:val="auto"/>
              </w:rPr>
              <w:t>(215) 286-1700</w:t>
            </w:r>
          </w:p>
        </w:tc>
      </w:tr>
      <w:tr>
        <w:trPr>
          <w:trHeight w:val="162"/>
        </w:trPr>
        <w:tc>
          <w:tcPr>
            <w:tcW w:w="2720" w:type="dxa"/>
            <w:vAlign w:val="bottom"/>
          </w:tcPr>
          <w:p>
            <w:pPr>
              <w:jc w:val="center"/>
              <w:ind w:right="70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6340" w:type="dxa"/>
            <w:vAlign w:val="bottom"/>
          </w:tcPr>
          <w:p>
            <w:pPr>
              <w:jc w:val="center"/>
              <w:ind w:left="4848"/>
              <w:spacing w:after="0"/>
              <w:rPr>
                <w:sz w:val="20"/>
                <w:szCs w:val="20"/>
                <w:color w:val="auto"/>
              </w:rPr>
            </w:pPr>
            <w:r>
              <w:rPr>
                <w:rFonts w:ascii="Times New Roman" w:cs="Times New Roman" w:eastAsia="Times New Roman" w:hAnsi="Times New Roman"/>
                <w:sz w:val="14"/>
                <w:szCs w:val="14"/>
                <w:b w:val="1"/>
                <w:bCs w:val="1"/>
                <w:color w:val="auto"/>
              </w:rPr>
              <w:t>23-2175755</w:t>
            </w:r>
          </w:p>
        </w:tc>
      </w:tr>
      <w:tr>
        <w:trPr>
          <w:trHeight w:val="148"/>
        </w:trPr>
        <w:tc>
          <w:tcPr>
            <w:tcW w:w="2720" w:type="dxa"/>
            <w:vAlign w:val="bottom"/>
          </w:tcPr>
          <w:p>
            <w:pPr>
              <w:jc w:val="center"/>
              <w:ind w:right="70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6340" w:type="dxa"/>
            <w:vAlign w:val="bottom"/>
          </w:tcPr>
          <w:p>
            <w:pPr>
              <w:jc w:val="center"/>
              <w:ind w:left="484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62"/>
        </w:trPr>
        <w:tc>
          <w:tcPr>
            <w:tcW w:w="2720" w:type="dxa"/>
            <w:vAlign w:val="bottom"/>
          </w:tcPr>
          <w:p>
            <w:pPr>
              <w:jc w:val="center"/>
              <w:ind w:right="70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6340" w:type="dxa"/>
            <w:vAlign w:val="bottom"/>
          </w:tcPr>
          <w:p>
            <w:pPr>
              <w:jc w:val="center"/>
              <w:ind w:left="4848"/>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149"/>
        </w:trPr>
        <w:tc>
          <w:tcPr>
            <w:tcW w:w="2720" w:type="dxa"/>
            <w:vAlign w:val="bottom"/>
          </w:tcPr>
          <w:p>
            <w:pPr>
              <w:spacing w:after="0"/>
              <w:rPr>
                <w:sz w:val="12"/>
                <w:szCs w:val="12"/>
                <w:color w:val="auto"/>
              </w:rPr>
            </w:pPr>
          </w:p>
        </w:tc>
        <w:tc>
          <w:tcPr>
            <w:tcW w:w="6340" w:type="dxa"/>
            <w:vAlign w:val="bottom"/>
          </w:tcPr>
          <w:p>
            <w:pPr>
              <w:jc w:val="center"/>
              <w:ind w:right="2268"/>
              <w:spacing w:after="0" w:line="149" w:lineRule="exact"/>
              <w:rPr>
                <w:sz w:val="20"/>
                <w:szCs w:val="20"/>
                <w:color w:val="auto"/>
              </w:rPr>
            </w:pPr>
            <w:r>
              <w:rPr>
                <w:rFonts w:ascii="Times New Roman" w:cs="Times New Roman" w:eastAsia="Times New Roman" w:hAnsi="Times New Roman"/>
                <w:sz w:val="14"/>
                <w:szCs w:val="14"/>
                <w:b w:val="1"/>
                <w:bCs w:val="1"/>
                <w:color w:val="auto"/>
              </w:rPr>
              <w:t>One Comcast Center</w:t>
            </w:r>
          </w:p>
        </w:tc>
      </w:tr>
      <w:tr>
        <w:trPr>
          <w:trHeight w:val="148"/>
        </w:trPr>
        <w:tc>
          <w:tcPr>
            <w:tcW w:w="2720" w:type="dxa"/>
            <w:vAlign w:val="bottom"/>
          </w:tcPr>
          <w:p>
            <w:pPr>
              <w:spacing w:after="0"/>
              <w:rPr>
                <w:sz w:val="12"/>
                <w:szCs w:val="12"/>
                <w:color w:val="auto"/>
              </w:rPr>
            </w:pPr>
          </w:p>
        </w:tc>
        <w:tc>
          <w:tcPr>
            <w:tcW w:w="6340" w:type="dxa"/>
            <w:vAlign w:val="bottom"/>
          </w:tcPr>
          <w:p>
            <w:pPr>
              <w:jc w:val="center"/>
              <w:ind w:right="2268"/>
              <w:spacing w:after="0" w:line="149" w:lineRule="exact"/>
              <w:rPr>
                <w:sz w:val="20"/>
                <w:szCs w:val="20"/>
                <w:color w:val="auto"/>
              </w:rPr>
            </w:pPr>
            <w:r>
              <w:rPr>
                <w:rFonts w:ascii="Times New Roman" w:cs="Times New Roman" w:eastAsia="Times New Roman" w:hAnsi="Times New Roman"/>
                <w:sz w:val="14"/>
                <w:szCs w:val="14"/>
                <w:b w:val="1"/>
                <w:bCs w:val="1"/>
                <w:color w:val="auto"/>
              </w:rPr>
              <w:t>Philadelphia, Pennsylvania 19103-2838</w:t>
            </w:r>
          </w:p>
        </w:tc>
      </w:tr>
      <w:tr>
        <w:trPr>
          <w:trHeight w:val="162"/>
        </w:trPr>
        <w:tc>
          <w:tcPr>
            <w:tcW w:w="2720" w:type="dxa"/>
            <w:vAlign w:val="bottom"/>
          </w:tcPr>
          <w:p>
            <w:pPr>
              <w:spacing w:after="0"/>
              <w:rPr>
                <w:sz w:val="14"/>
                <w:szCs w:val="14"/>
                <w:color w:val="auto"/>
              </w:rPr>
            </w:pPr>
          </w:p>
        </w:tc>
        <w:tc>
          <w:tcPr>
            <w:tcW w:w="6340" w:type="dxa"/>
            <w:vAlign w:val="bottom"/>
          </w:tcPr>
          <w:p>
            <w:pPr>
              <w:jc w:val="center"/>
              <w:ind w:right="2288"/>
              <w:spacing w:after="0"/>
              <w:rPr>
                <w:sz w:val="20"/>
                <w:szCs w:val="20"/>
                <w:color w:val="auto"/>
              </w:rPr>
            </w:pPr>
            <w:r>
              <w:rPr>
                <w:rFonts w:ascii="Times New Roman" w:cs="Times New Roman" w:eastAsia="Times New Roman" w:hAnsi="Times New Roman"/>
                <w:sz w:val="14"/>
                <w:szCs w:val="14"/>
                <w:b w:val="1"/>
                <w:bCs w:val="1"/>
                <w:color w:val="auto"/>
              </w:rPr>
              <w:t>(215) 286-1700</w:t>
            </w:r>
          </w:p>
        </w:tc>
      </w:tr>
      <w:tr>
        <w:trPr>
          <w:trHeight w:val="162"/>
        </w:trPr>
        <w:tc>
          <w:tcPr>
            <w:tcW w:w="2720" w:type="dxa"/>
            <w:vAlign w:val="bottom"/>
          </w:tcPr>
          <w:p>
            <w:pPr>
              <w:jc w:val="center"/>
              <w:ind w:right="70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6340" w:type="dxa"/>
            <w:vAlign w:val="bottom"/>
          </w:tcPr>
          <w:p>
            <w:pPr>
              <w:jc w:val="center"/>
              <w:ind w:left="4848"/>
              <w:spacing w:after="0"/>
              <w:rPr>
                <w:sz w:val="20"/>
                <w:szCs w:val="20"/>
                <w:color w:val="auto"/>
              </w:rPr>
            </w:pPr>
            <w:r>
              <w:rPr>
                <w:rFonts w:ascii="Times New Roman" w:cs="Times New Roman" w:eastAsia="Times New Roman" w:hAnsi="Times New Roman"/>
                <w:sz w:val="14"/>
                <w:szCs w:val="14"/>
                <w:b w:val="1"/>
                <w:bCs w:val="1"/>
                <w:color w:val="auto"/>
              </w:rPr>
              <w:t>14-1682529</w:t>
            </w:r>
          </w:p>
        </w:tc>
      </w:tr>
      <w:tr>
        <w:trPr>
          <w:trHeight w:val="148"/>
        </w:trPr>
        <w:tc>
          <w:tcPr>
            <w:tcW w:w="2720" w:type="dxa"/>
            <w:vAlign w:val="bottom"/>
          </w:tcPr>
          <w:p>
            <w:pPr>
              <w:jc w:val="center"/>
              <w:ind w:right="70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6340" w:type="dxa"/>
            <w:vAlign w:val="bottom"/>
          </w:tcPr>
          <w:p>
            <w:pPr>
              <w:jc w:val="center"/>
              <w:ind w:left="484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62"/>
        </w:trPr>
        <w:tc>
          <w:tcPr>
            <w:tcW w:w="2720" w:type="dxa"/>
            <w:vAlign w:val="bottom"/>
          </w:tcPr>
          <w:p>
            <w:pPr>
              <w:jc w:val="center"/>
              <w:ind w:right="70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6340" w:type="dxa"/>
            <w:vAlign w:val="bottom"/>
          </w:tcPr>
          <w:p>
            <w:pPr>
              <w:jc w:val="center"/>
              <w:ind w:left="4848"/>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149"/>
        </w:trPr>
        <w:tc>
          <w:tcPr>
            <w:tcW w:w="2720" w:type="dxa"/>
            <w:vAlign w:val="bottom"/>
          </w:tcPr>
          <w:p>
            <w:pPr>
              <w:spacing w:after="0"/>
              <w:rPr>
                <w:sz w:val="12"/>
                <w:szCs w:val="12"/>
                <w:color w:val="auto"/>
              </w:rPr>
            </w:pPr>
          </w:p>
        </w:tc>
        <w:tc>
          <w:tcPr>
            <w:tcW w:w="6340" w:type="dxa"/>
            <w:vAlign w:val="bottom"/>
          </w:tcPr>
          <w:p>
            <w:pPr>
              <w:jc w:val="center"/>
              <w:ind w:right="2268"/>
              <w:spacing w:after="0" w:line="149" w:lineRule="exact"/>
              <w:rPr>
                <w:sz w:val="20"/>
                <w:szCs w:val="20"/>
                <w:color w:val="auto"/>
              </w:rPr>
            </w:pPr>
            <w:r>
              <w:rPr>
                <w:rFonts w:ascii="Times New Roman" w:cs="Times New Roman" w:eastAsia="Times New Roman" w:hAnsi="Times New Roman"/>
                <w:sz w:val="14"/>
                <w:szCs w:val="14"/>
                <w:b w:val="1"/>
                <w:bCs w:val="1"/>
                <w:color w:val="auto"/>
              </w:rPr>
              <w:t>30 Rockefeller Plaza</w:t>
            </w:r>
          </w:p>
        </w:tc>
      </w:tr>
      <w:tr>
        <w:trPr>
          <w:trHeight w:val="148"/>
        </w:trPr>
        <w:tc>
          <w:tcPr>
            <w:tcW w:w="2720" w:type="dxa"/>
            <w:vAlign w:val="bottom"/>
          </w:tcPr>
          <w:p>
            <w:pPr>
              <w:spacing w:after="0"/>
              <w:rPr>
                <w:sz w:val="12"/>
                <w:szCs w:val="12"/>
                <w:color w:val="auto"/>
              </w:rPr>
            </w:pPr>
          </w:p>
        </w:tc>
        <w:tc>
          <w:tcPr>
            <w:tcW w:w="6340" w:type="dxa"/>
            <w:vAlign w:val="bottom"/>
          </w:tcPr>
          <w:p>
            <w:pPr>
              <w:jc w:val="center"/>
              <w:ind w:right="2288"/>
              <w:spacing w:after="0" w:line="149" w:lineRule="exact"/>
              <w:rPr>
                <w:sz w:val="20"/>
                <w:szCs w:val="20"/>
                <w:color w:val="auto"/>
              </w:rPr>
            </w:pPr>
            <w:r>
              <w:rPr>
                <w:rFonts w:ascii="Times New Roman" w:cs="Times New Roman" w:eastAsia="Times New Roman" w:hAnsi="Times New Roman"/>
                <w:sz w:val="14"/>
                <w:szCs w:val="14"/>
                <w:b w:val="1"/>
                <w:bCs w:val="1"/>
                <w:color w:val="auto"/>
              </w:rPr>
              <w:t>New York, New York 10112-0015</w:t>
            </w:r>
          </w:p>
        </w:tc>
      </w:tr>
      <w:tr>
        <w:trPr>
          <w:trHeight w:val="180"/>
        </w:trPr>
        <w:tc>
          <w:tcPr>
            <w:tcW w:w="2720" w:type="dxa"/>
            <w:vAlign w:val="bottom"/>
          </w:tcPr>
          <w:p>
            <w:pPr>
              <w:spacing w:after="0"/>
              <w:rPr>
                <w:sz w:val="15"/>
                <w:szCs w:val="15"/>
                <w:color w:val="auto"/>
              </w:rPr>
            </w:pPr>
          </w:p>
        </w:tc>
        <w:tc>
          <w:tcPr>
            <w:tcW w:w="6340" w:type="dxa"/>
            <w:vAlign w:val="bottom"/>
          </w:tcPr>
          <w:p>
            <w:pPr>
              <w:jc w:val="center"/>
              <w:ind w:right="2288"/>
              <w:spacing w:after="0"/>
              <w:rPr>
                <w:sz w:val="20"/>
                <w:szCs w:val="20"/>
                <w:color w:val="auto"/>
              </w:rPr>
            </w:pPr>
            <w:r>
              <w:rPr>
                <w:rFonts w:ascii="Times New Roman" w:cs="Times New Roman" w:eastAsia="Times New Roman" w:hAnsi="Times New Roman"/>
                <w:sz w:val="14"/>
                <w:szCs w:val="14"/>
                <w:b w:val="1"/>
                <w:bCs w:val="1"/>
                <w:color w:val="auto"/>
              </w:rPr>
              <w:t>(212) 664-4444</w:t>
            </w:r>
          </w:p>
        </w:tc>
      </w:tr>
    </w:tbl>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99060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9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Thomas J. Reid, Esq.</w:t>
      </w:r>
    </w:p>
    <w:p>
      <w:pPr>
        <w:jc w:val="center"/>
        <w:ind w:right="-139"/>
        <w:spacing w:after="0" w:line="229" w:lineRule="auto"/>
        <w:rPr>
          <w:sz w:val="20"/>
          <w:szCs w:val="20"/>
          <w:color w:val="auto"/>
        </w:rPr>
      </w:pPr>
      <w:r>
        <w:rPr>
          <w:rFonts w:ascii="Times New Roman" w:cs="Times New Roman" w:eastAsia="Times New Roman" w:hAnsi="Times New Roman"/>
          <w:sz w:val="14"/>
          <w:szCs w:val="14"/>
          <w:b w:val="1"/>
          <w:bCs w:val="1"/>
          <w:color w:val="auto"/>
        </w:rPr>
        <w:t>Chief Legal Officer and Secretary</w:t>
      </w:r>
    </w:p>
    <w:p>
      <w:pPr>
        <w:jc w:val="center"/>
        <w:ind w:right="-139"/>
        <w:spacing w:after="0" w:line="221" w:lineRule="auto"/>
        <w:rPr>
          <w:sz w:val="20"/>
          <w:szCs w:val="20"/>
          <w:color w:val="auto"/>
        </w:rPr>
      </w:pPr>
      <w:r>
        <w:rPr>
          <w:rFonts w:ascii="Times New Roman" w:cs="Times New Roman" w:eastAsia="Times New Roman" w:hAnsi="Times New Roman"/>
          <w:sz w:val="14"/>
          <w:szCs w:val="14"/>
          <w:b w:val="1"/>
          <w:bCs w:val="1"/>
          <w:color w:val="auto"/>
        </w:rPr>
        <w:t>Comcast Corporation</w:t>
      </w:r>
    </w:p>
    <w:p>
      <w:pPr>
        <w:jc w:val="center"/>
        <w:ind w:right="-139"/>
        <w:spacing w:after="0" w:line="222" w:lineRule="auto"/>
        <w:rPr>
          <w:sz w:val="20"/>
          <w:szCs w:val="20"/>
          <w:color w:val="auto"/>
        </w:rPr>
      </w:pPr>
      <w:r>
        <w:rPr>
          <w:rFonts w:ascii="Times New Roman" w:cs="Times New Roman" w:eastAsia="Times New Roman" w:hAnsi="Times New Roman"/>
          <w:sz w:val="14"/>
          <w:szCs w:val="14"/>
          <w:b w:val="1"/>
          <w:bCs w:val="1"/>
          <w:color w:val="auto"/>
        </w:rPr>
        <w:t>One Comcast Center</w:t>
      </w:r>
    </w:p>
    <w:p>
      <w:pPr>
        <w:jc w:val="center"/>
        <w:ind w:right="-139"/>
        <w:spacing w:after="0" w:line="221" w:lineRule="auto"/>
        <w:rPr>
          <w:sz w:val="20"/>
          <w:szCs w:val="20"/>
          <w:color w:val="auto"/>
        </w:rPr>
      </w:pPr>
      <w:r>
        <w:rPr>
          <w:rFonts w:ascii="Times New Roman" w:cs="Times New Roman" w:eastAsia="Times New Roman" w:hAnsi="Times New Roman"/>
          <w:sz w:val="14"/>
          <w:szCs w:val="14"/>
          <w:b w:val="1"/>
          <w:bCs w:val="1"/>
          <w:color w:val="auto"/>
        </w:rPr>
        <w:t>Philadelphia, Pennsylvania 19103-2838</w:t>
      </w:r>
    </w:p>
    <w:p>
      <w:pPr>
        <w:jc w:val="center"/>
        <w:ind w:right="-139"/>
        <w:spacing w:after="0" w:line="222" w:lineRule="auto"/>
        <w:rPr>
          <w:sz w:val="20"/>
          <w:szCs w:val="20"/>
          <w:color w:val="auto"/>
        </w:rPr>
      </w:pPr>
      <w:r>
        <w:rPr>
          <w:rFonts w:ascii="Times New Roman" w:cs="Times New Roman" w:eastAsia="Times New Roman" w:hAnsi="Times New Roman"/>
          <w:sz w:val="14"/>
          <w:szCs w:val="14"/>
          <w:b w:val="1"/>
          <w:bCs w:val="1"/>
          <w:color w:val="auto"/>
        </w:rPr>
        <w:t>(215) 286-1700</w:t>
      </w: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99060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i w:val="1"/>
          <w:iCs w:val="1"/>
          <w:color w:val="auto"/>
        </w:rPr>
        <w:t>Copy to:</w:t>
      </w:r>
    </w:p>
    <w:p>
      <w:pPr>
        <w:jc w:val="center"/>
        <w:ind w:right="-139"/>
        <w:spacing w:after="0" w:line="232" w:lineRule="auto"/>
        <w:rPr>
          <w:sz w:val="20"/>
          <w:szCs w:val="20"/>
          <w:color w:val="auto"/>
        </w:rPr>
      </w:pPr>
      <w:r>
        <w:rPr>
          <w:rFonts w:ascii="Times New Roman" w:cs="Times New Roman" w:eastAsia="Times New Roman" w:hAnsi="Times New Roman"/>
          <w:sz w:val="14"/>
          <w:szCs w:val="14"/>
          <w:b w:val="1"/>
          <w:bCs w:val="1"/>
          <w:color w:val="auto"/>
        </w:rPr>
        <w:t>John B. Meade, Esq.</w:t>
      </w:r>
    </w:p>
    <w:p>
      <w:pPr>
        <w:jc w:val="center"/>
        <w:ind w:right="-139"/>
        <w:spacing w:after="0" w:line="221" w:lineRule="auto"/>
        <w:rPr>
          <w:sz w:val="20"/>
          <w:szCs w:val="20"/>
          <w:color w:val="auto"/>
        </w:rPr>
      </w:pPr>
      <w:r>
        <w:rPr>
          <w:rFonts w:ascii="Times New Roman" w:cs="Times New Roman" w:eastAsia="Times New Roman" w:hAnsi="Times New Roman"/>
          <w:sz w:val="14"/>
          <w:szCs w:val="14"/>
          <w:b w:val="1"/>
          <w:bCs w:val="1"/>
          <w:color w:val="auto"/>
        </w:rPr>
        <w:t>Davis Polk &amp; Wardwell LLP</w:t>
      </w:r>
    </w:p>
    <w:p>
      <w:pPr>
        <w:jc w:val="center"/>
        <w:ind w:right="-139"/>
        <w:spacing w:after="0" w:line="222" w:lineRule="auto"/>
        <w:rPr>
          <w:sz w:val="20"/>
          <w:szCs w:val="20"/>
          <w:color w:val="auto"/>
        </w:rPr>
      </w:pPr>
      <w:r>
        <w:rPr>
          <w:rFonts w:ascii="Times New Roman" w:cs="Times New Roman" w:eastAsia="Times New Roman" w:hAnsi="Times New Roman"/>
          <w:sz w:val="14"/>
          <w:szCs w:val="14"/>
          <w:b w:val="1"/>
          <w:bCs w:val="1"/>
          <w:color w:val="auto"/>
        </w:rPr>
        <w:t>450 Lexington Avenue</w:t>
      </w:r>
    </w:p>
    <w:p>
      <w:pPr>
        <w:jc w:val="center"/>
        <w:ind w:right="-139"/>
        <w:spacing w:after="0" w:line="221" w:lineRule="auto"/>
        <w:rPr>
          <w:sz w:val="20"/>
          <w:szCs w:val="20"/>
          <w:color w:val="auto"/>
        </w:rPr>
      </w:pPr>
      <w:r>
        <w:rPr>
          <w:rFonts w:ascii="Times New Roman" w:cs="Times New Roman" w:eastAsia="Times New Roman" w:hAnsi="Times New Roman"/>
          <w:sz w:val="14"/>
          <w:szCs w:val="14"/>
          <w:b w:val="1"/>
          <w:bCs w:val="1"/>
          <w:color w:val="auto"/>
        </w:rPr>
        <w:t>New York, NY 10017</w:t>
      </w:r>
    </w:p>
    <w:p>
      <w:pPr>
        <w:spacing w:after="0" w:line="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(212) 450-4000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125095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33"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Approximate date of commencement of proposed sale to the public</w:t>
      </w:r>
      <w:r>
        <w:rPr>
          <w:rFonts w:ascii="Times New Roman" w:cs="Times New Roman" w:eastAsia="Times New Roman" w:hAnsi="Times New Roman"/>
          <w:sz w:val="14"/>
          <w:szCs w:val="14"/>
          <w:color w:val="auto"/>
        </w:rPr>
        <w:t>: From time to time after this Registration Statement becomes effective.</w:t>
      </w:r>
    </w:p>
    <w:p>
      <w:pPr>
        <w:spacing w:after="0" w:line="47" w:lineRule="exact"/>
        <w:rPr>
          <w:sz w:val="24"/>
          <w:szCs w:val="24"/>
          <w:color w:val="auto"/>
        </w:rPr>
      </w:pPr>
    </w:p>
    <w:p>
      <w:pPr>
        <w:ind w:left="560"/>
        <w:spacing w:after="0" w:line="161" w:lineRule="exact"/>
        <w:rPr>
          <w:sz w:val="20"/>
          <w:szCs w:val="20"/>
          <w:color w:val="auto"/>
        </w:rPr>
      </w:pPr>
      <w:r>
        <w:rPr>
          <w:rFonts w:ascii="Times New Roman" w:cs="Times New Roman" w:eastAsia="Times New Roman" w:hAnsi="Times New Roman"/>
          <w:sz w:val="14"/>
          <w:szCs w:val="14"/>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4"/>
          <w:szCs w:val="14"/>
          <w:color w:val="auto"/>
        </w:rPr>
        <w:t>☐</w:t>
      </w:r>
    </w:p>
    <w:p>
      <w:pPr>
        <w:spacing w:after="0" w:line="105" w:lineRule="exact"/>
        <w:rPr>
          <w:sz w:val="24"/>
          <w:szCs w:val="24"/>
          <w:color w:val="auto"/>
        </w:rPr>
      </w:pPr>
    </w:p>
    <w:p>
      <w:pPr>
        <w:ind w:left="120" w:right="280" w:firstLine="440"/>
        <w:spacing w:after="0" w:line="182"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28" w:lineRule="exact"/>
        <w:rPr>
          <w:sz w:val="24"/>
          <w:szCs w:val="24"/>
          <w:color w:val="auto"/>
        </w:rPr>
      </w:pPr>
    </w:p>
    <w:p>
      <w:pPr>
        <w:ind w:left="120" w:right="560" w:firstLine="440"/>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8" w:lineRule="exact"/>
        <w:rPr>
          <w:sz w:val="24"/>
          <w:szCs w:val="24"/>
          <w:color w:val="auto"/>
        </w:rPr>
      </w:pPr>
    </w:p>
    <w:p>
      <w:pPr>
        <w:ind w:left="120" w:right="100" w:firstLine="440"/>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1" w:lineRule="exact"/>
        <w:rPr>
          <w:sz w:val="24"/>
          <w:szCs w:val="24"/>
          <w:color w:val="auto"/>
        </w:rPr>
      </w:pPr>
    </w:p>
    <w:p>
      <w:pPr>
        <w:ind w:left="120" w:firstLine="440"/>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28" w:lineRule="exact"/>
        <w:rPr>
          <w:sz w:val="24"/>
          <w:szCs w:val="24"/>
          <w:color w:val="auto"/>
        </w:rPr>
      </w:pPr>
    </w:p>
    <w:p>
      <w:pPr>
        <w:ind w:left="120" w:right="160" w:firstLine="440"/>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28" w:lineRule="exact"/>
        <w:rPr>
          <w:sz w:val="24"/>
          <w:szCs w:val="24"/>
          <w:color w:val="auto"/>
        </w:rPr>
      </w:pPr>
    </w:p>
    <w:p>
      <w:pPr>
        <w:ind w:left="120" w:right="360" w:firstLine="44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8" w:lineRule="exact"/>
        <w:rPr>
          <w:sz w:val="24"/>
          <w:szCs w:val="24"/>
          <w:color w:val="auto"/>
        </w:rPr>
      </w:pPr>
    </w:p>
    <w:tbl>
      <w:tblPr>
        <w:tblLayout w:type="fixed"/>
        <w:tblInd w:w="120" w:type="dxa"/>
        <w:tblCellMar>
          <w:top w:w="0" w:type="dxa"/>
          <w:left w:w="0" w:type="dxa"/>
          <w:bottom w:w="0" w:type="dxa"/>
          <w:right w:w="0" w:type="dxa"/>
        </w:tblCellMar>
      </w:tblPr>
      <w:tr>
        <w:trPr>
          <w:trHeight w:val="226"/>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8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280" w:type="dxa"/>
            <w:vAlign w:val="bottom"/>
          </w:tcPr>
          <w:p>
            <w:pPr>
              <w:ind w:left="3500"/>
              <w:spacing w:after="0"/>
              <w:rPr>
                <w:sz w:val="20"/>
                <w:szCs w:val="20"/>
                <w:color w:val="auto"/>
              </w:rPr>
            </w:pPr>
            <w:r>
              <w:rPr>
                <w:rFonts w:ascii="Times New Roman" w:cs="Times New Roman" w:eastAsia="Times New Roman" w:hAnsi="Times New Roman"/>
                <w:sz w:val="14"/>
                <w:szCs w:val="14"/>
                <w:color w:val="auto"/>
              </w:rPr>
              <w:t>Accelerated filer</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3"/>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8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280" w:type="dxa"/>
            <w:vAlign w:val="bottom"/>
          </w:tcPr>
          <w:p>
            <w:pPr>
              <w:ind w:left="35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3"/>
        </w:trPr>
        <w:tc>
          <w:tcPr>
            <w:tcW w:w="148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5280" w:type="dxa"/>
            <w:vAlign w:val="bottom"/>
          </w:tcPr>
          <w:p>
            <w:pPr>
              <w:ind w:left="3500"/>
              <w:spacing w:after="0"/>
              <w:rPr>
                <w:sz w:val="20"/>
                <w:szCs w:val="20"/>
                <w:color w:val="auto"/>
              </w:rPr>
            </w:pPr>
            <w:r>
              <w:rPr>
                <w:rFonts w:ascii="Times New Roman" w:cs="Times New Roman" w:eastAsia="Times New Roman" w:hAnsi="Times New Roman"/>
                <w:sz w:val="14"/>
                <w:szCs w:val="14"/>
                <w:color w:val="auto"/>
              </w:rPr>
              <w:t>Emerging growth company</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41" w:lineRule="exact"/>
        <w:rPr>
          <w:sz w:val="24"/>
          <w:szCs w:val="24"/>
          <w:color w:val="auto"/>
        </w:rPr>
      </w:pPr>
    </w:p>
    <w:p>
      <w:pPr>
        <w:ind w:left="120" w:right="560" w:firstLine="440"/>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100965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20"/>
          </w:cols>
          <w:pgMar w:left="320" w:top="226" w:right="4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208280</wp:posOffset>
            </wp:positionV>
            <wp:extent cx="1397000" cy="4883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9700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following are types of securities that may be offered and sold from time to time by Comcast Corporation or by selling security holders under this prospectus:</w:t>
      </w:r>
    </w:p>
    <w:p>
      <w:pPr>
        <w:sectPr>
          <w:pgSz w:w="11900" w:h="16838" w:orient="portrait"/>
          <w:cols w:equalWidth="0" w:num="1">
            <w:col w:w="11060"/>
          </w:cols>
          <w:pgMar w:left="320" w:top="455" w:right="519" w:bottom="1440" w:gutter="0" w:footer="0" w:header="0"/>
        </w:sectPr>
      </w:pP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•   Unsecured senior debt securities</w:t>
      </w:r>
    </w:p>
    <w:p>
      <w:pPr>
        <w:spacing w:after="0" w:line="3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 Preferred stock</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 Warrants</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 Depositary shares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 Purchase contracts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 Class A common stock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 Units</w:t>
      </w:r>
    </w:p>
    <w:p>
      <w:pPr>
        <w:spacing w:after="0" w:line="415" w:lineRule="exact"/>
        <w:rPr>
          <w:sz w:val="20"/>
          <w:szCs w:val="20"/>
          <w:color w:val="auto"/>
        </w:rPr>
      </w:pPr>
    </w:p>
    <w:p>
      <w:pPr>
        <w:sectPr>
          <w:pgSz w:w="11900" w:h="16838" w:orient="portrait"/>
          <w:cols w:equalWidth="0" w:num="2">
            <w:col w:w="5300" w:space="720"/>
            <w:col w:w="5040"/>
          </w:cols>
          <w:pgMar w:left="320" w:top="455" w:right="519" w:bottom="1440" w:gutter="0" w:footer="0" w:header="0"/>
          <w:type w:val="continuous"/>
        </w:sectPr>
      </w:pPr>
    </w:p>
    <w:p>
      <w:pPr>
        <w:spacing w:after="0" w:line="7"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If indicated in the relevant prospectus supplement, the securities may be fully and unconditionally guaranteed by a number of our wholly owned subsidiaries named in this prospectus.</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Our Class A common stock is quoted on the Nasdaq Global Select Market under the ticker symbol “CMCSA.” On July 28, 2022, the reported last sale price on the Nasdaq Global Select Market for our Class A common stock was $39.41.</w:t>
      </w:r>
    </w:p>
    <w:p>
      <w:pPr>
        <w:spacing w:after="0" w:line="162"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•   Maturity</w:t>
            </w:r>
          </w:p>
        </w:tc>
        <w:tc>
          <w:tcPr>
            <w:tcW w:w="3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 Redemption terms</w:t>
            </w:r>
          </w:p>
        </w:tc>
        <w:tc>
          <w:tcPr>
            <w:tcW w:w="27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•   Subsidiary guarantees</w:t>
            </w: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•   Dividends</w:t>
            </w:r>
          </w:p>
        </w:tc>
        <w:tc>
          <w:tcPr>
            <w:tcW w:w="3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 Liquidation amount</w:t>
            </w:r>
          </w:p>
        </w:tc>
        <w:tc>
          <w:tcPr>
            <w:tcW w:w="27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•   Currency of payments</w:t>
            </w: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•   Conversion or exchange rights</w:t>
            </w:r>
          </w:p>
        </w:tc>
        <w:tc>
          <w:tcPr>
            <w:tcW w:w="3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 Sinking fund terms</w:t>
            </w:r>
          </w:p>
        </w:tc>
        <w:tc>
          <w:tcPr>
            <w:tcW w:w="276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6"/>
              </w:rPr>
              <w:t>•   Amount payable at maturity</w:t>
            </w:r>
          </w:p>
        </w:tc>
      </w:tr>
      <w:tr>
        <w:trPr>
          <w:trHeight w:val="234"/>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•   Interest rate</w:t>
            </w:r>
          </w:p>
        </w:tc>
        <w:tc>
          <w:tcPr>
            <w:tcW w:w="3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 Listing on a securities exchange</w:t>
            </w:r>
          </w:p>
        </w:tc>
        <w:tc>
          <w:tcPr>
            <w:tcW w:w="27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231775</wp:posOffset>
            </wp:positionV>
            <wp:extent cx="14744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120" w:right="3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these securities involves certain risks. See “Item 1A—Risk Factors” beginning on page 22 of our Annual Report on Form 10-K for the fiscal year ended December 31, 2021, which is incorporated by reference herein.</w:t>
      </w:r>
    </w:p>
    <w:p>
      <w:pPr>
        <w:spacing w:after="0" w:line="155" w:lineRule="exact"/>
        <w:rPr>
          <w:sz w:val="20"/>
          <w:szCs w:val="20"/>
          <w:color w:val="auto"/>
        </w:rPr>
      </w:pPr>
    </w:p>
    <w:p>
      <w:pPr>
        <w:jc w:val="both"/>
        <w:ind w:left="120" w:right="5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The Securities and Exchange Commission (the “SEC” or the “Commission”) and state securities regulators have not approved or disapproved of these securities, or determined if this prospectus is truthful or complete. Any representation to the contrary is a criminal offense.</w:t>
      </w:r>
    </w:p>
    <w:p>
      <w:pPr>
        <w:spacing w:after="0" w:line="175"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We may offer the securities in amounts, at prices and on terms determined at the time of offering. We may sell the securities directly to you, through agents we select, or through underwriters and dealers we select. If we use agents, underwriters or dealers to sell the securities, we will name them and describe their compensation in a prospectus supplement.</w:t>
      </w:r>
    </w:p>
    <w:p>
      <w:pPr>
        <w:spacing w:after="0" w:line="17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The date of this prospectus is July 29, 2022</w:t>
      </w:r>
    </w:p>
    <w:p>
      <w:pPr>
        <w:sectPr>
          <w:pgSz w:w="11900" w:h="16838" w:orient="portrait"/>
          <w:cols w:equalWidth="0" w:num="1">
            <w:col w:w="11060"/>
          </w:cols>
          <w:pgMar w:left="320" w:top="455" w:right="51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900" w:type="dxa"/>
            <w:vAlign w:val="bottom"/>
            <w:gridSpan w:val="3"/>
          </w:tcPr>
          <w:p>
            <w:pPr>
              <w:ind w:left="4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164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0000EE"/>
                <w:w w:val="98"/>
              </w:rPr>
              <w:t>About This Prospectus</w:t>
            </w:r>
          </w:p>
        </w:tc>
        <w:tc>
          <w:tcPr>
            <w:tcW w:w="2440" w:type="dxa"/>
            <w:vAlign w:val="bottom"/>
            <w:gridSpan w:val="5"/>
            <w:vMerge w:val="restart"/>
          </w:tcPr>
          <w:p>
            <w:pPr>
              <w:spacing w:after="0"/>
              <w:rPr>
                <w:sz w:val="24"/>
                <w:szCs w:val="24"/>
                <w:color w:val="auto"/>
              </w:rPr>
            </w:pPr>
          </w:p>
        </w:tc>
        <w:tc>
          <w:tcPr>
            <w:tcW w:w="6560" w:type="dxa"/>
            <w:vAlign w:val="bottom"/>
          </w:tcPr>
          <w:p>
            <w:pPr>
              <w:spacing w:after="0"/>
              <w:rPr>
                <w:sz w:val="24"/>
                <w:szCs w:val="24"/>
                <w:color w:val="auto"/>
              </w:rPr>
            </w:pP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60"/>
        </w:trPr>
        <w:tc>
          <w:tcPr>
            <w:tcW w:w="1640" w:type="dxa"/>
            <w:vAlign w:val="bottom"/>
            <w:tcBorders>
              <w:bottom w:val="single" w:sz="8" w:color="0000EE"/>
            </w:tcBorders>
            <w:gridSpan w:val="9"/>
            <w:vMerge w:val="continue"/>
          </w:tcPr>
          <w:p>
            <w:pPr>
              <w:spacing w:after="0"/>
              <w:rPr>
                <w:sz w:val="13"/>
                <w:szCs w:val="13"/>
                <w:color w:val="auto"/>
              </w:rPr>
            </w:pPr>
          </w:p>
        </w:tc>
        <w:tc>
          <w:tcPr>
            <w:tcW w:w="2440" w:type="dxa"/>
            <w:vAlign w:val="bottom"/>
            <w:gridSpan w:val="5"/>
            <w:vMerge w:val="continue"/>
          </w:tcPr>
          <w:p>
            <w:pPr>
              <w:spacing w:after="0"/>
              <w:rPr>
                <w:sz w:val="13"/>
                <w:szCs w:val="13"/>
                <w:color w:val="auto"/>
              </w:rPr>
            </w:pPr>
          </w:p>
        </w:tc>
        <w:tc>
          <w:tcPr>
            <w:tcW w:w="6560" w:type="dxa"/>
            <w:vAlign w:val="bottom"/>
          </w:tcPr>
          <w:p>
            <w:pPr>
              <w:spacing w:after="0"/>
              <w:rPr>
                <w:sz w:val="13"/>
                <w:szCs w:val="13"/>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1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The Companies</w:t>
            </w:r>
          </w:p>
        </w:tc>
        <w:tc>
          <w:tcPr>
            <w:tcW w:w="2940" w:type="dxa"/>
            <w:vAlign w:val="bottom"/>
            <w:gridSpan w:val="11"/>
          </w:tcPr>
          <w:p>
            <w:pPr>
              <w:spacing w:after="0"/>
              <w:rPr>
                <w:sz w:val="18"/>
                <w:szCs w:val="18"/>
                <w:color w:val="auto"/>
              </w:rPr>
            </w:pPr>
          </w:p>
        </w:tc>
        <w:tc>
          <w:tcPr>
            <w:tcW w:w="6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362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Caution Concerning Forward-Looking Statements</w:t>
            </w:r>
          </w:p>
        </w:tc>
        <w:tc>
          <w:tcPr>
            <w:tcW w:w="460" w:type="dxa"/>
            <w:vAlign w:val="bottom"/>
          </w:tcPr>
          <w:p>
            <w:pPr>
              <w:spacing w:after="0"/>
              <w:rPr>
                <w:sz w:val="17"/>
                <w:szCs w:val="17"/>
                <w:color w:val="auto"/>
              </w:rPr>
            </w:pPr>
          </w:p>
        </w:tc>
        <w:tc>
          <w:tcPr>
            <w:tcW w:w="69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40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69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9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Dividend Policy</w:t>
            </w:r>
          </w:p>
        </w:tc>
        <w:tc>
          <w:tcPr>
            <w:tcW w:w="2900" w:type="dxa"/>
            <w:vAlign w:val="bottom"/>
            <w:gridSpan w:val="9"/>
          </w:tcPr>
          <w:p>
            <w:pPr>
              <w:spacing w:after="0"/>
              <w:rPr>
                <w:sz w:val="17"/>
                <w:szCs w:val="17"/>
                <w:color w:val="auto"/>
              </w:rPr>
            </w:pPr>
          </w:p>
        </w:tc>
        <w:tc>
          <w:tcPr>
            <w:tcW w:w="69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33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 and Guarantees</w:t>
            </w:r>
          </w:p>
        </w:tc>
        <w:tc>
          <w:tcPr>
            <w:tcW w:w="700" w:type="dxa"/>
            <w:vAlign w:val="bottom"/>
            <w:gridSpan w:val="3"/>
          </w:tcPr>
          <w:p>
            <w:pPr>
              <w:spacing w:after="0"/>
              <w:rPr>
                <w:sz w:val="17"/>
                <w:szCs w:val="17"/>
                <w:color w:val="auto"/>
              </w:rPr>
            </w:pPr>
          </w:p>
        </w:tc>
        <w:tc>
          <w:tcPr>
            <w:tcW w:w="69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40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Global Securities</w:t>
            </w:r>
          </w:p>
        </w:tc>
        <w:tc>
          <w:tcPr>
            <w:tcW w:w="69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9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69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204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040" w:type="dxa"/>
            <w:vAlign w:val="bottom"/>
            <w:gridSpan w:val="4"/>
          </w:tcPr>
          <w:p>
            <w:pPr>
              <w:spacing w:after="0"/>
              <w:rPr>
                <w:sz w:val="17"/>
                <w:szCs w:val="17"/>
                <w:color w:val="auto"/>
              </w:rPr>
            </w:pPr>
          </w:p>
        </w:tc>
        <w:tc>
          <w:tcPr>
            <w:tcW w:w="69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142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2660" w:type="dxa"/>
            <w:vAlign w:val="bottom"/>
            <w:gridSpan w:val="7"/>
          </w:tcPr>
          <w:p>
            <w:pPr>
              <w:spacing w:after="0"/>
              <w:rPr>
                <w:sz w:val="17"/>
                <w:szCs w:val="17"/>
                <w:color w:val="auto"/>
              </w:rPr>
            </w:pPr>
          </w:p>
        </w:tc>
        <w:tc>
          <w:tcPr>
            <w:tcW w:w="69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3080" w:type="dxa"/>
            <w:vAlign w:val="bottom"/>
            <w:gridSpan w:val="12"/>
          </w:tcPr>
          <w:p>
            <w:pPr>
              <w:spacing w:after="0"/>
              <w:rPr>
                <w:sz w:val="17"/>
                <w:szCs w:val="17"/>
                <w:color w:val="auto"/>
              </w:rPr>
            </w:pPr>
          </w:p>
        </w:tc>
        <w:tc>
          <w:tcPr>
            <w:tcW w:w="69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40" w:type="dxa"/>
            <w:vAlign w:val="bottom"/>
            <w:gridSpan w:val="7"/>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9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Available Information</w:t>
            </w:r>
          </w:p>
        </w:tc>
        <w:tc>
          <w:tcPr>
            <w:tcW w:w="69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1580" w:type="dxa"/>
            <w:vAlign w:val="bottom"/>
            <w:gridSpan w:val="8"/>
            <w:shd w:val="clear" w:color="auto" w:fill="0000EE"/>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9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69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6"/>
        </w:trPr>
        <w:tc>
          <w:tcPr>
            <w:tcW w:w="360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Part II Information Not Required in Prospectus</w:t>
            </w:r>
          </w:p>
        </w:tc>
        <w:tc>
          <w:tcPr>
            <w:tcW w:w="480" w:type="dxa"/>
            <w:vAlign w:val="bottom"/>
            <w:gridSpan w:val="2"/>
          </w:tcPr>
          <w:p>
            <w:pPr>
              <w:spacing w:after="0"/>
              <w:rPr>
                <w:sz w:val="17"/>
                <w:szCs w:val="17"/>
                <w:color w:val="auto"/>
              </w:rPr>
            </w:pPr>
          </w:p>
        </w:tc>
        <w:tc>
          <w:tcPr>
            <w:tcW w:w="6560" w:type="dxa"/>
            <w:vAlign w:val="bottom"/>
          </w:tcPr>
          <w:p>
            <w:pPr>
              <w:spacing w:after="0"/>
              <w:rPr>
                <w:sz w:val="17"/>
                <w:szCs w:val="17"/>
                <w:color w:val="auto"/>
              </w:rPr>
            </w:pPr>
          </w:p>
        </w:tc>
        <w:tc>
          <w:tcPr>
            <w:tcW w:w="34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8"/>
                <w:szCs w:val="18"/>
                <w:color w:val="auto"/>
              </w:rPr>
              <w:t>II-1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3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not authorized anyone to provide any information other than that contained or incorporated by reference in this prospectus, any prospectus supplement or any free writing prospectus prepared by or on behalf of us or to which we have referred you. We take no responsibility for, and can provide no assurance as to the reliability of, any other information that others may give you. We are not making an offer of these securities in any jurisdiction where the offer is not permitted. You should not assume that the information contained in or incorporated by reference in this prospectus, any prospectus supplement or any such free writing prospectus is accurate as of any date other than their respective dates.</w:t>
      </w:r>
    </w:p>
    <w:p>
      <w:pPr>
        <w:spacing w:after="0" w:line="183" w:lineRule="exact"/>
        <w:rPr>
          <w:sz w:val="20"/>
          <w:szCs w:val="20"/>
          <w:color w:val="auto"/>
        </w:rPr>
      </w:pPr>
    </w:p>
    <w:p>
      <w:pPr>
        <w:ind w:left="120" w:right="460" w:firstLine="440"/>
        <w:spacing w:after="0" w:line="261" w:lineRule="auto"/>
        <w:rPr>
          <w:sz w:val="20"/>
          <w:szCs w:val="20"/>
          <w:color w:val="auto"/>
        </w:rPr>
      </w:pPr>
      <w:r>
        <w:rPr>
          <w:rFonts w:ascii="Times New Roman" w:cs="Times New Roman" w:eastAsia="Times New Roman" w:hAnsi="Times New Roman"/>
          <w:sz w:val="18"/>
          <w:szCs w:val="18"/>
          <w:color w:val="auto"/>
        </w:rPr>
        <w:t>We refer to Comcast Corporation in this prospectus as “Comcast,” and Comcast and its consolidated subsidiaries as “we,” “us,” “our” or comparable terms; Comcast Holdings Corporation as “Comcast Holdings” and Sky Limited and its consolidated subsidiaries as “Sky.” We refer to Comcast Cable Communications, LLC and its consolidated subsidiaries as “Comcast Cable,” NBCUniversal Media, LLC and its consolidated subsidiaries as “NBCUniversal,” and both of them collectively as the “Guarantors.”</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 utilizing a “shelf” registration process. Under this shelf process, we may sell any combination of the securities described in this prospectus in one or more offerings. This prospectus provides you with a general description of the securities we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“Available Information.”</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00"/>
          </w:cols>
          <w:pgMar w:left="320" w:top="455" w:right="4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THE COMPANIES</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are a global media and technology company with three primary businesses, Comcast Cable, NBCUniversal and Sky.</w:t>
      </w:r>
    </w:p>
    <w:p>
      <w:pPr>
        <w:spacing w:after="0" w:line="225" w:lineRule="exact"/>
        <w:rPr>
          <w:sz w:val="20"/>
          <w:szCs w:val="20"/>
          <w:color w:val="auto"/>
        </w:rPr>
      </w:pPr>
    </w:p>
    <w:p>
      <w:pPr>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We present our operations in five reportable business segments: (1) Comcast Cable in one reportable business segment, referred to as Cable Communications; (2) NBCUniversal in three reportable business segments: Media, Studios and Theme Parks (collectively, the “NBCUniversal segments”); and (3) Sky in one reportable business segment.</w:t>
      </w:r>
    </w:p>
    <w:p>
      <w:pPr>
        <w:spacing w:after="0" w:line="77" w:lineRule="exact"/>
        <w:rPr>
          <w:sz w:val="20"/>
          <w:szCs w:val="20"/>
          <w:color w:val="auto"/>
        </w:rPr>
      </w:pPr>
    </w:p>
    <w:p>
      <w:pPr>
        <w:ind w:left="1080" w:right="120" w:hanging="424"/>
        <w:spacing w:after="0" w:line="268"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Cable Communications: </w:t>
      </w:r>
      <w:r>
        <w:rPr>
          <w:rFonts w:ascii="Times New Roman" w:cs="Times New Roman" w:eastAsia="Times New Roman" w:hAnsi="Times New Roman"/>
          <w:sz w:val="18"/>
          <w:szCs w:val="18"/>
          <w:color w:val="auto"/>
        </w:rPr>
        <w:t>Consists of the operations of Comcast Cable, which is a leading provider of broadband, video, voice, wireless,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other services to residential customers in the United States under the Xfinity brand; we also provide these and other services to business customers and sell advertising.</w:t>
      </w:r>
    </w:p>
    <w:p>
      <w:pPr>
        <w:spacing w:after="0" w:line="76" w:lineRule="exact"/>
        <w:rPr>
          <w:rFonts w:ascii="Times New Roman" w:cs="Times New Roman" w:eastAsia="Times New Roman" w:hAnsi="Times New Roman"/>
          <w:sz w:val="18"/>
          <w:szCs w:val="18"/>
          <w:color w:val="auto"/>
        </w:rPr>
      </w:pPr>
    </w:p>
    <w:p>
      <w:pPr>
        <w:jc w:val="both"/>
        <w:ind w:left="1080" w:right="320" w:hanging="424"/>
        <w:spacing w:after="0" w:line="317" w:lineRule="auto"/>
        <w:tabs>
          <w:tab w:leader="none" w:pos="108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Media: </w:t>
      </w:r>
      <w:r>
        <w:rPr>
          <w:rFonts w:ascii="Times New Roman" w:cs="Times New Roman" w:eastAsia="Times New Roman" w:hAnsi="Times New Roman"/>
          <w:sz w:val="17"/>
          <w:szCs w:val="17"/>
          <w:color w:val="auto"/>
        </w:rPr>
        <w:t>Consists primarily of NBCUniversal’s television and streaming platforms, including national, regional and international cable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networks; the NBC and Telemundo broadcast networks, NBC and Telemundo owned local broadcast television stations; and Peacock.</w:t>
      </w:r>
    </w:p>
    <w:p>
      <w:pPr>
        <w:spacing w:after="0" w:line="37"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Studios: </w:t>
      </w:r>
      <w:r>
        <w:rPr>
          <w:rFonts w:ascii="Times New Roman" w:cs="Times New Roman" w:eastAsia="Times New Roman" w:hAnsi="Times New Roman"/>
          <w:sz w:val="18"/>
          <w:szCs w:val="18"/>
          <w:color w:val="auto"/>
        </w:rPr>
        <w:t>Consists primarily of NBCUniversal’s film and television studio production and distribution operations.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6"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Theme Parks: </w:t>
      </w:r>
      <w:r>
        <w:rPr>
          <w:rFonts w:ascii="Times New Roman" w:cs="Times New Roman" w:eastAsia="Times New Roman" w:hAnsi="Times New Roman"/>
          <w:sz w:val="18"/>
          <w:szCs w:val="18"/>
          <w:color w:val="auto"/>
        </w:rPr>
        <w:t>Consists primarily of our Universal theme parks in Orlando, Florida; Hollywood, California; Osaka, Japan; and Beijing,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China.</w:t>
      </w:r>
    </w:p>
    <w:p>
      <w:pPr>
        <w:spacing w:after="0" w:line="60" w:lineRule="exact"/>
        <w:rPr>
          <w:rFonts w:ascii="Times New Roman" w:cs="Times New Roman" w:eastAsia="Times New Roman" w:hAnsi="Times New Roman"/>
          <w:sz w:val="18"/>
          <w:szCs w:val="18"/>
          <w:color w:val="auto"/>
        </w:rPr>
      </w:pPr>
    </w:p>
    <w:p>
      <w:pPr>
        <w:ind w:left="1080" w:right="120" w:hanging="424"/>
        <w:spacing w:after="0" w:line="268"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Sky: </w:t>
      </w:r>
      <w:r>
        <w:rPr>
          <w:rFonts w:ascii="Times New Roman" w:cs="Times New Roman" w:eastAsia="Times New Roman" w:hAnsi="Times New Roman"/>
          <w:sz w:val="18"/>
          <w:szCs w:val="18"/>
          <w:color w:val="auto"/>
        </w:rPr>
        <w:t>Consists of the operations of Sky, one of Europe’s leading entertainment companies, which primarily includes a direct-to-consumer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providing video, broadband, voice and wireless phone services, and a content business, operating entertainment networks, the Sky News broadcast network and Sky Sports networks.</w:t>
      </w:r>
    </w:p>
    <w:p>
      <w:pPr>
        <w:spacing w:after="0" w:line="175"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Our other business interests consist primarily of the operations of Comcast Spectacor, which owns the Philadelphia Flyers and the Wells Fargo Center arena in Philadelphia, Pennsylvania, and other business initiatives.</w:t>
      </w:r>
    </w:p>
    <w:p>
      <w:pPr>
        <w:spacing w:after="0" w:line="162"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For a description of our business, financial condition, results of operations and other important information regarding us, see our filings with the SEC incorporated by reference in this prospectus. For instructions on how to find copies of these and our other filings incorporated by reference in this prospectus, see “Available Information” in this prospectus.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Guarantors</w:t>
      </w:r>
    </w:p>
    <w:p>
      <w:pPr>
        <w:spacing w:after="0" w:line="121"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Our obligations, including the payment of principal, premium, if any, and interest on the debt securities issued pursuant to this prospectus will be fully and unconditionally guaranteed by each of the Guarantors. In this prospectus, we refer to these guarantees as the “Guarantees.” We have numerous other subsidiaries, including Comcast Holdings, and its and the Guarantors’ respective subsidiaries, that will not be guarantors on the debt securities. If indicated in the relevant prospectus supplement, our obligations under the other securities we are offering and selling may be fully and unconditionally guaranteed by specified Guarantors.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Guarantees will not contain any restrictions on the ability of any Guarantor to:</w:t>
      </w:r>
    </w:p>
    <w:p>
      <w:pPr>
        <w:spacing w:after="0" w:line="131" w:lineRule="exact"/>
        <w:rPr>
          <w:sz w:val="20"/>
          <w:szCs w:val="20"/>
          <w:color w:val="auto"/>
        </w:rPr>
      </w:pPr>
    </w:p>
    <w:p>
      <w:pPr>
        <w:ind w:left="1080" w:right="28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distributions on, or redeem, purchase, acquire, or make a liquidation payment with respect to, any of that Guarantor’s capital stock;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payment of principal, interest or premium, if any, on or repay, repurchase or redeem any debt securities of that Guarantor.</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60"/>
          </w:cols>
          <w:pgMar w:left="320" w:top="455" w:right="5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Comcast Cable Communications, LLC</w:t>
      </w:r>
    </w:p>
    <w:p>
      <w:pPr>
        <w:spacing w:after="0" w:line="121"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Comcast Cable, which was incorporated in 1981 as a Delaware corporation, became a Delaware limited liability company in 2003 and is an indirect wholly owned subsidiary of ours.</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NBCUniversal Media, LLC</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NBCUniversal is one of the world’s leading media and entertainment companies that develops, produces and distributes entertainment, news and information, sports, and other content for global audiences, and owns and operates theme parks worldwide.</w:t>
      </w:r>
    </w:p>
    <w:p>
      <w:pPr>
        <w:spacing w:after="0" w:line="162"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principal executive offices of Comcast and Comcast Cable are located at One Comcast Center, Philadelphia, Pennsylvania 19103-2838, and our telephone number is (215) 286-1700.</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principal executive offices of NBCUniversal are located at 30 Rockefeller Plaza, New York, New York 10112-0015, and its telephone number is (212) 664-4444.</w:t>
      </w:r>
    </w:p>
    <w:p>
      <w:pPr>
        <w:spacing w:after="0" w:line="162"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We maintain a website at http://www.comcastcorporation.com where general information about us is available. We are not incorporating the contents of the website into this prospectus.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00"/>
          </w:cols>
          <w:pgMar w:left="320" w:top="455"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CAUTION CONCERNING FORWARD-LOOKING STATEMENTS</w:t>
      </w:r>
    </w:p>
    <w:p>
      <w:pPr>
        <w:spacing w:after="0" w:line="229" w:lineRule="exact"/>
        <w:rPr>
          <w:sz w:val="20"/>
          <w:szCs w:val="20"/>
          <w:color w:val="auto"/>
        </w:rPr>
      </w:pPr>
    </w:p>
    <w:p>
      <w:pPr>
        <w:ind w:left="120" w:right="60" w:firstLine="440"/>
        <w:spacing w:after="0" w:line="274" w:lineRule="auto"/>
        <w:rPr>
          <w:sz w:val="20"/>
          <w:szCs w:val="20"/>
          <w:color w:val="auto"/>
        </w:rPr>
      </w:pPr>
      <w:r>
        <w:rPr>
          <w:rFonts w:ascii="Times New Roman" w:cs="Times New Roman" w:eastAsia="Times New Roman" w:hAnsi="Times New Roman"/>
          <w:sz w:val="17"/>
          <w:szCs w:val="17"/>
          <w:color w:val="auto"/>
        </w:rPr>
        <w:t>In this prospectus and in the documents we incorporate by reference, we state our beliefs of future events and of our future financial performance. In some cases, you can identify these so-called “forward-looking statements” by words such as “may,” “will,” “should,” “expects,” “believes,” “estimates,” “potential,” or “continue,” or the negative of these words, and other comparable words. You should be aware that those statements are only our predictions. In evaluating those statements, you should specifically consider various factors, including the risks and uncertainties listed in “Item 1A —Risk Factors” in our Annual Report on Form 10-K for the year ended December 31, 2021 incorporated herein by reference. Actual events or our actual results may differ materially from any of our forward-looking statements. We undertake no obligation to update any forward-looking statements.</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businesses may be affected by, among other things, the following:</w:t>
      </w:r>
    </w:p>
    <w:p>
      <w:pPr>
        <w:spacing w:after="0" w:line="131" w:lineRule="exact"/>
        <w:rPr>
          <w:sz w:val="20"/>
          <w:szCs w:val="20"/>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has had, and may continue to have, a material adverse effect on our businesses and results of operations;</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businesses operate in highly competitive and dynamic industries, and our businesses and results of operations could be adversely affected if we do not compete effectively;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behavior continue to adversely affect our businesses and challenge existing business models;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advertisers’ expenditures or changes in advertising markets could negatively impact our businesses;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programming expenses for our video services are increasing, which could adversely affect our Cable Communications’ video businesses;</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NBCUniversal’s and Sky’s success depends on consumer acceptance of their content, and their businesses may be adversely affected if their content fails to achieve sufficient consumer acceptance or the costs to create or acquire content increase;</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programming distribution and licensing agreements, or the renewal of these agreements on less favorable terms, could adversely affect its businesses;</w:t>
      </w:r>
    </w:p>
    <w:p>
      <w:pPr>
        <w:spacing w:after="0" w:line="67" w:lineRule="exact"/>
        <w:rPr>
          <w:rFonts w:ascii="Times New Roman" w:cs="Times New Roman" w:eastAsia="Times New Roman" w:hAnsi="Times New Roman"/>
          <w:sz w:val="18"/>
          <w:szCs w:val="18"/>
          <w:color w:val="auto"/>
        </w:rPr>
      </w:pPr>
    </w:p>
    <w:p>
      <w:pPr>
        <w:jc w:val="both"/>
        <w:ind w:left="1080" w:right="680" w:hanging="424"/>
        <w:spacing w:after="0" w:line="312" w:lineRule="auto"/>
        <w:tabs>
          <w:tab w:leader="none" w:pos="10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less favorable European telecommunications access regulations, the loss of Sky’s transmission access agreements with satellite or telecommunications providers or the renewal of these agreements on less favorable terms could adversely affect Sky’s businesses;</w:t>
      </w:r>
    </w:p>
    <w:p>
      <w:pPr>
        <w:spacing w:after="0" w:line="45" w:lineRule="exact"/>
        <w:rPr>
          <w:rFonts w:ascii="Times New Roman" w:cs="Times New Roman" w:eastAsia="Times New Roman" w:hAnsi="Times New Roman"/>
          <w:sz w:val="17"/>
          <w:szCs w:val="17"/>
          <w:color w:val="auto"/>
        </w:rPr>
      </w:pPr>
    </w:p>
    <w:p>
      <w:pPr>
        <w:ind w:left="1080" w:right="22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businesses depend on using and protecting certain intellectual property rights and on not infringing the intellectual property rights of others;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obtain necessary hardware, software and operational support;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businesses depend on keeping pace with technological developments;</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66"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 attack, information or security breach, or technology disruption or failure may negatively impact our ability to conduct our business or result in the misuse of confidential information, all of which could adversely affect our business, reputation and results of operations;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 economic conditions may have a negative impact on our businesses;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including our acquisitions of Sky, and other strategic initiatives present many risks, and we may not realize the financial and strategic goals that we had contemplated;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relating to doing business internationally that could adversely affect our businesses;</w:t>
      </w:r>
    </w:p>
    <w:p>
      <w:pPr>
        <w:spacing w:after="0" w:line="130" w:lineRule="exact"/>
        <w:rPr>
          <w:rFonts w:ascii="Times New Roman" w:cs="Times New Roman" w:eastAsia="Times New Roman" w:hAnsi="Times New Roman"/>
          <w:sz w:val="18"/>
          <w:szCs w:val="18"/>
          <w:color w:val="auto"/>
        </w:rPr>
      </w:pPr>
    </w:p>
    <w:p>
      <w:pPr>
        <w:ind w:left="5580" w:right="140" w:hanging="4924"/>
        <w:spacing w:after="0" w:line="454" w:lineRule="auto"/>
        <w:tabs>
          <w:tab w:leader="none" w:pos="108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severe weather and other uncontrollable events could adversely affect our business, reputation and results of operations; 4</w:t>
      </w:r>
    </w:p>
    <w:p>
      <w:pPr>
        <w:sectPr>
          <w:pgSz w:w="11900" w:h="16838" w:orient="portrait"/>
          <w:cols w:equalWidth="0" w:num="1">
            <w:col w:w="11120"/>
          </w:cols>
          <w:pgMar w:left="320" w:top="455"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management personnel or popular on-air and creative talent could have an adverse effect on our businesses;</w:t>
      </w:r>
    </w:p>
    <w:p>
      <w:pPr>
        <w:spacing w:after="0" w:line="130"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regulation by federal, state, local and foreign authorities, which impose additional costs and restrictions on our businesses;</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litigation or governmental investigation results could require us to pay significant amounts or lead to onerous operating procedures;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disputes, whether involving employees or sports organizations, may disrupt our operations and adversely affect our businesses; and</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B common stock has substantial voting rights and separate approval rights over several potentially material transactions, and our Chairman and CEO has considerable influence over our company through his beneficial ownership of our Class B common stock.</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60"/>
          </w:cols>
          <w:pgMar w:left="320" w:top="455" w:right="5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We intend to use the net proceeds from the sale of the securities for working capital and general corporate purposes. We may also invest the proceeds in certificates of deposit, U.S. government securities or certain other interest-bearing securities. If we decide to use the net proceeds from a particular offering of securities for a specific purpose, we will describe that in the related prospectus supplement.</w:t>
      </w:r>
    </w:p>
    <w:p>
      <w:pPr>
        <w:spacing w:after="0" w:line="28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intend to pay quarterly dividends at an annualized rate currently of $1.08 per share, although each dividend is subject to approval by our Board of Directors. Our Board of Directors retains the right to change our dividend policy at any time.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DEBT SECURITIES AND GUARANTEES</w:t>
      </w:r>
    </w:p>
    <w:p>
      <w:pPr>
        <w:spacing w:after="0" w:line="22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Our debt securities, consisting of notes, debentures or other evidences of indebtedness, may be issued from time to time in one or more series under a senior indenture dated September 18, 2013, entered into among us, the guarantors named therein and The Bank of New York Mellon, as trustee, as amended by the first supplemental indenture dated as of November 17, 2015, entered into among us, the guarantors named therein and The Bank of New York Mellon, as trustee, and the second supplemental indenture dated as of July 29, 2022, entered into among us, the guarantors named therein and The Bank of New York Mellon, as trustee.</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senior indenture is included as an exhibit to the registration statement of which this prospectus is a part.</w:t>
      </w:r>
    </w:p>
    <w:p>
      <w:pPr>
        <w:spacing w:after="0" w:line="225"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Because the following is only a summary of the indenture and the debt securities, it does not contain all information that you may find useful. For further information about the indenture and the debt securities, you should read the indenture. As used in this section of the prospectus and under the caption “Description of Capital Stock,” the terms “we,” “us” and “our” refer solely to Comcast Corporation and such references do not include any subsidiaries of Comcast Corporation, including the Guarantors.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senior debt securities will constitute our unsecured and unsubordinated obligations. The debt securities will be fully and unconditionally guaranteed by the Guarantors, as described below. The debt securities will not be guaranteed by any of our other subsidiaries, including the Guarantors’ respective subsidiaries.</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are a holding company and conduct all of our operations through subsidiaries. Consequently, our ability to pay our obligations, including our obligation to pay interest on the debt securities, to repay the principal amount of the debt securities at maturity or upon redemption or to buy back the debt securities will depend upon our subsidiaries’ earnings and their distribution of those earnings to us and upon our subsidiaries repaying investments and advances we have made to them. Our subsidiaries are separate and distinct legal entities and, except for the Guarantors with respect to the Guarantees,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Our indentures will not limit our subsidiaries’ ability to enter into other agreements that prohibit or restrict dividends or other payments or advances to us.</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You should look in the applicable prospectus supplement for the following terms of the debt securities being offered:</w:t>
      </w:r>
    </w:p>
    <w:p>
      <w:pPr>
        <w:spacing w:after="0" w:line="131" w:lineRule="exact"/>
        <w:rPr>
          <w:sz w:val="20"/>
          <w:szCs w:val="20"/>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their principal amount (i.e., price) at which the debt securities will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debt securities will mature and the right, if any, to extend such date or 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if any, per year, at which the debt securities will bear interest, or the method of determining such rate or rates;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to extend the interest payment periods and the duration of that extension;</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00"/>
          </w:cols>
          <w:pgMar w:left="320" w:top="455" w:right="4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4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a sinking fund purchase or other analogous fund, if any;</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if any, within which, the price or prices of which, and the terms and conditions upon which the debt securities may be redeemed, in whole or in part, at our option or at your option;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debt securities;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payment of additional amounts for taxes and any provision for redemption, if we must pay such additional amounts in respect of any debt security;</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we may have to repay the debt securities early at your option and the price or prices in the currency or currency unit in which the debt securities are payable;</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pursuant to which the debt securities may be converted or exchanged for the cash value of other securities issued by us or by a third party;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to “reopen” a series of the debt securities and issue additional debt securities of such series; and</w:t>
      </w:r>
    </w:p>
    <w:p>
      <w:pPr>
        <w:spacing w:after="0" w:line="130"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including any additional events of default or covenants provided for with respect to the debt securities, and any terms which may be required by or advisable under applicable laws or regulations.</w:t>
      </w:r>
    </w:p>
    <w:p>
      <w:pPr>
        <w:spacing w:after="0" w:line="162" w:lineRule="exact"/>
        <w:rPr>
          <w:sz w:val="20"/>
          <w:szCs w:val="20"/>
          <w:color w:val="auto"/>
        </w:rPr>
      </w:pPr>
    </w:p>
    <w:p>
      <w:pPr>
        <w:ind w:left="120" w:right="480" w:firstLine="440"/>
        <w:spacing w:after="0" w:line="266" w:lineRule="auto"/>
        <w:rPr>
          <w:sz w:val="20"/>
          <w:szCs w:val="20"/>
          <w:color w:val="auto"/>
        </w:rPr>
      </w:pPr>
      <w:r>
        <w:rPr>
          <w:rFonts w:ascii="Times New Roman" w:cs="Times New Roman" w:eastAsia="Times New Roman" w:hAnsi="Times New Roman"/>
          <w:sz w:val="18"/>
          <w:szCs w:val="18"/>
          <w:color w:val="auto"/>
        </w:rPr>
        <w:t>You may present debt securities for exchange and for transfer in the manner, at the places and subject to the restrictions set forth in the debt securities and the prospectus supplement. We will provide you those services without charge, although you may have to pay any tax or other governmental charge payable in connection with any exchange or transfer, as set forth in the indenture.</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Debt securities will bear interest at a fixed rate or a floating rate. Debt securities bearing no interest or interest at a rate that at the time of issuance is below the prevailing market rate may be sold at a discount below their stated principal amount. Special U.S. federal income tax considerations applicable to any such discounted debt securities or to certain debt securities issued at par which are treated as having been issued at a discount for U.S. federal income tax purposes will be described in the relevant prospectus supplement.</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used in this section, the following terms have the meanings set forth below.</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“Aggregate Debt” means, with respect to an Obligor, the sum of the following as of the date of determination:</w:t>
      </w:r>
    </w:p>
    <w:p>
      <w:pPr>
        <w:spacing w:after="0" w:line="117" w:lineRule="exact"/>
        <w:rPr>
          <w:sz w:val="20"/>
          <w:szCs w:val="20"/>
          <w:color w:val="auto"/>
        </w:rPr>
      </w:pPr>
    </w:p>
    <w:p>
      <w:pPr>
        <w:ind w:left="120" w:right="460" w:firstLine="436"/>
        <w:spacing w:after="0" w:line="282" w:lineRule="auto"/>
        <w:tabs>
          <w:tab w:leader="none" w:pos="80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such Obligor’s Indebtedness incurred after the date of initial issuance of the senior debt securities and secured by Liens not permitted by the first sentence under “—Limitation on Liens Securing Indebtedness”; and</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60"/>
          </w:cols>
          <w:pgMar w:left="320" w:top="455" w:right="5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0" w:firstLine="436"/>
        <w:spacing w:after="0" w:line="282" w:lineRule="auto"/>
        <w:tabs>
          <w:tab w:leader="none" w:pos="8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Obligor’s Attributable Liens in respect of sale and lease-back transactions entered into after the date of the initial issuance of the senior debt securities pursuant to the second paragraph of “—Limitation on Sale and Lease-Back Transactions.”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“Attributable Liens” means in connection with a sale and lease-back transaction of an Obligor the lesser of:</w:t>
      </w:r>
    </w:p>
    <w:p>
      <w:pPr>
        <w:spacing w:after="0" w:line="225" w:lineRule="exact"/>
        <w:rPr>
          <w:sz w:val="20"/>
          <w:szCs w:val="20"/>
          <w:color w:val="auto"/>
        </w:rPr>
      </w:pPr>
    </w:p>
    <w:p>
      <w:pPr>
        <w:ind w:left="120" w:right="640" w:firstLine="436"/>
        <w:spacing w:after="0" w:line="282" w:lineRule="auto"/>
        <w:tabs>
          <w:tab w:leader="none" w:pos="80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the assets subject to such transaction (as determined in good faith by our board of directors (in our case) or the equivalent governing body of any Guarantor); and</w:t>
      </w:r>
    </w:p>
    <w:p>
      <w:pPr>
        <w:spacing w:after="0" w:line="161" w:lineRule="exact"/>
        <w:rPr>
          <w:rFonts w:ascii="Times New Roman" w:cs="Times New Roman" w:eastAsia="Times New Roman" w:hAnsi="Times New Roman"/>
          <w:sz w:val="18"/>
          <w:szCs w:val="18"/>
          <w:color w:val="auto"/>
        </w:rPr>
      </w:pPr>
    </w:p>
    <w:p>
      <w:pPr>
        <w:ind w:left="120" w:right="160" w:firstLine="436"/>
        <w:spacing w:after="0" w:line="266" w:lineRule="auto"/>
        <w:tabs>
          <w:tab w:leader="none" w:pos="8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value (discounted at a rate per annum equal to the average interest borne by all outstanding debt securities issued under the senior indenture (which may include debt securities in addition to the senior debt security) determined on a weighted average basis and compounded semi-annually) of the obligations of the lessee for rental payments during the term of the related lease.</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“Capital Lease” means any Indebtedness represented by a lease obligation of a Person incurred with respect to real property or equipment acquired by such Person or leased and used in its business that would be required to be recorded as a capital lease in accordance with GAAP as in effect as of the date of the senior indenture, whether entered into before or after the date of the senior indenture.</w:t>
      </w:r>
    </w:p>
    <w:p>
      <w:pPr>
        <w:spacing w:after="0" w:line="176"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“Consolidated Net Worth” of any Person means, as of any date of determination, stockholders’ equity or members’ capital of such Person as reflected on the most recent consolidated balance sheet of such Person and prepared in accordance with GAAP.</w:t>
      </w:r>
    </w:p>
    <w:p>
      <w:pPr>
        <w:spacing w:after="0" w:line="16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“GAAP”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in the United States as of (i) the date of the senior indenture, for purposes of the definition of “Capital Lease” and (ii) the date of determination, for all other purposes under the senior indenture.</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“Governmental Obligations” means securities that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and shall also include a depositary receipt issued by a bank (as defined in Section 3(a)(2) of the Securities Act of 1933, as amended)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8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“Indebtedness” of any specified Person means, without duplication, any indebtedness in respect of borrowed money or that is evidenced by bonds, notes, debentures or similar instruments or letters of credit (or reimbursement agreements with respect thereto) or representing the balance deferred and unpaid of the purchase price of any property (including pursuant to Capital Leases), except any such balance that constitutes an accrued expense, trade payable or other payable in the ordinary course, if and to the extent any of the foregoing indebtedness would appear as a liability upon an unconsolidated balance sheet of such Person (but does not include contingent liabilities which appear only in a footnote to a balance sheet).</w:t>
      </w:r>
    </w:p>
    <w:p>
      <w:pPr>
        <w:spacing w:after="0" w:line="183"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“Lien” means any lien, security interest, charge or encumbrance of any kind (including any conditional sale or other title retention agreement, any lease in the nature thereof, and any agreement to give any security interest).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“Obligor” means us and the Guarantors.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“Permitted Liens” means, with respect to an Obligor:</w:t>
      </w:r>
    </w:p>
    <w:p>
      <w:pPr>
        <w:spacing w:after="0" w:line="117" w:lineRule="exact"/>
        <w:rPr>
          <w:sz w:val="20"/>
          <w:szCs w:val="20"/>
          <w:color w:val="auto"/>
        </w:rPr>
      </w:pPr>
    </w:p>
    <w:p>
      <w:pPr>
        <w:ind w:left="120" w:right="80" w:firstLine="436"/>
        <w:spacing w:after="0" w:line="266" w:lineRule="auto"/>
        <w:tabs>
          <w:tab w:leader="none" w:pos="80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any of such Obligor’s assets, created solely to secure obligations incurred to finance the refurbishment, improvement or construction of such asset, which obligations are incurred no later than 24 months after completion of such refurbishment, improvement or construction, and all renewals, extensions, refinancings, replacements or refundings of such obligations;</w:t>
      </w:r>
    </w:p>
    <w:p>
      <w:pPr>
        <w:spacing w:after="0" w:line="175" w:lineRule="exact"/>
        <w:rPr>
          <w:rFonts w:ascii="Times New Roman" w:cs="Times New Roman" w:eastAsia="Times New Roman" w:hAnsi="Times New Roman"/>
          <w:sz w:val="18"/>
          <w:szCs w:val="18"/>
          <w:color w:val="auto"/>
        </w:rPr>
      </w:pPr>
    </w:p>
    <w:p>
      <w:pPr>
        <w:ind w:left="120" w:firstLine="436"/>
        <w:spacing w:after="0" w:line="255" w:lineRule="auto"/>
        <w:tabs>
          <w:tab w:leader="none" w:pos="8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Liens given to secure the payment of the purchase price incurred in connection with the acquisition (including acquisition through merger or consolidation) of Property (including shares of stock), including Capital Lease transactions in connection with any such acquisition, provided that with respect to this clause (i) the Liens shall be given within 24 months after such acquisition and shall attach solely to the Property acquired or purchased and any improvements then or thereafter placed thereon, (ii) Liens existing on Property at the time of acquisition thereof or at the time of acquisition by such Obligor of any Person then owning such Property whether or not such existing Liens were given to secure the payment of the purchase price of the Property to which they attach, and (iii) all renewals, extensions, refinancings, replacements or refundings of such obligations under this clause (b);</w:t>
      </w:r>
    </w:p>
    <w:p>
      <w:pPr>
        <w:spacing w:after="0" w:line="188" w:lineRule="exact"/>
        <w:rPr>
          <w:rFonts w:ascii="Times New Roman" w:cs="Times New Roman" w:eastAsia="Times New Roman" w:hAnsi="Times New Roman"/>
          <w:sz w:val="18"/>
          <w:szCs w:val="18"/>
          <w:color w:val="auto"/>
        </w:rPr>
      </w:pPr>
    </w:p>
    <w:p>
      <w:pPr>
        <w:ind w:left="120" w:right="580" w:firstLine="436"/>
        <w:spacing w:after="0" w:line="282" w:lineRule="auto"/>
        <w:tabs>
          <w:tab w:leader="none" w:pos="80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customs and revenue authorities arising as a matter of law to secure payment of customs duties in connection with the importation of goods;</w:t>
      </w:r>
    </w:p>
    <w:p>
      <w:pPr>
        <w:spacing w:after="0" w:line="161" w:lineRule="exact"/>
        <w:rPr>
          <w:rFonts w:ascii="Times New Roman" w:cs="Times New Roman" w:eastAsia="Times New Roman" w:hAnsi="Times New Roman"/>
          <w:sz w:val="18"/>
          <w:szCs w:val="18"/>
          <w:color w:val="auto"/>
        </w:rPr>
      </w:pPr>
    </w:p>
    <w:p>
      <w:pPr>
        <w:ind w:left="120" w:right="180" w:firstLine="436"/>
        <w:spacing w:after="0" w:line="282" w:lineRule="auto"/>
        <w:tabs>
          <w:tab w:leader="none" w:pos="8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not yet due or that are being contested in good faith by appropriate proceedings, provided that adequate reserves with respect thereto are maintained on such Obligor’s books in conformity with GAAP;</w:t>
      </w:r>
    </w:p>
    <w:p>
      <w:pPr>
        <w:spacing w:after="0" w:line="161" w:lineRule="exact"/>
        <w:rPr>
          <w:rFonts w:ascii="Times New Roman" w:cs="Times New Roman" w:eastAsia="Times New Roman" w:hAnsi="Times New Roman"/>
          <w:sz w:val="18"/>
          <w:szCs w:val="18"/>
          <w:color w:val="auto"/>
        </w:rPr>
      </w:pPr>
    </w:p>
    <w:p>
      <w:pPr>
        <w:ind w:left="120" w:right="120" w:firstLine="436"/>
        <w:spacing w:after="0" w:line="282" w:lineRule="auto"/>
        <w:tabs>
          <w:tab w:leader="none" w:pos="80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reimbursement obligations with respect to letters of credit that encumber documents and other Property relating to such letters of credit and the products and proceeds thereof;</w:t>
      </w:r>
    </w:p>
    <w:p>
      <w:pPr>
        <w:spacing w:after="0" w:line="161" w:lineRule="exact"/>
        <w:rPr>
          <w:rFonts w:ascii="Times New Roman" w:cs="Times New Roman" w:eastAsia="Times New Roman" w:hAnsi="Times New Roman"/>
          <w:sz w:val="18"/>
          <w:szCs w:val="18"/>
          <w:color w:val="auto"/>
        </w:rPr>
      </w:pPr>
    </w:p>
    <w:p>
      <w:pPr>
        <w:ind w:left="120" w:right="120" w:firstLine="436"/>
        <w:spacing w:after="0" w:line="266" w:lineRule="auto"/>
        <w:tabs>
          <w:tab w:leader="none" w:pos="78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encumbering customary initial deposits and margin deposits and other Liens in the ordinary course of business, in each case securing hedging obligations and forward contracts, options, futures contracts, futures options, equity hedges or similar agreements or arrangements designed to protect such Obligor from fluctuations in interest rates, currencies, equities or the price of commodities;</w:t>
      </w:r>
    </w:p>
    <w:p>
      <w:pPr>
        <w:spacing w:after="0" w:line="17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us or any Guarantor;</w:t>
      </w:r>
    </w:p>
    <w:p>
      <w:pPr>
        <w:spacing w:after="0" w:line="225" w:lineRule="exact"/>
        <w:rPr>
          <w:rFonts w:ascii="Times New Roman" w:cs="Times New Roman" w:eastAsia="Times New Roman" w:hAnsi="Times New Roman"/>
          <w:sz w:val="18"/>
          <w:szCs w:val="18"/>
          <w:color w:val="auto"/>
        </w:rPr>
      </w:pPr>
    </w:p>
    <w:p>
      <w:pPr>
        <w:ind w:left="120" w:right="60" w:firstLine="436"/>
        <w:spacing w:after="0" w:line="266" w:lineRule="auto"/>
        <w:tabs>
          <w:tab w:leader="none" w:pos="8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inchoate Liens incident to construction or maintenance of real property, or Liens incident to construction or maintenance of real property, now or hereafter filed of record for sums not yet delinquent or being contested in good faith, if reserves or other appropriate provisions, if any, as shall be required by GAAP shall have been made therefor;</w:t>
      </w:r>
    </w:p>
    <w:p>
      <w:pPr>
        <w:spacing w:after="0" w:line="175" w:lineRule="exact"/>
        <w:rPr>
          <w:rFonts w:ascii="Times New Roman" w:cs="Times New Roman" w:eastAsia="Times New Roman" w:hAnsi="Times New Roman"/>
          <w:sz w:val="18"/>
          <w:szCs w:val="18"/>
          <w:color w:val="auto"/>
        </w:rPr>
      </w:pPr>
    </w:p>
    <w:p>
      <w:pPr>
        <w:ind w:left="120" w:right="260" w:firstLine="436"/>
        <w:spacing w:after="0" w:line="282" w:lineRule="auto"/>
        <w:tabs>
          <w:tab w:leader="none" w:pos="7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statutory Liens arising in the ordinary course of business with respect to obligations which are not delinquent or are being contested in good faith, if reserves or other appropriate provisions, if any, as shall be required by GAAP shall have been made therefor;</w:t>
      </w:r>
    </w:p>
    <w:p>
      <w:pPr>
        <w:spacing w:after="0" w:line="161" w:lineRule="exact"/>
        <w:rPr>
          <w:rFonts w:ascii="Times New Roman" w:cs="Times New Roman" w:eastAsia="Times New Roman" w:hAnsi="Times New Roman"/>
          <w:sz w:val="18"/>
          <w:szCs w:val="18"/>
          <w:color w:val="auto"/>
        </w:rPr>
      </w:pPr>
    </w:p>
    <w:p>
      <w:pPr>
        <w:ind w:left="120" w:right="500" w:firstLine="436"/>
        <w:spacing w:after="0" w:line="282" w:lineRule="auto"/>
        <w:tabs>
          <w:tab w:leader="none" w:pos="7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consisting of pledges or deposits to secure obligations under workers’ compensation laws or similar legislation, including Liens of judgments thereunder which are not currently dischargeable;</w:t>
      </w:r>
    </w:p>
    <w:p>
      <w:pPr>
        <w:spacing w:after="0" w:line="161" w:lineRule="exact"/>
        <w:rPr>
          <w:rFonts w:ascii="Times New Roman" w:cs="Times New Roman" w:eastAsia="Times New Roman" w:hAnsi="Times New Roman"/>
          <w:sz w:val="18"/>
          <w:szCs w:val="18"/>
          <w:color w:val="auto"/>
        </w:rPr>
      </w:pPr>
    </w:p>
    <w:p>
      <w:pPr>
        <w:ind w:left="120" w:right="60" w:firstLine="436"/>
        <w:spacing w:after="0" w:line="266" w:lineRule="auto"/>
        <w:tabs>
          <w:tab w:leader="none" w:pos="8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consisting of pledges or deposits of Property to secure performance in connection with operating leases made in the ordinary course of business to which such Obligor is a party as lessee, provided that the aggregate value of all such pledges and deposits in connection with any such lease does not at any time exceed 16 2/3% of the annual fixed rentals payable under such lease;</w:t>
      </w:r>
    </w:p>
    <w:p>
      <w:pPr>
        <w:spacing w:after="0" w:line="175" w:lineRule="exact"/>
        <w:rPr>
          <w:rFonts w:ascii="Times New Roman" w:cs="Times New Roman" w:eastAsia="Times New Roman" w:hAnsi="Times New Roman"/>
          <w:sz w:val="18"/>
          <w:szCs w:val="18"/>
          <w:color w:val="auto"/>
        </w:rPr>
      </w:pPr>
    </w:p>
    <w:p>
      <w:pPr>
        <w:ind w:left="780" w:hanging="224"/>
        <w:spacing w:after="0"/>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consisting of deposits of Property to secure such Obligor’s statutory obligations in the ordinary course of our business;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00"/>
          </w:cols>
          <w:pgMar w:left="320" w:top="455" w:right="4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20" w:firstLine="436"/>
        <w:spacing w:after="0" w:line="282" w:lineRule="auto"/>
        <w:tabs>
          <w:tab w:leader="none" w:pos="86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consisting of deposits of Property to secure (or in lieu of) surety, appeal or customs bonds in proceedings to which such Obligor is a party in the ordinary course of its business, but not in excess of $25,000,000;</w:t>
      </w:r>
    </w:p>
    <w:p>
      <w:pPr>
        <w:spacing w:after="0" w:line="53"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“margin stock” (as defined in Regulation U of the Board of Governors of the Federal Reserve System);</w:t>
      </w:r>
    </w:p>
    <w:p>
      <w:pPr>
        <w:spacing w:after="0" w:line="117" w:lineRule="exact"/>
        <w:rPr>
          <w:rFonts w:ascii="Times New Roman" w:cs="Times New Roman" w:eastAsia="Times New Roman" w:hAnsi="Times New Roman"/>
          <w:sz w:val="18"/>
          <w:szCs w:val="18"/>
          <w:color w:val="auto"/>
        </w:rPr>
      </w:pPr>
    </w:p>
    <w:p>
      <w:pPr>
        <w:ind w:left="120" w:right="260" w:firstLine="436"/>
        <w:spacing w:after="0" w:line="282" w:lineRule="auto"/>
        <w:tabs>
          <w:tab w:leader="none" w:pos="8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permitted under sale and lease-back transactions, and any renewals or extensions thereof, so long as the Indebtedness secured thereby does not exceed $300,000,000 in the aggregate;</w:t>
      </w:r>
    </w:p>
    <w:p>
      <w:pPr>
        <w:spacing w:after="0" w:line="53" w:lineRule="exact"/>
        <w:rPr>
          <w:rFonts w:ascii="Times New Roman" w:cs="Times New Roman" w:eastAsia="Times New Roman" w:hAnsi="Times New Roman"/>
          <w:sz w:val="18"/>
          <w:szCs w:val="18"/>
          <w:color w:val="auto"/>
        </w:rPr>
      </w:pPr>
    </w:p>
    <w:p>
      <w:pPr>
        <w:ind w:left="120" w:right="200" w:firstLine="436"/>
        <w:spacing w:after="0" w:line="282" w:lineRule="auto"/>
        <w:tabs>
          <w:tab w:leader="none" w:pos="8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in connection with asset securitization transactions, so long as the aggregate outstanding principal amount of the obligations of all Obligors secured thereby does not exceed $300,000,000 at any one time;</w:t>
      </w:r>
    </w:p>
    <w:p>
      <w:pPr>
        <w:spacing w:after="0" w:line="53" w:lineRule="exact"/>
        <w:rPr>
          <w:rFonts w:ascii="Times New Roman" w:cs="Times New Roman" w:eastAsia="Times New Roman" w:hAnsi="Times New Roman"/>
          <w:sz w:val="18"/>
          <w:szCs w:val="18"/>
          <w:color w:val="auto"/>
        </w:rPr>
      </w:pPr>
    </w:p>
    <w:p>
      <w:pPr>
        <w:ind w:left="120" w:right="300" w:firstLine="436"/>
        <w:spacing w:after="0" w:line="266" w:lineRule="auto"/>
        <w:tabs>
          <w:tab w:leader="none" w:pos="8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any account or trade receivable factoring, securitization, sale or financing facility, the obligations of which are non-recourse (except with respect to customary representations, warranties, covenants and indemnities made in connection with such facility) to the applicable Obligor;</w:t>
      </w:r>
    </w:p>
    <w:p>
      <w:pPr>
        <w:spacing w:after="0" w:line="67" w:lineRule="exact"/>
        <w:rPr>
          <w:rFonts w:ascii="Times New Roman" w:cs="Times New Roman" w:eastAsia="Times New Roman" w:hAnsi="Times New Roman"/>
          <w:sz w:val="18"/>
          <w:szCs w:val="18"/>
          <w:color w:val="auto"/>
        </w:rPr>
      </w:pPr>
    </w:p>
    <w:p>
      <w:pPr>
        <w:ind w:left="120" w:right="140" w:firstLine="436"/>
        <w:spacing w:after="0" w:line="266" w:lineRule="auto"/>
        <w:tabs>
          <w:tab w:leader="none" w:pos="78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 of a collection bank on the items in the course of collection, (ii) in favor of a banking or other financial institution arising as a matter of law encumbering deposits or other funds maintained with a financial institution (including the right of set off) and which are customary in the banking industry and (iii) attaching to other prepayments, deposits or earnest money in the ordinary course of business; and</w:t>
      </w:r>
    </w:p>
    <w:p>
      <w:pPr>
        <w:spacing w:after="0" w:line="67" w:lineRule="exact"/>
        <w:rPr>
          <w:rFonts w:ascii="Times New Roman" w:cs="Times New Roman" w:eastAsia="Times New Roman" w:hAnsi="Times New Roman"/>
          <w:sz w:val="18"/>
          <w:szCs w:val="18"/>
          <w:color w:val="auto"/>
        </w:rPr>
      </w:pPr>
    </w:p>
    <w:p>
      <w:pPr>
        <w:ind w:left="800" w:hanging="244"/>
        <w:spacing w:after="0"/>
        <w:tabs>
          <w:tab w:leader="none" w:pos="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Take-or-pay obligations arising in the ordinary course of business.</w:t>
      </w:r>
    </w:p>
    <w:p>
      <w:pPr>
        <w:spacing w:after="0" w:line="225" w:lineRule="exact"/>
        <w:rPr>
          <w:sz w:val="20"/>
          <w:szCs w:val="20"/>
          <w:color w:val="auto"/>
        </w:rPr>
      </w:pPr>
    </w:p>
    <w:p>
      <w:pPr>
        <w:ind w:left="120" w:right="720" w:firstLine="440"/>
        <w:spacing w:after="0" w:line="282" w:lineRule="auto"/>
        <w:rPr>
          <w:sz w:val="20"/>
          <w:szCs w:val="20"/>
          <w:color w:val="auto"/>
        </w:rPr>
      </w:pPr>
      <w:r>
        <w:rPr>
          <w:rFonts w:ascii="Times New Roman" w:cs="Times New Roman" w:eastAsia="Times New Roman" w:hAnsi="Times New Roman"/>
          <w:sz w:val="18"/>
          <w:szCs w:val="18"/>
          <w:color w:val="auto"/>
        </w:rPr>
        <w:t>“Person” means any individual, corporation, limited liability company, partnership, joint venture, association, joint stock company, trust, unincorporated organization, or any other entity, including any government or any agency or political subdivision thereof.</w:t>
      </w:r>
    </w:p>
    <w:p>
      <w:pPr>
        <w:spacing w:after="0" w:line="16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“Property” means with respect to any Person any property or asset, whether real, personal or mixed, or tangible or intangible, including shares of capital stock.</w:t>
      </w:r>
    </w:p>
    <w:p>
      <w:pPr>
        <w:spacing w:after="0" w:line="16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“Subsidiary” of any specified Person means any corporation, limited liability company, limited partnership,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Terms of the Senior Debt Securities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obligations under the senior debt securities, including the payment of principal, premium, if any, and interest, will be fully and unconditionally guaranteed by each of the Guarantors. The Guarantees will rank equally with all other general unsecured and unsubordinated obligations of the Guarantors.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Guarantees will not contain any restrictions on the ability of any Guarantor to:</w:t>
      </w:r>
    </w:p>
    <w:p>
      <w:pPr>
        <w:spacing w:after="0" w:line="131" w:lineRule="exact"/>
        <w:rPr>
          <w:sz w:val="20"/>
          <w:szCs w:val="20"/>
          <w:color w:val="auto"/>
        </w:rPr>
      </w:pPr>
    </w:p>
    <w:p>
      <w:pPr>
        <w:ind w:left="1080" w:right="34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distributions on, or redeem, purchase, acquire, or make a liquidation payment with respect to, any of that Guarantor’s capital stock,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payment of principal, interest or premium, if any, on or repay, repurchase or redeem any debt securities of that Guarantor.</w:t>
      </w:r>
    </w:p>
    <w:p>
      <w:pPr>
        <w:spacing w:after="0" w:line="3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Certain Covenants</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We and the Guarantors have agreed to some restrictions on our activities for the benefit of holders of all series of senior debt securities issued under the senior indenture. The restrictive covenants summarized below</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will apply, unless the covenants are waived or amended, so long as any of the senior debt securities are outstanding.</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senior indenture does not contain any financial covenants other than those summarized below and does not restrict us or our subsidiaries from paying dividends or incurring additional debt. In addition, the senior indenture will not protect holders of notes issued under it in the event of a highly leveraged transaction or a change in control.</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Limitation on Liens Securing Indebtedness.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With respect to the senior debt securities of each series, each Obligor will covenant under the senior indenture not to create or incur any Lien on any of its Properties, whether owned at the time the senior indenture is executed or acquired afterward, in order to secure any of its Indebtedness, without effectively providing that the senior debt securities of such series shall be equally and ratably secured until such time as such Indebtedness is no longer secured by such Lien, except:</w:t>
      </w:r>
    </w:p>
    <w:p>
      <w:pPr>
        <w:spacing w:after="0" w:line="85" w:lineRule="exact"/>
        <w:rPr>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existing as of the date of initial issuance of the senior debt securities of such series;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granted after the date of initial issuance of the senior debt securities of such series, created in favor of the registered holders of the senior debt securities of such series;</w:t>
      </w:r>
    </w:p>
    <w:p>
      <w:pPr>
        <w:spacing w:after="0" w:line="67" w:lineRule="exact"/>
        <w:rPr>
          <w:rFonts w:ascii="Times New Roman" w:cs="Times New Roman" w:eastAsia="Times New Roman" w:hAnsi="Times New Roman"/>
          <w:sz w:val="18"/>
          <w:szCs w:val="18"/>
          <w:color w:val="auto"/>
        </w:rPr>
      </w:pPr>
    </w:p>
    <w:p>
      <w:pPr>
        <w:ind w:left="1080" w:right="240" w:hanging="424"/>
        <w:spacing w:after="0" w:line="258"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such Obligor’s Indebtedness which are incurred to extend, renew or refinance Indebtedness which is secured by Liens permitted to be incurred under the lien restriction covenant of the senior indenture, so long as such Liens are limited to all or part of substantially the same Property which secured the Liens extended, renewed or replaced and the amount of Indebtedness secured is not increased (other than by the amount equal to any costs and expenses (including any premiums, fees or penalties) incurred in connection with any extension, renewal or refinancing); and</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Liens.</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Notwithstanding the restrictions above, any Obligor may, without securing the senior debt securities of any series, create or incur Liens which would otherwise be subject to the restrictions set forth above, if after giving effect to those Liens, the Obligor’s Aggregate Debt together with the Aggregate Debt of each other Obligor does not exceed the greater of (i) 15% of Comcast’s Consolidated Net Worth calculated as of the date of the creation or incurrence of the Lien and (ii) 15% of Comcast’s Consolidated Net Worth calculated as of the date of initial issuance of the senior debt securities of such series; provided that Liens created or incurred pursuant to the terms described in this paragraph may be extended, renewed or replaced so long as the amount of Indebtedness secured by such Liens is not increased (other than by the amount equal to any costs and expenses (including any premiums, fees or penalties) incurred in connection therewith) and such refinancing Indebtedness, if then outstanding, is included in subsequent calculations of Aggregate Debt of such Obligor.</w:t>
      </w:r>
    </w:p>
    <w:p>
      <w:pPr>
        <w:spacing w:after="0" w:line="2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Limitation on Sale and Lease-Back Transactions.</w:t>
      </w:r>
    </w:p>
    <w:p>
      <w:pPr>
        <w:spacing w:after="0" w:line="121" w:lineRule="exact"/>
        <w:rPr>
          <w:sz w:val="20"/>
          <w:szCs w:val="20"/>
          <w:color w:val="auto"/>
        </w:rPr>
      </w:pPr>
    </w:p>
    <w:p>
      <w:pPr>
        <w:jc w:val="both"/>
        <w:ind w:left="120" w:right="20" w:firstLine="440"/>
        <w:spacing w:after="0" w:line="312" w:lineRule="auto"/>
        <w:rPr>
          <w:sz w:val="20"/>
          <w:szCs w:val="20"/>
          <w:color w:val="auto"/>
        </w:rPr>
      </w:pPr>
      <w:r>
        <w:rPr>
          <w:rFonts w:ascii="Times New Roman" w:cs="Times New Roman" w:eastAsia="Times New Roman" w:hAnsi="Times New Roman"/>
          <w:sz w:val="17"/>
          <w:szCs w:val="17"/>
          <w:color w:val="auto"/>
        </w:rPr>
        <w:t>With respect to the senior debt securities of each series, each Obligor will covenant under the senior indenture not to enter into any sale and lease-back transaction for the sale and leasing back of any Property, whether owned at the time the senior indenture is executed or acquired afterward, unless:</w:t>
      </w:r>
    </w:p>
    <w:p>
      <w:pPr>
        <w:spacing w:after="0" w:line="45"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transaction was entered into prior to the date of the initial issuance of the senior debt securities of such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transaction was for the sale and leasing back to such Obligor of any Property by one of its Subsidiaries;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transaction involves a lease for less than three years;</w:t>
      </w:r>
    </w:p>
    <w:p>
      <w:pPr>
        <w:spacing w:after="0" w:line="130"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Obligor would be entitled to incur Indebtedness secured by a mortgage on the Property to be leased in an amount equal to the Attributable Liens with respect to such sale and lease-back transaction</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80"/>
          </w:cols>
          <w:pgMar w:left="320" w:top="455" w:right="4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360"/>
        <w:spacing w:after="0" w:line="282" w:lineRule="auto"/>
        <w:rPr>
          <w:sz w:val="20"/>
          <w:szCs w:val="20"/>
          <w:color w:val="auto"/>
        </w:rPr>
      </w:pPr>
      <w:r>
        <w:rPr>
          <w:rFonts w:ascii="Times New Roman" w:cs="Times New Roman" w:eastAsia="Times New Roman" w:hAnsi="Times New Roman"/>
          <w:sz w:val="18"/>
          <w:szCs w:val="18"/>
          <w:color w:val="auto"/>
        </w:rPr>
        <w:t>without equally and ratably securing the senior debt securities of such series pursuant to the first paragraph of “—Limitation on Liens Securing Indebtedness” above; or</w:t>
      </w:r>
    </w:p>
    <w:p>
      <w:pPr>
        <w:spacing w:after="0" w:line="67" w:lineRule="exact"/>
        <w:rPr>
          <w:sz w:val="20"/>
          <w:szCs w:val="20"/>
          <w:color w:val="auto"/>
        </w:rPr>
      </w:pPr>
    </w:p>
    <w:p>
      <w:pPr>
        <w:ind w:left="1080" w:hanging="424"/>
        <w:spacing w:after="0" w:line="261"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Obligor applies an amount equal to the fair value of the Property sold to the purchase of Property or to the retirement of its long-term Indebtedness within 365 days of the effective date of any such sale and lease-back transaction. In lieu of applying such amount to such retirement, such Obligor may deliver senior debt securities to the trustee therefor for cancellation, such senior debt securities to be credited at the cost thereof to the Obligor.</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Notwithstanding the previous paragraph (including the bulleted list), any Obligor may enter into any sale and lease-back transaction which would otherwise be subject to the foregoing restrictions with respect to the senior debt securities of any series if after giving effect thereto and at the time of determination, its Aggregate Debt together with the Aggregate Debt of all other Obligors does not exceed the greater of (i) 15% of Comcast’s Consolidated Net Worth calculated as of the closing date of the sale and lease-back transaction and (ii) 15% of Comcast’s Consolidated Net Worth calculated as of the date of initial issuance of the senior debt securities of such series.</w:t>
      </w:r>
    </w:p>
    <w:p>
      <w:pPr>
        <w:spacing w:after="0" w:line="2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Consolidation, Merger and Sale of Assets.</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will not consolidate or combine with or merge with or into or, directly or indirectly, sell, assign, convey, lease, transfer or otherwise dispose of all or substantially all of our assets to any Person or Persons (other than a transfer or other disposition of assets to any of our wholly owned Subsidiaries), in a single transaction or through a series of transactions, unless:</w:t>
      </w:r>
    </w:p>
    <w:p>
      <w:pPr>
        <w:spacing w:after="0" w:line="81" w:lineRule="exact"/>
        <w:rPr>
          <w:sz w:val="20"/>
          <w:szCs w:val="20"/>
          <w:color w:val="auto"/>
        </w:rPr>
      </w:pPr>
    </w:p>
    <w:p>
      <w:pPr>
        <w:ind w:left="1080" w:right="140" w:hanging="424"/>
        <w:spacing w:after="0" w:line="266"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shall be the continuing Person or, if we are not the continuing Person, the resulting, surviving or transferee Person (the “surviving entity”) is a company or limited liability company organized (or formed in the case of a limited liability company) and existing under the laws of the United States or any State or territory thereof or the District of Columbia;</w:t>
      </w:r>
    </w:p>
    <w:p>
      <w:pPr>
        <w:spacing w:after="0" w:line="81"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surviving entity will expressly assume all of our obligations under the senior debt securities and the indenture and will execute a supplemental indenture, in a form satisfactory to the trustee, which will be delivered to the trustee;</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 or series of transactions on a pro forma basis, no default has occurred and is continuing; and</w:t>
      </w:r>
    </w:p>
    <w:p>
      <w:pPr>
        <w:spacing w:after="0" w:line="67"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the surviving entity will have delivered to the trustee an officer’s certificate and opinion of counsel stating that the transaction or series of transactions and a supplemental indenture, if any, complies with this covenant and that all conditions precedent in the indenture relating to the transaction or series of transactions have been satisfied.</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restrictions in the third bullet above shall not be applicable to:</w:t>
      </w:r>
    </w:p>
    <w:p>
      <w:pPr>
        <w:spacing w:after="0" w:line="131" w:lineRule="exact"/>
        <w:rPr>
          <w:sz w:val="20"/>
          <w:szCs w:val="20"/>
          <w:color w:val="auto"/>
        </w:rPr>
      </w:pPr>
    </w:p>
    <w:p>
      <w:pPr>
        <w:ind w:left="1080" w:right="10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or consolidation of us with an affiliate if our board of directors determines in good faith that the purpose of such transaction is principally to change our state of incorporation or convert our form of organization to another form; or</w:t>
      </w:r>
    </w:p>
    <w:p>
      <w:pPr>
        <w:spacing w:after="0" w:line="67" w:lineRule="exact"/>
        <w:rPr>
          <w:rFonts w:ascii="Times New Roman" w:cs="Times New Roman" w:eastAsia="Times New Roman" w:hAnsi="Times New Roman"/>
          <w:sz w:val="18"/>
          <w:szCs w:val="18"/>
          <w:color w:val="auto"/>
        </w:rPr>
      </w:pPr>
    </w:p>
    <w:p>
      <w:pPr>
        <w:ind w:left="1080" w:right="300" w:hanging="424"/>
        <w:spacing w:after="0" w:line="266"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of us with or into a single direct or indirect wholly owned subsidiary pursuant to Section 1924(b)(4) (or any successor provision) of the Business Corporation Law of the State of Pennsylvania or Section 251(g) (or any successor provision) of the General Corporation Law of the State of Delaware (or similar provision of our state of incorporation).</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If any consolidation or merger or any sale, assignment, conveyance, lease, transfer or other disposition of all or substantially all of our assets occurs in accordance with the indenture, the successor person will succeed to, and be substituted for us, and may exercise every right and power of ours under the indenture with the same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80"/>
          </w:cols>
          <w:pgMar w:left="320" w:top="455" w:right="4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effect as if such successor person had been named in our place in the indenture. We will (except in the case of a lease) be discharged from all obligations and covenants under the indenture and any debt securities issued thereunder (including the senior debt securities).</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Existence.</w:t>
      </w:r>
    </w:p>
    <w:p>
      <w:pPr>
        <w:spacing w:after="0" w:line="11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Except as permitted under “—Consolidation, Merger and Sale of Assets,” the indenture requires us to do or cause to be done all things necessary to preserve and keep in full force and effect our existence, rights and franchises; provided, however, that we shall not be required to preserve any right or franchise if we determine that its preservation is no longer desirable in the conduct of business.</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Information.</w:t>
      </w:r>
    </w:p>
    <w:p>
      <w:pPr>
        <w:spacing w:after="0" w:line="11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will furnish to the trustee any document or report we are required to file with the SEC pursuant to Section 13 or Section 15(d) of the Exchange Act within 15 days after such document or report is filed with the SEC; provided that in each case the delivery of materials to the Trustee by electronic means or filing documents pursuant to the SEC’s “EDGAR” system (or any successor electronic filing system) shall be deemed to constitute “filing” with the trustee for purposes of this covenant. Delivery of the reports, information and documents required by this section to be delivered to the trustee is for informational purposes only and the trustee’s receipt of such shall not constitute constructive notice of any information contained therein or determinable from information contained therein.</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of the following will constitute an event of default in the senior indenture with respect to the senior debt securities of any series: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default in paying interest on the senior debt securities of such series when it becomes due and the default continues for a period of 30 days or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more;</w:t>
      </w:r>
    </w:p>
    <w:p>
      <w:pPr>
        <w:spacing w:after="0" w:line="207" w:lineRule="exact"/>
        <w:rPr>
          <w:sz w:val="20"/>
          <w:szCs w:val="20"/>
          <w:color w:val="auto"/>
        </w:rPr>
      </w:pPr>
    </w:p>
    <w:p>
      <w:pPr>
        <w:ind w:left="820" w:hanging="264"/>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paying principal on the senior debt securities of such series when due;</w:t>
      </w:r>
    </w:p>
    <w:p>
      <w:pPr>
        <w:spacing w:after="0" w:line="225" w:lineRule="exact"/>
        <w:rPr>
          <w:rFonts w:ascii="Times New Roman" w:cs="Times New Roman" w:eastAsia="Times New Roman" w:hAnsi="Times New Roman"/>
          <w:sz w:val="18"/>
          <w:szCs w:val="18"/>
          <w:color w:val="auto"/>
        </w:rPr>
      </w:pPr>
    </w:p>
    <w:p>
      <w:pPr>
        <w:jc w:val="both"/>
        <w:ind w:left="120" w:right="40" w:firstLine="436"/>
        <w:spacing w:after="0" w:line="261" w:lineRule="auto"/>
        <w:tabs>
          <w:tab w:leader="none" w:pos="80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by any Obligor in the performance, or breach, of any covenant in the senior indenture (other than defaults specified in clause (a) or (b) above) and the default or breach continues for a period of 90 days or more after we receive written notice from the trustee or we and the trustee receive notice from the holders of at least 25% in aggregate principal amount of the senior debt securities of all affected series and the debt securities of all other affected series outstanding under the senior indenture (voting together as a single class);</w:t>
      </w:r>
    </w:p>
    <w:p>
      <w:pPr>
        <w:spacing w:after="0" w:line="179"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events of bankruptcy, insolvency, reorganization, administration or similar proceedings with respect to us or any Obligor have occurred;</w:t>
      </w:r>
    </w:p>
    <w:p>
      <w:pPr>
        <w:spacing w:after="0" w:line="38" w:lineRule="exact"/>
        <w:rPr>
          <w:rFonts w:ascii="Times New Roman" w:cs="Times New Roman" w:eastAsia="Times New Roman" w:hAnsi="Times New Roman"/>
          <w:sz w:val="17"/>
          <w:szCs w:val="17"/>
          <w:color w:val="auto"/>
        </w:rPr>
      </w:pPr>
    </w:p>
    <w:p>
      <w:pPr>
        <w:ind w:left="1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or</w:t>
      </w:r>
    </w:p>
    <w:p>
      <w:pPr>
        <w:spacing w:after="0" w:line="206" w:lineRule="exact"/>
        <w:rPr>
          <w:rFonts w:ascii="Times New Roman" w:cs="Times New Roman" w:eastAsia="Times New Roman" w:hAnsi="Times New Roman"/>
          <w:sz w:val="17"/>
          <w:szCs w:val="17"/>
          <w:color w:val="auto"/>
        </w:rPr>
      </w:pPr>
    </w:p>
    <w:p>
      <w:pPr>
        <w:ind w:left="800" w:hanging="244"/>
        <w:spacing w:after="0"/>
        <w:tabs>
          <w:tab w:leader="none" w:pos="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Guarantee shall not be (or shall be claimed by the relevant Guarantor not to be) in full force and effect.</w:t>
      </w:r>
    </w:p>
    <w:p>
      <w:pPr>
        <w:spacing w:after="0" w:line="225" w:lineRule="exact"/>
        <w:rPr>
          <w:sz w:val="20"/>
          <w:szCs w:val="20"/>
          <w:color w:val="auto"/>
        </w:rPr>
      </w:pPr>
    </w:p>
    <w:p>
      <w:pPr>
        <w:jc w:val="both"/>
        <w:ind w:left="120" w:right="200" w:firstLine="440"/>
        <w:spacing w:after="0" w:line="281" w:lineRule="auto"/>
        <w:rPr>
          <w:sz w:val="20"/>
          <w:szCs w:val="20"/>
          <w:color w:val="auto"/>
        </w:rPr>
      </w:pPr>
      <w:r>
        <w:rPr>
          <w:rFonts w:ascii="Times New Roman" w:cs="Times New Roman" w:eastAsia="Times New Roman" w:hAnsi="Times New Roman"/>
          <w:sz w:val="17"/>
          <w:szCs w:val="17"/>
          <w:color w:val="auto"/>
        </w:rPr>
        <w:t>If an event of default (other than an event of default specified in clause (d) above) under the senior indenture occurs and is continuing, then the trustee may and, at the direction of the holders of at least 25% in aggregate principal amount of the senior debt securities of all affected series and the debt securities of all other affected series outstanding under the senior indenture (voting together as a single class), will by written notice, require us to repay immediately the entire principal amount of the outstanding debt securities of each affected series, together with all accrued and unpaid interest.</w:t>
      </w:r>
    </w:p>
    <w:p>
      <w:pPr>
        <w:spacing w:after="0" w:line="164"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If an event of default under the senior indenture specified in clause (d) occurs and is continuing, then the entire principal amount of the outstanding senior debt securities will automatically become due immediately and payable without any declaration or other act on the part of the trustee or any holder.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40"/>
          </w:cols>
          <w:pgMar w:left="320" w:top="455" w:right="4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After a declaration of acceleration or any automatic acceleration under clause (d) described above, the holders of a majority in principal amount of the outstanding senior debt securities of any series (each such series voting as a separate class) may rescind this accelerated payment requirement with respect to the senior debt securities of such series if all existing events of default with respect to the senior debt securities of such series, except for nonpayment of the principal and interest on the senior debt securities of such series that have become due solely as a result of the accelerated payment requirement, have been cured or waived and if the rescission of acceleration would not conflict with any judgment or decree and if all sums paid or advanced by the trustee under the senior indenture and the reasonable compensation, expenses, disbursements and advances of the trustee and its agents and counsel have been paid.</w:t>
      </w:r>
    </w:p>
    <w:p>
      <w:pPr>
        <w:spacing w:after="0" w:line="18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holders of a majority in principal amount of the senior debt securities of all affected series and the debt securities of all other affected series outstanding under the senior indenture (voting together as a single class) may, by written notice to us and the trustee, also waive past defaults, except a default in paying principal or interest on any outstanding senior debt security of such series, or in respect of a covenant or a provision that cannot be modified or amended without the consent of all affected holders of the senior debt securities of such series.</w:t>
      </w:r>
    </w:p>
    <w:p>
      <w:pPr>
        <w:spacing w:after="0" w:line="180" w:lineRule="exact"/>
        <w:rPr>
          <w:sz w:val="20"/>
          <w:szCs w:val="20"/>
          <w:color w:val="auto"/>
        </w:rPr>
      </w:pPr>
    </w:p>
    <w:p>
      <w:pPr>
        <w:ind w:left="120" w:right="200" w:firstLine="440"/>
        <w:spacing w:after="0" w:line="255" w:lineRule="auto"/>
        <w:rPr>
          <w:sz w:val="20"/>
          <w:szCs w:val="20"/>
          <w:color w:val="auto"/>
        </w:rPr>
      </w:pPr>
      <w:r>
        <w:rPr>
          <w:rFonts w:ascii="Times New Roman" w:cs="Times New Roman" w:eastAsia="Times New Roman" w:hAnsi="Times New Roman"/>
          <w:sz w:val="18"/>
          <w:szCs w:val="18"/>
          <w:color w:val="auto"/>
        </w:rPr>
        <w:t>The holders of at least 25% in aggregate principal amount of the senior debt securities of all affected series and the debt securities of all other affected series outstanding under the senior indenture (voting together as a single class) may seek to institute a proceeding only after they have made written request, and offered indemnity reasonably satisfactory to the trustee, to the trustee to institute a proceeding and the trustee has failed to do so within 60 days after it received this request and offer of indemnity. In addition, within this 60-day period the trustee must not have received directions inconsistent with this written request by holders of a majority in principal amount of the senior debt securities of all affected series and the debt securities of all other affected series then outstanding. These limitations do not apply, however, to a suit instituted by a holder of the senior debt securities of any affected series for the enforcement of the payment of principal or interest on or after the due dates for such payment.</w:t>
      </w:r>
    </w:p>
    <w:p>
      <w:pPr>
        <w:spacing w:after="0" w:line="18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During the existence of an event of default of which a responsible officer of the trustee has actual knowledge or has received written notice from us or any holder of the senior debt securities, the trustee is required to exercise the rights and powers vested in it under the senior indenture, and use the same degree of care and skill in its exercise, as a prudent person would under the circumstances in the conduct of that person’s own affairs. If an event of default has occurred and is continuing, the trustee is not under any obligation to exercise any of its rights or powers at the request or direction of any of the holders unless the holders have offered to the trustee security or indemnity reasonably satisfactory to the trustee. Subject to certain provisions, the holders of a majority in aggregate principal amount of the senior debt securities of all affected series and the debt securities of all other affected series outstanding under the senior indenture (voting together as a single class) have the right to direct the time, method and place of conducting any proceeding for any remedy available to the trustee, or exercising any trust, or power conferred on the trustee.</w:t>
      </w:r>
    </w:p>
    <w:p>
      <w:pPr>
        <w:spacing w:after="0" w:line="192"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The trustee will, within 90 days after any default occurs with respect to the senior debt securities of any series, give notice of the default to the holders of the senior debt securities of such series, unless the default was already cured or waived. Unless there is a default in paying principal or interest when due, the trustee can withhold giving notice to the holders if it determines in good faith that the withholding of notice is in the interest of the holders.</w:t>
      </w:r>
    </w:p>
    <w:p>
      <w:pPr>
        <w:spacing w:after="0" w:line="180"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We are required to furnish to the trustee an annual statement as to compliance with all conditions and covenants under the senior indenture within 120 days of the end of each fiscal year.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00"/>
          </w:cols>
          <w:pgMar w:left="320" w:top="455" w:right="4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Discharge and Defeasance</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We may terminate our obligations and the obligations of the Guarantors under the indenture with respect to the senior debt securities of any series and the Guarantees of such series of senior debt securities, when:</w:t>
      </w:r>
    </w:p>
    <w:p>
      <w:pPr>
        <w:spacing w:after="0" w:line="67"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senior debt securities of such series that have been authenticated and delivered have been canceled or delivered to the trustee for cancellation; or</w:t>
      </w:r>
    </w:p>
    <w:p>
      <w:pPr>
        <w:spacing w:after="0" w:line="67" w:lineRule="exact"/>
        <w:rPr>
          <w:rFonts w:ascii="Times New Roman" w:cs="Times New Roman" w:eastAsia="Times New Roman" w:hAnsi="Times New Roman"/>
          <w:sz w:val="18"/>
          <w:szCs w:val="18"/>
          <w:color w:val="auto"/>
        </w:rPr>
      </w:pPr>
    </w:p>
    <w:p>
      <w:pPr>
        <w:jc w:val="both"/>
        <w:ind w:left="1080" w:right="120" w:hanging="424"/>
        <w:spacing w:after="0" w:line="258"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senior debt securities of such series issued that have not been canceled or delivered to the trustee for cancellation have become due and payable, are by their terms to become due and payable at final maturity within one year, or are to be called for redemption within one year, under irrevocable arrangements satisfactory to the trustee for the giving of notice of redemption by such trustee in our name, and at our expense, and we have irrevocably deposited or caused to be deposited with the trustee sufficient funds to pay and discharge the entire indebtedness on the senior debt securities of such series to pay principal and interest;</w:t>
      </w:r>
    </w:p>
    <w:p>
      <w:pPr>
        <w:spacing w:after="0" w:line="88"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paid or caused to be paid all other sums then due and payable under the indenture with respect to the senior debt securities of such series; and</w:t>
      </w:r>
    </w:p>
    <w:p>
      <w:pPr>
        <w:spacing w:after="0" w:line="67" w:lineRule="exact"/>
        <w:rPr>
          <w:rFonts w:ascii="Times New Roman" w:cs="Times New Roman" w:eastAsia="Times New Roman" w:hAnsi="Times New Roman"/>
          <w:sz w:val="18"/>
          <w:szCs w:val="18"/>
          <w:color w:val="auto"/>
        </w:rPr>
      </w:pPr>
    </w:p>
    <w:p>
      <w:pPr>
        <w:jc w:val="both"/>
        <w:ind w:left="1080" w:right="480" w:hanging="424"/>
        <w:spacing w:after="0" w:line="266"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and an opinion of counsel, each stating that all conditions precedent under the indenture relating to the satisfaction and discharge of the indenture with respect to the senior debt securities of such series have been complied with.</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may elect to have our obligations under the indenture discharged with respect to the senior debt securities of any series and the obligations of the Guarantors discharged with respect to the Guarantees of such senior debt securities (“legal defeasance”). Legal defeasance means that we will be deemed to have paid and discharged the entire indebtedness represented by the senior debt securities of a series, except for:</w:t>
      </w:r>
    </w:p>
    <w:p>
      <w:pPr>
        <w:spacing w:after="0" w:line="81" w:lineRule="exact"/>
        <w:rPr>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holders of the senior debt securities of such series to receive principal or interest when due;</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obligations with respect to the senior debt securities of such series concerning issuing temporary senior debt securities, registration of transfer and exchange of senior debt securities, substitution of mutilated, defaced, destroyed, lost or stolen senior debt securities and the maintenance of an office or agency for payment of the senior debt securities of such series;</w:t>
      </w:r>
    </w:p>
    <w:p>
      <w:pPr>
        <w:spacing w:after="0" w:line="81"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powers, trusts, duties and immunities of the trustee and the provisions relating to the resignation and removal of the trustee and the appointment of a successor trustee;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defeasance provisions of the indenture.</w:t>
      </w:r>
    </w:p>
    <w:p>
      <w:pPr>
        <w:spacing w:after="0" w:line="225"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In addition, we may elect to have our and the Guarantors’ obligations released with respect to certain covenants in the indenture (“covenant defeasance”). In the event covenant defeasance occurs, certain events, not including nonpayment, bankruptcy and insolvency events, described under “—Events of Default” will no longer constitute an event of default for that series.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order to exercise either legal defeasance or covenant defeasance with respect to outstanding senior debt securities and Guarantees of any series:</w:t>
      </w:r>
    </w:p>
    <w:p>
      <w:pPr>
        <w:spacing w:after="0" w:line="131" w:lineRule="exact"/>
        <w:rPr>
          <w:sz w:val="20"/>
          <w:szCs w:val="20"/>
          <w:color w:val="auto"/>
        </w:rPr>
      </w:pPr>
    </w:p>
    <w:p>
      <w:pPr>
        <w:ind w:left="1080" w:hanging="424"/>
        <w:spacing w:after="0" w:line="312" w:lineRule="auto"/>
        <w:tabs>
          <w:tab w:leader="none" w:pos="108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must irrevocably have deposited or caused to be deposited with the trustee as trust funds for the purpose of making the following payments, specifically pledged as security for, and dedicated solely to the benefits of the holders of the senior debt securities of such series:</w:t>
      </w:r>
    </w:p>
    <w:p>
      <w:pPr>
        <w:spacing w:after="0" w:line="45"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Government Obligations (measured with respect to the scheduled payments of principal and interest thereon);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cash and U.S. Government Obligations;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 each case sufficient without reinvestment, in the written opinion of a nationally recognized firm of independent public accountants, to pay and discharge, and which shall be applied by the trustee to pay and discharge, all of the principal and interest due on or prior to maturity or if we have made irrevocable arrangements satisfactory to the trustee for the giving of notice of redemption by the trustee in our name and at our expense, due on or prior to the redemption date;</w:t>
      </w:r>
    </w:p>
    <w:p>
      <w:pPr>
        <w:spacing w:after="0" w:line="85" w:lineRule="exact"/>
        <w:rPr>
          <w:sz w:val="20"/>
          <w:szCs w:val="20"/>
          <w:color w:val="auto"/>
        </w:rPr>
      </w:pPr>
    </w:p>
    <w:p>
      <w:pPr>
        <w:ind w:left="1080" w:right="80" w:hanging="424"/>
        <w:spacing w:after="0" w:line="261"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legal defeasance, we have delivered to the trustee an opinion of counsel stating that, as a result of an Internal Revenue Service (“IRS”) ruling or a change in applicable federal income tax law, the beneficial owners of the senior debt securities of such series will not recognize gain or loss for federal income tax purposes as a result of the deposit, defeasance and discharge to be effected and will be subject to the same federal income tax as would be the case if the deposit, defeasance and discharge did not occur;</w:t>
      </w:r>
    </w:p>
    <w:p>
      <w:pPr>
        <w:spacing w:after="0" w:line="85" w:lineRule="exact"/>
        <w:rPr>
          <w:rFonts w:ascii="Times New Roman" w:cs="Times New Roman" w:eastAsia="Times New Roman" w:hAnsi="Times New Roman"/>
          <w:sz w:val="18"/>
          <w:szCs w:val="18"/>
          <w:color w:val="auto"/>
        </w:rPr>
      </w:pPr>
    </w:p>
    <w:p>
      <w:pPr>
        <w:ind w:left="1080" w:right="220" w:hanging="424"/>
        <w:spacing w:after="0" w:line="261"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covenant defeasance, we have delivered to the trustee an opinion of counsel to the effect that the beneficial owners of the senior debt securities of such series will not recognize gain or loss for U.S. federal income tax purposes as a result of the deposit and covenant defeasance to be effected and will be subject to the same federal income tax as would be the case if the deposit and covenant defeasance did not occur;</w:t>
      </w:r>
    </w:p>
    <w:p>
      <w:pPr>
        <w:spacing w:after="0" w:line="85" w:lineRule="exact"/>
        <w:rPr>
          <w:rFonts w:ascii="Times New Roman" w:cs="Times New Roman" w:eastAsia="Times New Roman" w:hAnsi="Times New Roman"/>
          <w:sz w:val="18"/>
          <w:szCs w:val="18"/>
          <w:color w:val="auto"/>
        </w:rPr>
      </w:pPr>
    </w:p>
    <w:p>
      <w:pPr>
        <w:ind w:left="1080" w:right="20" w:hanging="424"/>
        <w:spacing w:after="0" w:line="258"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with respect to the outstanding senior debt securities of such series has occurred and is continuing at the time of such deposit after giving effect to the deposit or, in the case of legal defeasance, no default relating to bankruptcy or insolvency has occurred and is continuing at any time on or before the 91st day after the date of such deposit (other than an event of default resulting from the borrowing of funds to be applied to such deposit and the grant of any Lien securing such borrowings), it being understood that this condition is not deemed satisfied until after the 91st day;</w:t>
      </w:r>
    </w:p>
    <w:p>
      <w:pPr>
        <w:spacing w:after="0" w:line="88"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defeasance or covenant defeasance will not cause the trustee to have a conflicting interest within the meaning of the Trust Indenture Act, assuming all senior debt securities of such series were in default within the meaning of such act;</w:t>
      </w:r>
    </w:p>
    <w:p>
      <w:pPr>
        <w:spacing w:after="0" w:line="67" w:lineRule="exact"/>
        <w:rPr>
          <w:rFonts w:ascii="Times New Roman" w:cs="Times New Roman" w:eastAsia="Times New Roman" w:hAnsi="Times New Roman"/>
          <w:sz w:val="18"/>
          <w:szCs w:val="18"/>
          <w:color w:val="auto"/>
        </w:rPr>
      </w:pPr>
    </w:p>
    <w:p>
      <w:pPr>
        <w:ind w:left="1080" w:right="240" w:hanging="424"/>
        <w:spacing w:after="0" w:line="266"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defeasance or covenant defeasance will not result in a breach or violation of, or constitute a default under the indenture (other than an event of default resulting from the borrowing of funds to be applied to such deposit and the grant of any Lien securing such borrowings), the guarantees or any other material agreement or instrument to which we are a party;</w:t>
      </w:r>
    </w:p>
    <w:p>
      <w:pPr>
        <w:spacing w:after="0" w:line="81" w:lineRule="exact"/>
        <w:rPr>
          <w:rFonts w:ascii="Times New Roman" w:cs="Times New Roman" w:eastAsia="Times New Roman" w:hAnsi="Times New Roman"/>
          <w:sz w:val="18"/>
          <w:szCs w:val="18"/>
          <w:color w:val="auto"/>
        </w:rPr>
      </w:pPr>
    </w:p>
    <w:p>
      <w:pPr>
        <w:ind w:left="1080" w:right="320" w:hanging="424"/>
        <w:spacing w:after="0" w:line="266"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defeasance or covenant defeasance will not result in the trust arising from such deposit constituting an investment company within the meaning of the Investment Company Act of 1940, as amended, unless the trust is registered under such act or exempt from registration; and</w:t>
      </w:r>
    </w:p>
    <w:p>
      <w:pPr>
        <w:spacing w:after="0" w:line="81"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and an opinion of counsel, in each case stating that all conditions precedent with respect to the legal defeasance or covenant defeasance have been complied with.</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Modification and Waiver</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We, the Guarantors and the trustee may amend or modify the senior indenture or the senior debt securities of any series without notice to or the consent of any holder in order to:</w:t>
      </w:r>
    </w:p>
    <w:p>
      <w:pPr>
        <w:spacing w:after="0" w:line="67" w:lineRule="exact"/>
        <w:rPr>
          <w:sz w:val="20"/>
          <w:szCs w:val="20"/>
          <w:color w:val="auto"/>
        </w:rPr>
      </w:pPr>
    </w:p>
    <w:p>
      <w:pPr>
        <w:ind w:left="1080" w:right="8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 any ambiguities, omissions, defects or inconsistencies in the senior indenture in a manner that does not adversely affect the interests of the holders in any material respect;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that would provide any additional rights or benefits to the holders of the senior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or add guarantors with respect to the senior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the senior debt securities of any series;</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20"/>
          </w:cols>
          <w:pgMar w:left="320" w:top="455" w:right="5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the form or terms of senior debt securities of any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uncertificated senior debt securities in addition to or in place of certificated senior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and provide for the acceptance of appointment by a successor trustee;</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assumption by our successor, if any, to our or their obligations to holders of any outstanding senior debt securities in compliance with the applicable provisions of the indenture;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 the indenture under the Trust Indenture Act;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 any provision in the indenture to this “Description of Debt Securities and Guarantees”;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that does not adversely affect the rights of any holder in any material respect.</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Other amendments and modifications of the senior indenture or the senior debt securities of any series may be made with the consent of the holders of not less than a majority in aggregate principal amount of the senior debt securities of all series and the debt securities of all other series outstanding under the indenture that are affected by the amendment or modification (voting together as a single class), and our compliance with any provision of the indenture with respect to the debt securities of any series issued under the indenture (including the senior debt securities) may be waived by written notice to us and the trustee by the holders of a majority in aggregate principal amount of the debt securities of all series outstanding under the indenture that are affected by the waiver (voting together as a single class). However, no modification or amendment may, without the consent of the holder of such affected senior debt security:</w:t>
      </w:r>
    </w:p>
    <w:p>
      <w:pPr>
        <w:spacing w:after="0" w:line="94" w:lineRule="exact"/>
        <w:rPr>
          <w:sz w:val="20"/>
          <w:szCs w:val="20"/>
          <w:color w:val="auto"/>
        </w:rPr>
      </w:pPr>
    </w:p>
    <w:p>
      <w:pPr>
        <w:ind w:left="1080" w:right="48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or extend the fixed maturity, of the senior debt securities of such series or alter or waive the redemption provisions of the senior debt securities of such series;</w:t>
      </w:r>
    </w:p>
    <w:p>
      <w:pPr>
        <w:spacing w:after="0" w:line="67"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of any holder of the senior debt securities of such series to receive payment of principal or interest on the senior debt securities of such series on and after the due dates for such principal or interest;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currency in which principal, any premium or interest is paid;</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outstanding of senior debt securities of such series which must consent to an amendment, supplement or waiver or consent to take any action;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to institute suit for the enforcement of any payment on the senior debt securities of such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payment default with respect to the senior debt securities of such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interest rate or extend the time for payment of interest on the senior debt securities of such series;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the ranking of the senior debt securities of such series.</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An amendment, supplemental indenture or waiver which changes, eliminates or waives any covenant or other provision of the indenture which has expressly been included solely for the benefit of one or more particular series of debt securities, or which modifies the rights of the holders of debt securities of such series with respect to such covenant or other provision, shall be deemed not to affect the rights under the indenture of the holders of debt securities of any other series.</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 Personal Liability of Incorporators, Stockholders, Officers, Directors, or Employees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senior indenture provides that no recourse shall be had under or upon any obligation, covenant or agreement contained in the senior indenture, the Guarantees or in any senior debt security, or because of any indebtedness evidenced thereby, shall be had against any incorporator, as such, or against any past, present or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future stockholder, employee, officer or director, as such, of us, any Guarantor, or of any of their respective successors, either directly or through us, any Guarantor, or of any of their respective successors, under any rule of law, statute or constitutional provision or by the enforcement of any assessment or by any legal or equitable proceeding or otherwise, all such liability being expressly waived and released by the acceptance of the senior debt securities by the holders thereof and as part of the consideration for the issue of the senior debt securities.</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Concerning the Trustee</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Except during the continuance of an event of default, the trustee need perform only those duties that are specifically set forth in the senior indenture and no others, and no implied covenants or obligations will be read into the senior indenture against the trustee. In case an event of default of which a certain officers of the trustee shall have actual knowledge or shall have received written notice from us or any holder of our senior debt securities of any series has occurred and is continuing, the trustee shall exercise those rights and powers vested in it by the senior indenture, and use the same degree of care and skill in their exercise, as a prudent person would exercise or use under the circumstances in the conduct of such person’s own affairs.</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Governing Law</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The senior indenture, including any Guarantee, and each senior debt security is governed by and construed in accordance with the laws of the State of New York.</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Trustee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have normal banking relationships with the trustee under the senior indenture in the ordinary course of business.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Convertible Debt Securities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terms, if any, on which debt securities being offered may be exchanged for or converted into other debt securities or shares of preferred stock, Class A common stock or other securities or rights of ours (including rights to receive payments in cash or securities based on the value, rate or price of one or more specified commodities, currencies or indices) or securities of other issuers or any combination of the foregoing will be set forth in the prospectus supplement for such debt securities being offered.</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80"/>
          </w:cols>
          <w:pgMar w:left="320" w:top="455" w:right="4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may issue the debt securities, warrants, purchase contracts and units of any series in the form of one or more fully registered global securities that will be deposited with a depositary or with a nominee for a depositary identified in the prospectus supplement relating to such series and registered in the name of the depositary or its nominee. In that case, one or more global securities will be issued in a denomination or aggregate denominations equal to the portion of the aggregate principal or face amount of outstanding registered securities of the series to be represented by such global securities. Unless and until the depositary exchanges a global security in whole for securities in definitive registered form, the global security may not be transferred except as a whole by the depositary to a nominee of the depositary or by a nominee of the depositary to the depositary or another nominee of the depositary or by the depositary or any of its nominees to a successor of the depositary or a nominee of such successor.</w:t>
      </w:r>
    </w:p>
    <w:p>
      <w:pPr>
        <w:spacing w:after="0" w:line="18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specific terms of the depositary arrangement with respect to any portion of a series of securities to be represented by a global security will be described in the prospectus supplement relating to such series. We anticipate that the following provisions will apply to all depositary arrangements.</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Ownership of beneficial interests in a global security will be limited to persons that have accounts with the depositary for such global security known as “participants” or persons that may hold interests through such participants. Upon the issuance of a global security, the depositary for such global security will credit, on its book-entry registration and transfer system, the participants’ accounts with the respective principal or face amounts of the securities represented by such global security beneficially owned by such participants. The accounts to be credited shall be designated by any dealers, underwriters or agents participating in the distribution of such securities. Ownership of beneficial interests in such global security will be shown on, and the transfer of such ownership interests will be effected only through, records maintained by the depositary for such global security (with respect to interests of participants) and on the records of participants (with respect to interests of persons holding through participants). The laws of some states may require that certain purchasers of securities take physical delivery of such securities in definitive form. Such limits and such laws may impair the ability to own, transfer or pledge beneficial interests in global securities.</w:t>
      </w:r>
    </w:p>
    <w:p>
      <w:pPr>
        <w:spacing w:after="0" w:line="188"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So long as the depositary for a global security, or its nominee, is the registered owner of such global security, such depositary or such nominee, as the case may be, will be considered the sole owner or holder of the securities represented by such global security for all purposes under the applicable indenture, warrant agreement, purchase contract or unit agreement. Except as set forth below, owners of beneficial interests in a global security will not be entitled to have the securities represented by such global security registered in their names, will not receive or be entitled to receive physical delivery of such securities in definitive form and will not be considered the owners or holders thereof under the applicable indenture, warrant agreement, purchase contract or unit agreement. Accordingly, each person owning a beneficial interest in a global security must rely on the procedures of the depositary for such global security and, if such person is not a participant, on the procedures of the participant through which such person owns its interest, to exercise any rights of a holder under the applicable indenture, warrant agreement, purchase contract or unit agreement. We understand that under existing industry practices, if we request any action of holders or if an owner of a beneficial interest in a global security desires to give or take any action which a holder is entitled to give or take under the applicable indenture, warrant agreement, purchase contract or unit agreement, the depositary for such global security would authorize the participants holding the relevant beneficial interests to give or take such action, and such participants would authorize beneficial owners owning through such participants to give or take such action or would otherwise act upon the instructions of beneficial owners holding through them.</w:t>
      </w:r>
    </w:p>
    <w:p>
      <w:pPr>
        <w:spacing w:after="0" w:line="187"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Principal, premium, if any, and interest payments on debt securities, and any payments to holders with respect to warrants, purchase contracts or units represented by a global security registered in the name of a depositary or its nominee will be made to such depositary or its nominee, as the case may be, as the registered owner of such global security. None of us, the trustees, the warrant agents, the unit agents or any of our other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agents, agent of the trustees or agent of the warrant agents or unit agents will have any responsibility or liability for any aspect of the records relating to or payments made on account of beneficial ownership interests in such global security or for maintaining, supervising or reviewing any records relating to such beneficial ownership interests.</w:t>
      </w:r>
    </w:p>
    <w:p>
      <w:pPr>
        <w:spacing w:after="0" w:line="176"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expect that the depositary for any securities represented by a global security, upon receipt of any payment of principal, premium, interest or other distribution of underlying securities or commodities to holders in respect of such global security, will immediately credit participants’ accounts in amounts proportionate to their respective beneficial interests in such global security as shown on the records of such depositary. We also expect that payments by participants to owners of beneficial interests in such global security held through such participants will be governed by standing customer instructions and customary practices, as is now the case with the securities held for the accounts of customers in bearer form or registered in “street name,” and will be the responsibility of such participants.</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the depositary for any securities represented by a global security is at any time unwilling or unable to continue as depositary or ceases to be a clearing agency registered under the Exchange Act, and we do not appoint a successor depositary registered as a clearing agency under the Exchange Act within 90 days, we will issue such securities in definitive form in exchange for such global security. In addition, we may at any time and in our sole discretion determine not to have any of the securities of a series represented by one or more global securities and, in such event, will issue securities of such series in definitive form in exchange for all of the global security or securities representing such securities. Any securities issued in definitive form in exchange for a global security will be registered in such name or names as the depositary shall instruct the relevant trustee, warrant agent or other relevant agent of ours. We expect that such instructions will be based upon directions received by the depositary from participants with respect to ownership of beneficial interests in such global security.</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60"/>
          </w:cols>
          <w:pgMar w:left="320" w:top="455" w:right="5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In this section, references to the “Company,” “we,” “us” and “our” refer only to Comcast Corporation and not any of its subsidiaries. The statements made under this caption include summaries of certain provisions contained in our articles of incorporation and by-laws. These statements do not purport to be complete and are qualified in their entirety by reference to such articles of incorporation and by-laws.</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two classes of common stock outstanding: Class A common stock, $0.01 par value per share, and Class B common stock, $0.01 par value per share. There are currently authorized 7.5 billion shares of Class A common stock, 75 million shares of Class B common stock and 20 million shares of preferred stock. Our Board of Directors may issue preferred stock, in one or more series, without par value, with full, limited, multiple, fractional, or no voting rights, and with such designations, preferences, qualifications, privileges, limitations, restrictions, options, conversion rights and other special rights as our Board of Directors shall determine.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Subject to the preferential rights of any preferred stock then outstanding, holders of our Class A common stock and Class B common stock are entitled to receive, from time to time, when, as and if declared, in the discretion of our Board of Directors, such cash dividends as our Board of Directors may from time to time determine, out of such funds as are legally available therefor, in proportion to the number of shares held by them, respectively, without regard to class.</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Holders of our Class A common stock and Class B common stock will also be entitled to receive, from time to time, when, as and if declared by our Board of Directors, such dividends of our stock or other property as our Board of Directors may determine, out of such funds as are legally available therefor. However, stock dividends on, or stock splits of, any class of common stock will not be paid or issued unless paid or issued on all classes of our common stock, in which case they will be paid or issued only in shares of that class; provided, however, that stock dividends on, or stock splits of, our Class B common stock may also be paid or issued in shares of our Class A common stock.</w:t>
      </w:r>
    </w:p>
    <w:p>
      <w:pPr>
        <w:spacing w:after="0" w:line="183"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intend to pay quarterly dividends at an annualized rate currently of $1.08 per share, although each dividend is subject to approval by our Board of Directors. See “Dividend Policy” above.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As a general matter, on all matters submitted for a vote to holders of all classes of our voting stock, holders of our Class A common stock in the aggregate hold 66 2/3% of the aggregate voting power of our capital stock, and holders of our Class B common stock in the aggregate hold a non-dilutable 33 1/3% of the combined voting power of our capital stock. This nondilutable voting power is subject to proportional decrease to the extent the number of shares of Class B common stock is reduced below 9,444,375, subject to adjustment in specified situations. Stock dividends payable on the Class B common stock in the form of Class B common stock do not decrease the nondilutable voting power of the Class B common stock.</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Approval Rights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Except as required by law, holders of Class A common stock have no specific approval rights over any corporate actions. Holders of our Class B common stock have an approval right over (1) any merger of us with another company or any other transaction, in each case that requires our shareholders’ approval under applicable law, or any other transaction that would result in any person or group owning shares representing in excess of 10% of the aggregate voting power of the resulting or surviving corporation, or any issuance of securities (other than pursuant to director or officer stock option or purchase plans) requiring our shareholders’ approval under the rules and regulations of any stock exchange or quotation system; (2) any issuance of our Class B common stock or any securities exercisable or exchangeable for or convertible into our Class B common stock; and (3) articles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of incorporation or by-law amendments (such as an amendment to the articles of incorporation to opt in to any of the Pennsylvania antitakeover statutes) and other actions (such as the adoption, amendment or redemption of a shareholder rights plan) that limit the rights of holders of our Class B common stock or any subsequent transferee of our Class B common stock to transfer, vote or otherwise exercise rights with respect to our capital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Principal Shareholder</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Brian L. Roberts, our Chairman, Chief Executive Officer and President, beneficially owns all outstanding shares of our Class B common stock, which has a nondilutable 33 1/3% of the combined voting power of our stock and which also has separate approval rights over certain material transactions, as described above under “—Approval Rights.” Accordingly, Mr. Roberts has considerable influence over our operations and has the ability to transfer potential effective control by selling the Class B common stock. The Class B common stock is convertible on a share-for-share basis into Class A common stock. As of June 30, 2022, if Mr. Roberts were to convert the Class B common stock he beneficially owns into Class A common stock, Mr. Roberts would beneficially own approximately 1% of the Class A common stock that would be outstanding after the conversion.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Conversion of Class B Common Stock</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Class B common stock is convertible share for share into Class A common stock, subject to certain restrictions.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Preference on Liquidation</w:t>
      </w:r>
    </w:p>
    <w:p>
      <w:pPr>
        <w:spacing w:after="0" w:line="121" w:lineRule="exact"/>
        <w:rPr>
          <w:sz w:val="20"/>
          <w:szCs w:val="20"/>
          <w:color w:val="auto"/>
        </w:rPr>
      </w:pPr>
    </w:p>
    <w:p>
      <w:pPr>
        <w:jc w:val="both"/>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In the event of our liquidation, dissolution or winding up, either voluntary or involuntary, the holders of Class A common stock and Class B common stock are entitled to receive, subject to any liquidation preference of any preferred stock then outstanding, our remaining assets, if any, in proportion to the number of shares held by them without regard to class.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Mergers, Consolidations, Etc.</w:t>
      </w:r>
    </w:p>
    <w:p>
      <w:pPr>
        <w:spacing w:after="0" w:line="121" w:lineRule="exact"/>
        <w:rPr>
          <w:sz w:val="20"/>
          <w:szCs w:val="20"/>
          <w:color w:val="auto"/>
        </w:rPr>
      </w:pPr>
    </w:p>
    <w:p>
      <w:pPr>
        <w:jc w:val="both"/>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Our articles of incorporation provide that if in a transaction such as a merger, consolidation, share exchange or recapitalization, holders of each class of our common stock outstanding do not receive the same consideration for each of their shares of our common stock (i.e., the same amount of cash or the same number of shares of each class of stock issued in the transaction in proportion to the number of shares of our common stock held by them, respectively, without regard to class), holders of each such class of our common stock will receive “mirror” securities (i.e., shares of a class of stock having substantially equivalent rights as the applicable class of our common stock).</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holders of Class A common stock and Class B common stock do not have any preemptive rights. All shares of Class A common stock and Class B common stock presently outstanding are, and all shares of the Class A common stock offered hereby, or issuable upon conversion, exchange or exercise of securities offered hereby, will, when issued, be, fully paid and nonassessable. We have been advised that the Class A common stock is exempt from existing Pennsylvania personal property tax.</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transfer agent and registrar for our Class A common stock is Equiniti Trust Company D/B/A EQ Shareowner Services, P.O. Box 64854, St.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Paul, Minnesota 55164-0854. Its telephone number is (888) 883-8903.</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00"/>
          </w:cols>
          <w:pgMar w:left="320" w:top="455" w:right="4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or selling security holders may sell the securities being offered hereby in four ways:</w:t>
      </w:r>
    </w:p>
    <w:p>
      <w:pPr>
        <w:spacing w:after="0" w:line="131"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customers or suppliers;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dealers.</w:t>
      </w:r>
    </w:p>
    <w:p>
      <w:pPr>
        <w:spacing w:after="0" w:line="225"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If any securities are sold pursuant to this prospectus by any person other than us, we will disclose in a prospectus supplement required information with respect to each security holder, which may include its name, the nature of any relationship it has had with us or any of our affiliates during the three years preceding such offering and the amount of securities of the class it owns both before and after the offering.</w:t>
      </w:r>
    </w:p>
    <w:p>
      <w:pPr>
        <w:spacing w:after="0" w:line="176"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We or any selling security holder may directly solicit offers to purchase securities, or we or any selling security holder may designate agents to solicit such offers. We will, in the prospectus supplement relating to such offering, name any agent that could be viewed as an underwriter under the Securities Act of 1933, as amended, (hereinafter, the “Securities Act”) and describe any commissions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8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If any underwriters are utilized in the sale of the securities in respect of which this prospectus is delivered, we will enter into an underwriting agreement with them at the time of sale to them, and we will set forth in the prospectus supplement relating to such offering their names and the terms of any agreement with them.</w:t>
      </w:r>
    </w:p>
    <w:p>
      <w:pPr>
        <w:spacing w:after="0" w:line="176"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If a dealer is utilized in the sale of the securities in respect of which the prospectus is delivered, we and any selling security holders will sell such securities to the dealer, as principal. The dealer may then resell such securities to the public at varying prices to be determined by such dealer at the time of resale.</w:t>
      </w:r>
    </w:p>
    <w:p>
      <w:pPr>
        <w:spacing w:after="0" w:line="176"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Remarketing firms, agents, underwriters and dealers may be entitled under agreements which they may enter into with us or any selling security holder to indemnification by us against certain civil liabilities, including liabilities under the Securities Act, and may be customers of, engage in transactions with or perform services for us in the ordinary course of business.</w:t>
      </w:r>
    </w:p>
    <w:p>
      <w:pPr>
        <w:spacing w:after="0" w:line="176" w:lineRule="exact"/>
        <w:rPr>
          <w:sz w:val="20"/>
          <w:szCs w:val="20"/>
          <w:color w:val="auto"/>
        </w:rPr>
      </w:pPr>
    </w:p>
    <w:p>
      <w:pPr>
        <w:ind w:left="120" w:right="20" w:firstLine="440"/>
        <w:spacing w:after="0" w:line="272" w:lineRule="auto"/>
        <w:rPr>
          <w:sz w:val="20"/>
          <w:szCs w:val="20"/>
          <w:color w:val="auto"/>
        </w:rPr>
      </w:pPr>
      <w:r>
        <w:rPr>
          <w:rFonts w:ascii="Times New Roman" w:cs="Times New Roman" w:eastAsia="Times New Roman" w:hAnsi="Times New Roman"/>
          <w:sz w:val="17"/>
          <w:szCs w:val="17"/>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7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As to matters governed by Pennsylvania law, Elizabeth Wideman, Esquire, Senior Vice President, Senior Deputy General Counsel and Assistant Secretary of Comcast, and as to matters governed by New York and Delaware law, Davis Polk &amp; Wardwell LLP, will pass upon the validity of the securities on our behalf and on behalf of the Guarantors, although we may use other counsel, including our employees, to do so. Unless otherwise indicated in the accompanying prospectus supplement, Cahill Gordon &amp; Reindel LLP will represent the underwriters.</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financial statements of Comcast Corporation as of December 31, 2021 and 2020, and for each of the three years in the period ended December 31, 2021, incorporated by reference in this Prospectus by reference to Comcast Corporation’s annual report on Form 10-K for the year ended December 31, 2021, and the effectiveness of Comcast Corporation’s internal control over financial reporting have been audited by Deloitte &amp; Touche LLP, an independent registered public accounting firm, as stated in their report. Such financial statements are incorporated by reference in reliance upon the report of such firm given upon their authority as experts in accounting and auditing.</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have filed this prospectus as part of a combined registration statement on Form S-3 with the SEC. The registration statement contains exhibits and other information that are not contained in this prospectus. Our descriptions in this prospectus of the provisions of documents filed as exhibits to the registration statement or otherwise filed with the SEC are only summaries of the documents’ material terms. If you want a complete description of the content of the documents, you should obtain the documents by following the procedures described below.</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Comcast files annual and quarterly reports and separate special reports and other information with the SEC. Comcast Cable and NBCUniversal do not currently file information with the SEC. Although Comcast Cable and NBCUniversal would normally be required to file information with the SEC on an ongoing basis, we expect that they will continue to be exempt from this filing obligation for as long as we continue to file our information with the SEC. Our SEC filings, including the complete registration statement and all of the exhibits to it, are available through the SEC’s website at http://www.sec.gov.</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not authorized anyone to provide any information other than that contained or incorporated by reference in this prospectus, any prospectus supplement or any free writing prospectus prepared by or on behalf of us or to which we have referred you. We take no responsibility for, and can provide no assurance as to the reliability of, any other information that others may give you. We are not making an offer of these securities in any jurisdiction where the offer is not permitted. You should not assume that the information contained in or incorporated by reference in this prospectus, any prospectus supplement or any such free writing prospectus is accurate as of any date other than their respective dates.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22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In addition, information we file with the SEC in the future will automatically update and supersede information contained in this prospectus and any accompanying prospectus supplement.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prospectus incorporates by reference the documents set forth below that we have previously filed with the SEC:</w:t>
      </w:r>
    </w:p>
    <w:p>
      <w:pPr>
        <w:spacing w:after="0" w:line="131"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Comcast’s Annual Report on </w:t>
      </w:r>
      <w:hyperlink r:id="rId47">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2021, filed on February 2, 2022.</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Comcast’s Quarterly Reports on Form 10-Q for the quarters ended </w:t>
      </w:r>
      <w:hyperlink r:id="rId48">
        <w:r>
          <w:rPr>
            <w:rFonts w:ascii="Times New Roman" w:cs="Times New Roman" w:eastAsia="Times New Roman" w:hAnsi="Times New Roman"/>
            <w:sz w:val="18"/>
            <w:szCs w:val="18"/>
            <w:u w:val="single" w:color="auto"/>
            <w:color w:val="0000EE"/>
          </w:rPr>
          <w:t>March 31,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49">
        <w:r>
          <w:rPr>
            <w:rFonts w:ascii="Times New Roman" w:cs="Times New Roman" w:eastAsia="Times New Roman" w:hAnsi="Times New Roman"/>
            <w:sz w:val="18"/>
            <w:szCs w:val="18"/>
            <w:u w:val="single" w:color="auto"/>
            <w:color w:val="0000EE"/>
          </w:rPr>
          <w:t>June 30, 2022</w:t>
        </w:r>
      </w:hyperlink>
      <w:r>
        <w:rPr>
          <w:rFonts w:ascii="Times New Roman" w:cs="Times New Roman" w:eastAsia="Times New Roman" w:hAnsi="Times New Roman"/>
          <w:sz w:val="18"/>
          <w:szCs w:val="18"/>
          <w:color w:val="auto"/>
        </w:rPr>
        <w:t>, filed on April 28, 2022 and July 28, 2022, respectively.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Comcast’s Current Report on Form 8-K filed on </w:t>
      </w:r>
      <w:hyperlink r:id="rId50">
        <w:r>
          <w:rPr>
            <w:rFonts w:ascii="Times New Roman" w:cs="Times New Roman" w:eastAsia="Times New Roman" w:hAnsi="Times New Roman"/>
            <w:sz w:val="18"/>
            <w:szCs w:val="18"/>
            <w:u w:val="single" w:color="auto"/>
            <w:color w:val="0000EE"/>
          </w:rPr>
          <w:t>June 3, 2022</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sections of Comcast’s Definitive Proxy Statement on </w:t>
      </w:r>
      <w:hyperlink r:id="rId51">
        <w:r>
          <w:rPr>
            <w:rFonts w:ascii="Times New Roman" w:cs="Times New Roman" w:eastAsia="Times New Roman" w:hAnsi="Times New Roman"/>
            <w:sz w:val="18"/>
            <w:szCs w:val="18"/>
            <w:u w:val="single" w:color="auto"/>
            <w:color w:val="0000EE"/>
          </w:rPr>
          <w:t>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2022 annual meeting of shareholders incorporated by reference in Comcast’s Annual Report on </w:t>
      </w:r>
      <w:hyperlink r:id="rId47">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2021.</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capital stock included in Item 3.02 under the caption “Amended and Restated Description of our Class A Common Stock” in Comcast’s Current Report on </w:t>
      </w:r>
      <w:hyperlink r:id="rId52">
        <w:r>
          <w:rPr>
            <w:rFonts w:ascii="Times New Roman" w:cs="Times New Roman" w:eastAsia="Times New Roman" w:hAnsi="Times New Roman"/>
            <w:sz w:val="18"/>
            <w:szCs w:val="18"/>
            <w:u w:val="single" w:color="auto"/>
            <w:color w:val="0000EE"/>
          </w:rPr>
          <w:t>Form 8-K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December 15, 2015, as the same may be further amended from time to time.</w:t>
      </w:r>
    </w:p>
    <w:p>
      <w:pPr>
        <w:spacing w:after="0" w:line="162" w:lineRule="exact"/>
        <w:rPr>
          <w:rFonts w:ascii="Times New Roman" w:cs="Times New Roman" w:eastAsia="Times New Roman" w:hAnsi="Times New Roman"/>
          <w:sz w:val="18"/>
          <w:szCs w:val="18"/>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also incorporate by reference into this prospectus additional documents that we may file with the SEC under Sections 13(a), 13(c), 14 or 15(d) of the Exchange Act until we sell all of the securities we are offering. Any statement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 We will provide free copies of any of those documents, if you write or telephone us at: One Comcast Center, Philadelphia, Pennsylvania 19103-2838, (215) 286-1700.</w:t>
      </w:r>
    </w:p>
    <w:p>
      <w:pPr>
        <w:spacing w:after="0" w:line="116"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80"/>
          </w:cols>
          <w:pgMar w:left="320" w:top="455" w:right="4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374"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8"/>
          <w:szCs w:val="18"/>
          <w:b w:val="1"/>
          <w:bCs w:val="1"/>
          <w:color w:val="auto"/>
        </w:rPr>
        <w:t>Other Expenses of Issuance and Distribution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The following table sets forth the estimated costs and expenses payable by the Registrants in connection with this Registration Statement.</w:t>
      </w:r>
    </w:p>
    <w:p>
      <w:pPr>
        <w:sectPr>
          <w:pgSz w:w="11900" w:h="16838" w:orient="portrait"/>
          <w:cols w:equalWidth="0" w:num="1">
            <w:col w:w="11140"/>
          </w:cols>
          <w:pgMar w:left="320" w:top="455" w:right="4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-119380</wp:posOffset>
            </wp:positionV>
            <wp:extent cx="4749165"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4749165" cy="146050"/>
                    </a:xfrm>
                    <a:prstGeom prst="rect">
                      <a:avLst/>
                    </a:prstGeom>
                    <a:noFill/>
                  </pic:spPr>
                </pic:pic>
              </a:graphicData>
            </a:graphic>
          </wp:anchor>
        </w:drawing>
      </w:r>
    </w:p>
    <w:p>
      <w:pPr>
        <w:spacing w:after="0" w:line="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14605</wp:posOffset>
            </wp:positionV>
            <wp:extent cx="4749165"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Printing and engraving fees</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Times New Roman" w:cs="Times New Roman" w:eastAsia="Times New Roman" w:hAnsi="Times New Roman"/>
          <w:sz w:val="18"/>
          <w:szCs w:val="18"/>
          <w:color w:val="auto"/>
        </w:rPr>
        <w:t>Miscellaneous</w:t>
      </w:r>
    </w:p>
    <w:p>
      <w:pPr>
        <w:spacing w:after="0" w:line="18"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146050</wp:posOffset>
            </wp:positionV>
            <wp:extent cx="7715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jc w:val="center"/>
        <w:ind w:right="1918"/>
        <w:spacing w:after="0"/>
        <w:rPr>
          <w:sz w:val="20"/>
          <w:szCs w:val="20"/>
          <w:color w:val="auto"/>
        </w:rPr>
      </w:pPr>
      <w:r>
        <w:rPr>
          <w:rFonts w:ascii="Times New Roman" w:cs="Times New Roman" w:eastAsia="Times New Roman" w:hAnsi="Times New Roman"/>
          <w:sz w:val="14"/>
          <w:szCs w:val="14"/>
          <w:b w:val="1"/>
          <w:bCs w:val="1"/>
          <w:color w:val="auto"/>
        </w:rPr>
        <w:t>Amount to be</w:t>
      </w:r>
    </w:p>
    <w:p>
      <w:pPr>
        <w:spacing w:after="0" w:line="6" w:lineRule="exact"/>
        <w:rPr>
          <w:sz w:val="20"/>
          <w:szCs w:val="20"/>
          <w:color w:val="auto"/>
        </w:rPr>
      </w:pPr>
    </w:p>
    <w:p>
      <w:pPr>
        <w:jc w:val="center"/>
        <w:ind w:right="1918"/>
        <w:spacing w:after="0"/>
        <w:rPr>
          <w:sz w:val="20"/>
          <w:szCs w:val="20"/>
          <w:color w:val="auto"/>
        </w:rPr>
      </w:pPr>
      <w:r>
        <w:rPr>
          <w:rFonts w:ascii="Times New Roman" w:cs="Times New Roman" w:eastAsia="Times New Roman" w:hAnsi="Times New Roman"/>
          <w:sz w:val="14"/>
          <w:szCs w:val="14"/>
          <w:b w:val="1"/>
          <w:bCs w:val="1"/>
          <w:color w:val="auto"/>
        </w:rPr>
        <w:t>paid</w:t>
      </w:r>
    </w:p>
    <w:p>
      <w:pPr>
        <w:spacing w:after="0" w:line="9" w:lineRule="exact"/>
        <w:rPr>
          <w:sz w:val="20"/>
          <w:szCs w:val="20"/>
          <w:color w:val="auto"/>
        </w:rPr>
      </w:pPr>
    </w:p>
    <w:p>
      <w:pPr>
        <w:ind w:left="842" w:hanging="842"/>
        <w:spacing w:after="0"/>
        <w:tabs>
          <w:tab w:leader="none" w:pos="84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7" w:lineRule="exact"/>
        <w:rPr>
          <w:rFonts w:ascii="Times New Roman" w:cs="Times New Roman" w:eastAsia="Times New Roman" w:hAnsi="Times New Roman"/>
          <w:sz w:val="18"/>
          <w:szCs w:val="18"/>
          <w:color w:val="auto"/>
        </w:rPr>
      </w:pPr>
    </w:p>
    <w:p>
      <w:pPr>
        <w:ind w:left="76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76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76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76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5397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539750" cy="8890"/>
                    </a:xfrm>
                    <a:prstGeom prst="rect">
                      <a:avLst/>
                    </a:prstGeom>
                    <a:noFill/>
                  </pic:spPr>
                </pic:pic>
              </a:graphicData>
            </a:graphic>
          </wp:anchor>
        </w:drawing>
      </w:r>
    </w:p>
    <w:p>
      <w:pPr>
        <w:ind w:left="762" w:hanging="762"/>
        <w:spacing w:after="0"/>
        <w:tabs>
          <w:tab w:leader="none" w:pos="76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53975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53975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34290</wp:posOffset>
            </wp:positionV>
            <wp:extent cx="53975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53975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658" w:space="720"/>
            <w:col w:w="2762"/>
          </w:cols>
          <w:pgMar w:left="320" w:top="455" w:right="439" w:bottom="1440" w:gutter="0" w:footer="0" w:header="0"/>
          <w:type w:val="continuous"/>
        </w:sectPr>
      </w:pPr>
    </w:p>
    <w:p>
      <w:pPr>
        <w:spacing w:after="0" w:line="66" w:lineRule="exact"/>
        <w:rPr>
          <w:sz w:val="20"/>
          <w:szCs w:val="20"/>
          <w:color w:val="auto"/>
        </w:rPr>
      </w:pPr>
    </w:p>
    <w:p>
      <w:pPr>
        <w:ind w:left="540" w:hanging="424"/>
        <w:spacing w:after="0"/>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 because the registration fee is being deferred pursuant to Rule 456(b).</w:t>
      </w:r>
    </w:p>
    <w:p>
      <w:pPr>
        <w:spacing w:after="0" w:line="27" w:lineRule="exact"/>
        <w:rPr>
          <w:sz w:val="20"/>
          <w:szCs w:val="20"/>
          <w:color w:val="auto"/>
        </w:rPr>
      </w:pPr>
    </w:p>
    <w:p>
      <w:pPr>
        <w:ind w:left="540" w:hanging="424"/>
        <w:spacing w:after="0"/>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fees are calculated based on the securities offered and the number of issuances and accordingly cannot be estimated at this time.</w:t>
      </w:r>
    </w:p>
    <w:p>
      <w:pPr>
        <w:spacing w:after="0" w:line="351"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8"/>
          <w:szCs w:val="18"/>
          <w:b w:val="1"/>
          <w:bCs w:val="1"/>
          <w:color w:val="auto"/>
        </w:rPr>
        <w:t>Indemnification of Directors and Officers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Indemnification under Pennsylvania Law and Comcast’s Charter and By-laws.</w:t>
      </w:r>
    </w:p>
    <w:p>
      <w:pPr>
        <w:spacing w:after="0" w:line="225"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Sections 1741 through 1750 of Subchapter D, Chapter 17, of the Pennsylvania Business Corporation Law of 1988, as amended (“PBCL”), contain provisions for mandatory and discretionary indemnification of a corporation’s directors, officers and other personnel, and related matters.</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Under Section 1741 of the PBCL, subject to certain limitations, a corporation has the power to indemnify directors and officers under certain prescribed circumstances against expenses (including attorneys’ fees), judgments, fines and amounts paid in settlement actually and reasonably incurred in connection with an action or proceeding, whether civil, criminal, administrative or investigative (other than derivative or corporate actions), to which any such officer or director is a party or is threatened to be made a party by reason of such officer or director being a representative of the corporation or serving at the request of the corporation as a representative of another domestic or foreign corporation for profit or not-for-profit, partnership, joint venture, trust or other enterprise, so long as the director or officer acted in good faith and in a manner reasonably believed to be in, or not opposed to, the best interests of the corporation and, with respect to any criminal proceeding, such officer or director had no reasonable cause to believe his or her conduct was unlawful.</w:t>
      </w:r>
    </w:p>
    <w:p>
      <w:pPr>
        <w:spacing w:after="0" w:line="19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Section 1742 of the PBCL permits indemnification in derivative and corporate actions if the director or officer acted in good faith and in a manner reasonably believed to be in, or not opposed to, the best interests of the corporation, except in respect of any claim, issue or matter as to which the officer or director has been adjudged to be liable to the corporation unless and only to the extent that the proper court determines upon application that, despite the adjudication of liability but in view of all the circumstances of the case, the officer or director is fairly and reasonably entitled to indemnity for the expenses that the court deems proper.</w:t>
      </w:r>
    </w:p>
    <w:p>
      <w:pPr>
        <w:spacing w:after="0" w:line="183"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Under Section 1743 of the PBCL, indemnification is mandatory to the extent that the officer or director has been successful on the merits or otherwise in defense of any action or proceeding referred to in Section 1741 or 1742 of the PBCL.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140"/>
          </w:cols>
          <w:pgMar w:left="320" w:top="455" w:right="4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Section 1744 of the PBCL provides that, unless ordered by a court, any indemnification under Section 1741 or 1742 of the PBCL shall be made by the corporation only as authorized in the specific case upon a determination that the officer or director met the applicable standard of conduct, and such determination must be made (i) by the board of directors by a majority vote of a quorum of directors not parties to the action or proceeding, (ii) if a quorum is not obtainable, or if obtainable and a majority vote of a quorum of disinterested directors so directs, by independent legal counsel in a written opinion, or (iii) by the shareholders.</w:t>
      </w:r>
    </w:p>
    <w:p>
      <w:pPr>
        <w:spacing w:after="0" w:line="183"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Section 1745 of the PBCL provides that expenses (including attorneys’ fees) incurred by a director or officer in defending any action or proceeding referred to in Subchapter D of Chapter 17 of the PBCL may be paid by the corporation in advance of the final disposition of such action or proceeding upon receipt of an undertaking by or on behalf of such person to repay such amount if it shall ultimately be determined that he or she is not entitled to be indemnified by the corporation. Except as otherwise provided in the corporation’s by-laws, advancement of expenses must be authorized by the board of directors.</w:t>
      </w:r>
    </w:p>
    <w:p>
      <w:pPr>
        <w:spacing w:after="0" w:line="183"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Section 1746 of the PBCL provides generally that the indemnification and advancement of expenses provided by Subchapter D of Chapter 17 of the PBCL shall not be deemed exclusive of any other rights to which an officer or director seeking indemnification or advancement of expenses may be entitled under any by-law, agreement, vote of shareholders or disinterested directors or otherwise, both as to action in the officer or director’s official capacity and as to action in another capacity while holding that office. In no event may indemnification be made in any case where the act or failure to act giving rise to the claim for indemnification is determined by a court to have constituted willful misconduct or recklessness.</w:t>
      </w:r>
    </w:p>
    <w:p>
      <w:pPr>
        <w:spacing w:after="0" w:line="183"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Section 1747 of the PBCL grants a corporation the power to purchase and maintain insurance on behalf of any director or officer against any liability asserted against the officer or director or incurred by the officer or director in his or her capacity as officer or director, whether or not the corporation would have the power to indemnify the officer or director against that liability under Subchapter D of Chapter 17 of the PBCL.</w:t>
      </w:r>
    </w:p>
    <w:p>
      <w:pPr>
        <w:spacing w:after="0" w:line="176" w:lineRule="exact"/>
        <w:rPr>
          <w:sz w:val="20"/>
          <w:szCs w:val="20"/>
          <w:color w:val="auto"/>
        </w:rPr>
      </w:pPr>
    </w:p>
    <w:p>
      <w:pPr>
        <w:jc w:val="both"/>
        <w:ind w:left="120" w:right="160" w:firstLine="440"/>
        <w:spacing w:after="0" w:line="312" w:lineRule="auto"/>
        <w:rPr>
          <w:sz w:val="20"/>
          <w:szCs w:val="20"/>
          <w:color w:val="auto"/>
        </w:rPr>
      </w:pPr>
      <w:r>
        <w:rPr>
          <w:rFonts w:ascii="Times New Roman" w:cs="Times New Roman" w:eastAsia="Times New Roman" w:hAnsi="Times New Roman"/>
          <w:sz w:val="17"/>
          <w:szCs w:val="17"/>
          <w:color w:val="auto"/>
        </w:rPr>
        <w:t>Sections 1748 and 1749 of the PBCL extend the indemnification and advancement of expenses provisions contained in Subchapter D of Chapter 17 of the PBCL to successor corporations in fundamental changes and to officers and directors serving as fiduciaries of employee benefit plans.</w:t>
      </w:r>
    </w:p>
    <w:p>
      <w:pPr>
        <w:spacing w:after="0" w:line="140"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Section 1750 of the PBCL provides that the indemnification and advancement of expenses provided by, or granted pursuant to, Subchapter D of Chapter 17 of the PBCL shall, unless otherwise provided when authorized or ratified, continue as to a person who has ceased to be a director or officer and shall inure to the benefit of the heirs and personal representatives of such person.</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Article Eleventh of the Registrant’s charter provides that no person who is or was a director of the Registrant will be personally liable, as such, for monetary damages (other than under criminal statutes and under laws imposing such liability on directors for the payment of taxes) unless such person’s conduct constitutes self-dealing, willful misconduct or recklessness. Article Twelfth of the Registrant’s charter extends such protection to any person who is or was an officer of the Registrant.</w:t>
      </w:r>
    </w:p>
    <w:p>
      <w:pPr>
        <w:spacing w:after="0" w:line="180"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Article 7 of the Registrant’s by-laws provides that each officer and director of the Registrant will be indemnified and held harmless by the Registrant to the fullest extent permitted by Pennsylvania law against all expense, liability and loss (including, without limitation, attorneys’ fees, judgments, fines, taxes, penalties and amounts paid or to be paid in settlement) reasonably incurred or suffered by such officer or director in connection with any threatened, pending or completed action, suit or proceeding (including, without limitation, an action, suit or proceeding by or in the right of the Registrant), whether civil, criminal, administrative or investigative, including any appeal therefrom (a “Proceeding”). No indemnification will be made, however, in any case where the act or failure to act giving rise to the claim for indemnification is determined by a court to have constituted willful misconduct or recklessness, or in connection with a Proceeding (or part of a Proceeding) initiated by an officer or director (except in connection with a Proceeding to enforce a right to indemnification or advancement</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of expenses), unless the Proceeding (or part of the Proceeding) was authorized by the Board of Directors. The right to indemnification includes the right to have the expenses incurred by such director or officer in participating in any Proceeding paid by the Registrant in advance of the final disposition of the Proceeding automatically and without any action or approval required by the Board of Directors, provided that, if Pennsylvania law requires, the payment of expenses incurred by such director or officer in advance of the final disposition of a Proceeding shall only be made upon delivery to the Registrant of an undertaking, by or on behalf of the director or officer, to repay all advanced amounts without interest if it is ultimately determined that the director or officer is not entitled to be so indemnified.</w:t>
      </w:r>
    </w:p>
    <w:p>
      <w:pPr>
        <w:spacing w:after="0" w:line="187"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Article 7 of the Registrant’s by-laws also provides that the Registrant may purchase and maintain insurance, at its expense, for the benefit of any person on behalf of whom insurance is permitted to be purchased by Pennsylvania law against any expense, liability or loss, whether or not the Registrant would have the power to indemnify such person under Pennsylvania or any other law. The Registrant may also purchase and maintain insurance to insure its indemnification obligations.</w:t>
      </w:r>
    </w:p>
    <w:p>
      <w:pPr>
        <w:spacing w:after="0" w:line="180"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In addition, the Registrant has entered into indemnification agreements with all of its directors, to indemnify the directors to the fullest extent permitted by applicable law. The Registrant also maintains directors and officers insurance to insure such persons against certain liabilities.</w:t>
      </w:r>
    </w:p>
    <w:p>
      <w:pPr>
        <w:spacing w:after="0" w:line="162"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foregoing statements are subject to the detailed provisions of the PBCL and to the applicable provisions of the Registrant’s charter, by-laws and indemnification agreements.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Comcast Cable Communications, LLC</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Comcast Cable is a limited liability company organized under the laws of the State of Delaware. Section 18-108 of the Delaware Limited Liability Company Act permits a limited liability company, subject to any restrictions that may be set forth in its limited liability company agreement, to indemnify its members, managers and officers from and against any and all claims and demands.</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Section 18.1 of Comcast Cable’s Limited Liability Company Agreement (“LLC Agreement”) provides that Comcast Cable will indemnify the member, Comcast Holdings Corporation, any officer of Comcast Cable and any officer of Comcast Cable who is or was serving as a director, officer, employee or agent of another entity at Comcast Cable’s request (each, an “Indemnified Person”) against expenses (including attorneys’ fees), judgments, fines and amounts paid in settlement, actually and reasonably incurred by such Indemnified Person, to the fullest extent permitted by law in connection with any threatened, pending or contemplated action, suit or proceeding, whether civil, criminal, administrative or investigative (hereinafter, a “proceeding”), brought or threatened to be brought against such Indemnified Person by reason of the fact that he or she is or was serving in any such capacity or in any other capacity on behalf of Comcast Cable, the member or any of Comcast Cable’s subsidiaries. In addition, the member may, by resolution, similarly indemnify any other person (hereinafter, an “Other Person”) for liabilities incurred by him or her in connection with services rendered by him or her for or at the request of Comcast Cable, the member or any of Comcast Cable’s subsidiaries.</w:t>
      </w:r>
    </w:p>
    <w:p>
      <w:pPr>
        <w:spacing w:after="0" w:line="188" w:lineRule="exact"/>
        <w:rPr>
          <w:sz w:val="20"/>
          <w:szCs w:val="20"/>
          <w:color w:val="auto"/>
        </w:rPr>
      </w:pPr>
    </w:p>
    <w:p>
      <w:pPr>
        <w:ind w:left="120" w:right="100" w:firstLine="440"/>
        <w:spacing w:after="0" w:line="277" w:lineRule="auto"/>
        <w:rPr>
          <w:sz w:val="20"/>
          <w:szCs w:val="20"/>
          <w:color w:val="auto"/>
        </w:rPr>
      </w:pPr>
      <w:r>
        <w:rPr>
          <w:rFonts w:ascii="Times New Roman" w:cs="Times New Roman" w:eastAsia="Times New Roman" w:hAnsi="Times New Roman"/>
          <w:sz w:val="17"/>
          <w:szCs w:val="17"/>
          <w:color w:val="auto"/>
        </w:rPr>
        <w:t>Section 18.2 of Comcast Cable’s LLC Agreement provides that expenses (including attorneys’ fees) incurred by any Indemnified Person in defending a proceeding will be paid by Comcast Cable in advance of the final disposition of such proceeding as authorized by the member upon receipt of an undertaking, by or on behalf of such Indemnified Person, to repay such amount if it is ultimately determined that he or she is not entitled to be indemnified by Comcast Cable as authorized by law. Advance expenses (including attorneys’ fees) incurred by Other Persons may be paid by Comcast Cable if the member deems appropriate and upon such terms and conditions, including the giving of an undertaking, as the member deems appropriate.</w:t>
      </w:r>
    </w:p>
    <w:p>
      <w:pPr>
        <w:spacing w:after="0" w:line="34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Section 18.4 of Comcast Cable’s LLC Agreement provides that Comcast Cable may purchase and maintain insurance on behalf of any person who is or was an Indemnified Person or Other Person against any liability asserted against him or her and incurred by him or her in any such capacity, or arising out of his or her status as such, whether or not Comcast Cable would have the power to indemnify him or her against such liability under applicable law.</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NBCUniversal Media, LLC</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NBCUniversal Media, LLC is a limited liability company organized under the laws of the State of Delaware. Section 18-108 of the Limited Liability Company Act of Delaware permits a limited liability company, subject to any restrictions set forth in its limited liability company agreement, to indemnify its members, managers and officers from and against any and all claims and demands. Members, managers and officers of NBCUniversal Media, LLC are also entitled to mandatory and discretionary indemnification as described above under “Comcast Corporation.” NBCUniversal, LLC is the sole member of NBCUniversal Media, LLC.</w:t>
      </w:r>
    </w:p>
    <w:p>
      <w:pPr>
        <w:spacing w:after="0" w:line="183"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Comcast maintains standard policies of insurance on behalf of NBCUniversal Media, LLC and NBCUniversal, LLC under which coverage is provided to their respective officers and NBCUniversal, LLC’s directors against loss arising from claims made by reason of a breach of duty or other wrongful act.</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16.</w:t>
            </w:r>
          </w:p>
        </w:tc>
        <w:tc>
          <w:tcPr>
            <w:tcW w:w="10240" w:type="dxa"/>
            <w:vAlign w:val="bottom"/>
            <w:gridSpan w:val="13"/>
          </w:tcPr>
          <w:p>
            <w:pPr>
              <w:ind w:left="360"/>
              <w:spacing w:after="0"/>
              <w:rPr>
                <w:sz w:val="20"/>
                <w:szCs w:val="20"/>
                <w:color w:val="auto"/>
              </w:rPr>
            </w:pPr>
            <w:r>
              <w:rPr>
                <w:rFonts w:ascii="Times New Roman" w:cs="Times New Roman" w:eastAsia="Times New Roman" w:hAnsi="Times New Roman"/>
                <w:sz w:val="18"/>
                <w:szCs w:val="18"/>
                <w:b w:val="1"/>
                <w:bCs w:val="1"/>
                <w:color w:val="auto"/>
              </w:rPr>
              <w:t>Exhibits and Financial Statement Schedules</w:t>
            </w:r>
          </w:p>
        </w:tc>
      </w:tr>
      <w:tr>
        <w:trPr>
          <w:trHeight w:val="338"/>
        </w:trPr>
        <w:tc>
          <w:tcPr>
            <w:tcW w:w="7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w:t>
            </w:r>
          </w:p>
        </w:tc>
        <w:tc>
          <w:tcPr>
            <w:tcW w:w="10240" w:type="dxa"/>
            <w:vAlign w:val="bottom"/>
            <w:gridSpan w:val="13"/>
          </w:tcPr>
          <w:p>
            <w:pPr>
              <w:ind w:left="240"/>
              <w:spacing w:after="0"/>
              <w:rPr>
                <w:sz w:val="20"/>
                <w:szCs w:val="20"/>
                <w:color w:val="auto"/>
              </w:rPr>
            </w:pPr>
            <w:r>
              <w:rPr>
                <w:rFonts w:ascii="Times New Roman" w:cs="Times New Roman" w:eastAsia="Times New Roman" w:hAnsi="Times New Roman"/>
                <w:sz w:val="18"/>
                <w:szCs w:val="18"/>
                <w:color w:val="auto"/>
              </w:rPr>
              <w:t>The following exhibits are filed as part of this Registration Statement:</w:t>
            </w:r>
          </w:p>
        </w:tc>
      </w:tr>
      <w:tr>
        <w:trPr>
          <w:trHeight w:val="392"/>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6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Document</w:t>
            </w:r>
          </w:p>
        </w:tc>
        <w:tc>
          <w:tcPr>
            <w:tcW w:w="4460" w:type="dxa"/>
            <w:vAlign w:val="bottom"/>
            <w:gridSpan w:val="7"/>
          </w:tcPr>
          <w:p>
            <w:pPr>
              <w:spacing w:after="0"/>
              <w:rPr>
                <w:sz w:val="24"/>
                <w:szCs w:val="24"/>
                <w:color w:val="auto"/>
              </w:rPr>
            </w:pPr>
          </w:p>
        </w:tc>
      </w:tr>
      <w:tr>
        <w:trPr>
          <w:trHeight w:val="277"/>
        </w:trPr>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1.1</w:t>
            </w:r>
          </w:p>
        </w:tc>
        <w:tc>
          <w:tcPr>
            <w:tcW w:w="620" w:type="dxa"/>
            <w:vAlign w:val="bottom"/>
          </w:tcPr>
          <w:p>
            <w:pPr>
              <w:spacing w:after="0"/>
              <w:rPr>
                <w:sz w:val="24"/>
                <w:szCs w:val="24"/>
                <w:color w:val="auto"/>
              </w:rPr>
            </w:pPr>
          </w:p>
        </w:tc>
        <w:tc>
          <w:tcPr>
            <w:tcW w:w="962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Form of Underwriting Agreement (Debt Securities)*</w:t>
            </w:r>
          </w:p>
        </w:tc>
      </w:tr>
      <w:tr>
        <w:trPr>
          <w:trHeight w:val="20"/>
        </w:trPr>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520" w:type="dxa"/>
            <w:vAlign w:val="bottom"/>
            <w:tcBorders>
              <w:left w:val="single" w:sz="8" w:color="0000EE"/>
            </w:tcBorders>
            <w:gridSpan w:val="3"/>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1.2</w:t>
            </w:r>
          </w:p>
        </w:tc>
        <w:tc>
          <w:tcPr>
            <w:tcW w:w="620" w:type="dxa"/>
            <w:vAlign w:val="bottom"/>
          </w:tcPr>
          <w:p>
            <w:pPr>
              <w:spacing w:after="0"/>
              <w:rPr>
                <w:sz w:val="24"/>
                <w:szCs w:val="24"/>
                <w:color w:val="auto"/>
              </w:rPr>
            </w:pPr>
          </w:p>
        </w:tc>
        <w:tc>
          <w:tcPr>
            <w:tcW w:w="53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Form of Underwriting Agreement Standard Provisions (Debt Securities)*</w:t>
            </w:r>
          </w:p>
        </w:tc>
        <w:tc>
          <w:tcPr>
            <w:tcW w:w="4320" w:type="dxa"/>
            <w:vAlign w:val="bottom"/>
            <w:gridSpan w:val="6"/>
          </w:tcPr>
          <w:p>
            <w:pPr>
              <w:spacing w:after="0"/>
              <w:rPr>
                <w:sz w:val="24"/>
                <w:szCs w:val="24"/>
                <w:color w:val="auto"/>
              </w:rPr>
            </w:pPr>
          </w:p>
        </w:tc>
      </w:tr>
      <w:tr>
        <w:trPr>
          <w:trHeight w:val="345"/>
        </w:trPr>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1.3</w:t>
            </w:r>
          </w:p>
        </w:tc>
        <w:tc>
          <w:tcPr>
            <w:tcW w:w="620" w:type="dxa"/>
            <w:vAlign w:val="bottom"/>
          </w:tcPr>
          <w:p>
            <w:pPr>
              <w:spacing w:after="0"/>
              <w:rPr>
                <w:sz w:val="24"/>
                <w:szCs w:val="24"/>
                <w:color w:val="auto"/>
              </w:rPr>
            </w:pPr>
          </w:p>
        </w:tc>
        <w:tc>
          <w:tcPr>
            <w:tcW w:w="96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Form of Underwriting Agreement (Preferred Stock, Depositary Shares, Common Stock, Warrants, Purchase Contracts and Units)**</w:t>
            </w:r>
          </w:p>
        </w:tc>
      </w:tr>
      <w:tr>
        <w:trPr>
          <w:trHeight w:val="283"/>
        </w:trPr>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4.1</w:t>
            </w:r>
          </w:p>
        </w:tc>
        <w:tc>
          <w:tcPr>
            <w:tcW w:w="620" w:type="dxa"/>
            <w:vAlign w:val="bottom"/>
          </w:tcPr>
          <w:p>
            <w:pPr>
              <w:spacing w:after="0"/>
              <w:rPr>
                <w:sz w:val="24"/>
                <w:szCs w:val="24"/>
                <w:color w:val="auto"/>
              </w:rPr>
            </w:pPr>
          </w:p>
        </w:tc>
        <w:tc>
          <w:tcPr>
            <w:tcW w:w="928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64">
              <w:r>
                <w:rPr>
                  <w:rFonts w:ascii="Times New Roman" w:cs="Times New Roman" w:eastAsia="Times New Roman" w:hAnsi="Times New Roman"/>
                  <w:sz w:val="18"/>
                  <w:szCs w:val="18"/>
                  <w:color w:val="0000EE"/>
                  <w:w w:val="99"/>
                </w:rPr>
                <w:t>Specimen Class A Common Stock Certificate (incorporated by reference to Comcast’s Annual Report on Form 10-K for the year</w:t>
              </w:r>
            </w:hyperlink>
          </w:p>
        </w:tc>
        <w:tc>
          <w:tcPr>
            <w:tcW w:w="340" w:type="dxa"/>
            <w:vAlign w:val="bottom"/>
            <w:gridSpan w:val="4"/>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20" w:type="dxa"/>
            <w:vAlign w:val="bottom"/>
            <w:gridSpan w:val="12"/>
          </w:tcPr>
          <w:p>
            <w:pPr>
              <w:spacing w:after="0" w:line="19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ended December 31, 2002, filed on March 20, 2003)</w:t>
              </w:r>
            </w:hyperlink>
          </w:p>
        </w:tc>
      </w:tr>
      <w:tr>
        <w:trPr>
          <w:trHeight w:val="20"/>
        </w:trPr>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546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4.2</w:t>
            </w:r>
          </w:p>
        </w:tc>
        <w:tc>
          <w:tcPr>
            <w:tcW w:w="620" w:type="dxa"/>
            <w:vAlign w:val="bottom"/>
          </w:tcPr>
          <w:p>
            <w:pPr>
              <w:spacing w:after="0"/>
              <w:rPr>
                <w:sz w:val="24"/>
                <w:szCs w:val="24"/>
                <w:color w:val="auto"/>
              </w:rPr>
            </w:pPr>
          </w:p>
        </w:tc>
        <w:tc>
          <w:tcPr>
            <w:tcW w:w="96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65">
              <w:r>
                <w:rPr>
                  <w:rFonts w:ascii="Times New Roman" w:cs="Times New Roman" w:eastAsia="Times New Roman" w:hAnsi="Times New Roman"/>
                  <w:sz w:val="18"/>
                  <w:szCs w:val="18"/>
                  <w:color w:val="0000EE"/>
                  <w:w w:val="99"/>
                </w:rPr>
                <w:t>Senior Indenture dated September 18, 2013 among the Company, the guarantors party thereto and The Bank of New York Mellon, as</w:t>
              </w:r>
            </w:hyperlink>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20" w:type="dxa"/>
            <w:vAlign w:val="bottom"/>
            <w:gridSpan w:val="12"/>
          </w:tcPr>
          <w:p>
            <w:pPr>
              <w:spacing w:after="0" w:line="19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Trustee (incorporated by reference to Comcast’s Registration Statement on Form S-3, as amended, filed on September 18, 2013)</w:t>
              </w:r>
            </w:hyperlink>
          </w:p>
        </w:tc>
      </w:tr>
      <w:tr>
        <w:trPr>
          <w:trHeight w:val="20"/>
        </w:trPr>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000" w:type="dxa"/>
            <w:vAlign w:val="bottom"/>
            <w:gridSpan w:val="5"/>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4.3</w:t>
            </w:r>
          </w:p>
        </w:tc>
        <w:tc>
          <w:tcPr>
            <w:tcW w:w="620" w:type="dxa"/>
            <w:vAlign w:val="bottom"/>
          </w:tcPr>
          <w:p>
            <w:pPr>
              <w:spacing w:after="0"/>
              <w:rPr>
                <w:sz w:val="24"/>
                <w:szCs w:val="24"/>
                <w:color w:val="auto"/>
              </w:rPr>
            </w:pPr>
          </w:p>
        </w:tc>
        <w:tc>
          <w:tcPr>
            <w:tcW w:w="9620" w:type="dxa"/>
            <w:vAlign w:val="bottom"/>
            <w:gridSpan w:val="12"/>
          </w:tcPr>
          <w:p>
            <w:pPr>
              <w:spacing w:after="0"/>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First Supplemental Indenture dated November 17, 2015 among the Company, the guarantors party thereto and The Bank of New</w:t>
              </w:r>
            </w:hyperlink>
          </w:p>
        </w:tc>
      </w:tr>
      <w:tr>
        <w:trPr>
          <w:trHeight w:val="20"/>
        </w:trPr>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060" w:type="dxa"/>
            <w:vAlign w:val="bottom"/>
            <w:gridSpan w:val="7"/>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20" w:type="dxa"/>
            <w:vAlign w:val="bottom"/>
            <w:gridSpan w:val="12"/>
          </w:tcPr>
          <w:p>
            <w:pPr>
              <w:spacing w:after="0" w:line="19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York Mellon, as Trustee (incorporated by reference to Comcast’s Registration Statement on Form S-3, filed on November 23, 2015)</w:t>
              </w:r>
            </w:hyperlink>
          </w:p>
        </w:tc>
      </w:tr>
      <w:tr>
        <w:trPr>
          <w:trHeight w:val="304"/>
        </w:trPr>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4.4</w:t>
            </w:r>
          </w:p>
        </w:tc>
        <w:tc>
          <w:tcPr>
            <w:tcW w:w="620" w:type="dxa"/>
            <w:vAlign w:val="bottom"/>
          </w:tcPr>
          <w:p>
            <w:pPr>
              <w:spacing w:after="0"/>
              <w:rPr>
                <w:sz w:val="24"/>
                <w:szCs w:val="24"/>
                <w:color w:val="auto"/>
              </w:rPr>
            </w:pPr>
          </w:p>
        </w:tc>
        <w:tc>
          <w:tcPr>
            <w:tcW w:w="9400" w:type="dxa"/>
            <w:vAlign w:val="bottom"/>
            <w:tcBorders>
              <w:top w:val="single" w:sz="8" w:color="0000EE"/>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Second Supplemental Indenture dated July 29, 2022 among the Company, the guarantors party thereto and The Bank of New York</w:t>
            </w:r>
          </w:p>
        </w:tc>
        <w:tc>
          <w:tcPr>
            <w:tcW w:w="1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4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Mellon, as Trustee*</w:t>
            </w:r>
          </w:p>
        </w:tc>
        <w:tc>
          <w:tcPr>
            <w:tcW w:w="8180" w:type="dxa"/>
            <w:vAlign w:val="bottom"/>
            <w:gridSpan w:val="11"/>
          </w:tcPr>
          <w:p>
            <w:pPr>
              <w:spacing w:after="0"/>
              <w:rPr>
                <w:sz w:val="17"/>
                <w:szCs w:val="17"/>
                <w:color w:val="auto"/>
              </w:rPr>
            </w:pPr>
          </w:p>
        </w:tc>
      </w:tr>
      <w:tr>
        <w:trPr>
          <w:trHeight w:val="304"/>
        </w:trPr>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4.5</w:t>
            </w:r>
          </w:p>
        </w:tc>
        <w:tc>
          <w:tcPr>
            <w:tcW w:w="620" w:type="dxa"/>
            <w:vAlign w:val="bottom"/>
          </w:tcPr>
          <w:p>
            <w:pPr>
              <w:spacing w:after="0"/>
              <w:rPr>
                <w:sz w:val="24"/>
                <w:szCs w:val="24"/>
                <w:color w:val="auto"/>
              </w:rPr>
            </w:pPr>
          </w:p>
        </w:tc>
        <w:tc>
          <w:tcPr>
            <w:tcW w:w="22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Form of Senior Debt Security*</w:t>
            </w:r>
          </w:p>
        </w:tc>
        <w:tc>
          <w:tcPr>
            <w:tcW w:w="7380" w:type="dxa"/>
            <w:vAlign w:val="bottom"/>
            <w:gridSpan w:val="10"/>
          </w:tcPr>
          <w:p>
            <w:pPr>
              <w:spacing w:after="0"/>
              <w:rPr>
                <w:sz w:val="24"/>
                <w:szCs w:val="24"/>
                <w:color w:val="auto"/>
              </w:rPr>
            </w:pPr>
          </w:p>
        </w:tc>
      </w:tr>
      <w:tr>
        <w:trPr>
          <w:trHeight w:val="345"/>
        </w:trPr>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4.6</w:t>
            </w:r>
          </w:p>
        </w:tc>
        <w:tc>
          <w:tcPr>
            <w:tcW w:w="620" w:type="dxa"/>
            <w:vAlign w:val="bottom"/>
          </w:tcPr>
          <w:p>
            <w:pPr>
              <w:spacing w:after="0"/>
              <w:rPr>
                <w:sz w:val="24"/>
                <w:szCs w:val="24"/>
                <w:color w:val="auto"/>
              </w:rPr>
            </w:pPr>
          </w:p>
        </w:tc>
        <w:tc>
          <w:tcPr>
            <w:tcW w:w="96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Form of Purchase Contract Agreement relating to Purchase Contracts**</w:t>
            </w:r>
          </w:p>
        </w:tc>
      </w:tr>
      <w:tr>
        <w:trPr>
          <w:trHeight w:val="324"/>
        </w:trPr>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4.7</w:t>
            </w:r>
          </w:p>
        </w:tc>
        <w:tc>
          <w:tcPr>
            <w:tcW w:w="620" w:type="dxa"/>
            <w:vAlign w:val="bottom"/>
          </w:tcPr>
          <w:p>
            <w:pPr>
              <w:spacing w:after="0"/>
              <w:rPr>
                <w:sz w:val="24"/>
                <w:szCs w:val="24"/>
                <w:color w:val="auto"/>
              </w:rPr>
            </w:pPr>
          </w:p>
        </w:tc>
        <w:tc>
          <w:tcPr>
            <w:tcW w:w="96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Form of Unit Agreement**</w:t>
            </w:r>
          </w:p>
        </w:tc>
      </w:tr>
      <w:tr>
        <w:trPr>
          <w:trHeight w:val="324"/>
        </w:trPr>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4.8</w:t>
            </w:r>
          </w:p>
        </w:tc>
        <w:tc>
          <w:tcPr>
            <w:tcW w:w="620" w:type="dxa"/>
            <w:vAlign w:val="bottom"/>
          </w:tcPr>
          <w:p>
            <w:pPr>
              <w:spacing w:after="0"/>
              <w:rPr>
                <w:sz w:val="24"/>
                <w:szCs w:val="24"/>
                <w:color w:val="auto"/>
              </w:rPr>
            </w:pPr>
          </w:p>
        </w:tc>
        <w:tc>
          <w:tcPr>
            <w:tcW w:w="96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Form of Warrant Agreement for Warrants sold separately**</w:t>
            </w:r>
          </w:p>
        </w:tc>
      </w:tr>
      <w:tr>
        <w:trPr>
          <w:trHeight w:val="324"/>
        </w:trPr>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4.9</w:t>
            </w:r>
          </w:p>
        </w:tc>
        <w:tc>
          <w:tcPr>
            <w:tcW w:w="620" w:type="dxa"/>
            <w:vAlign w:val="bottom"/>
          </w:tcPr>
          <w:p>
            <w:pPr>
              <w:spacing w:after="0"/>
              <w:rPr>
                <w:sz w:val="24"/>
                <w:szCs w:val="24"/>
                <w:color w:val="auto"/>
              </w:rPr>
            </w:pPr>
          </w:p>
        </w:tc>
        <w:tc>
          <w:tcPr>
            <w:tcW w:w="96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Form of Warrant for Warrants sold separately**</w:t>
            </w:r>
          </w:p>
        </w:tc>
      </w:tr>
      <w:tr>
        <w:trPr>
          <w:trHeight w:val="324"/>
        </w:trPr>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4.10</w:t>
            </w:r>
          </w:p>
        </w:tc>
        <w:tc>
          <w:tcPr>
            <w:tcW w:w="620" w:type="dxa"/>
            <w:vAlign w:val="bottom"/>
          </w:tcPr>
          <w:p>
            <w:pPr>
              <w:spacing w:after="0"/>
              <w:rPr>
                <w:sz w:val="24"/>
                <w:szCs w:val="24"/>
                <w:color w:val="auto"/>
              </w:rPr>
            </w:pPr>
          </w:p>
        </w:tc>
        <w:tc>
          <w:tcPr>
            <w:tcW w:w="96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Form of Warrant Agreement for Warrants sold attached to other Securities**</w:t>
            </w:r>
          </w:p>
        </w:tc>
      </w:tr>
      <w:tr>
        <w:trPr>
          <w:trHeight w:val="324"/>
        </w:trPr>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4.11</w:t>
            </w:r>
          </w:p>
        </w:tc>
        <w:tc>
          <w:tcPr>
            <w:tcW w:w="620" w:type="dxa"/>
            <w:vAlign w:val="bottom"/>
          </w:tcPr>
          <w:p>
            <w:pPr>
              <w:spacing w:after="0"/>
              <w:rPr>
                <w:sz w:val="24"/>
                <w:szCs w:val="24"/>
                <w:color w:val="auto"/>
              </w:rPr>
            </w:pPr>
          </w:p>
        </w:tc>
        <w:tc>
          <w:tcPr>
            <w:tcW w:w="96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Form of Warrant for Warrants sold attached to other Securities**</w:t>
            </w:r>
          </w:p>
        </w:tc>
      </w:tr>
      <w:tr>
        <w:trPr>
          <w:trHeight w:val="324"/>
        </w:trPr>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4.12</w:t>
            </w:r>
          </w:p>
        </w:tc>
        <w:tc>
          <w:tcPr>
            <w:tcW w:w="620" w:type="dxa"/>
            <w:vAlign w:val="bottom"/>
          </w:tcPr>
          <w:p>
            <w:pPr>
              <w:spacing w:after="0"/>
              <w:rPr>
                <w:sz w:val="24"/>
                <w:szCs w:val="24"/>
                <w:color w:val="auto"/>
              </w:rPr>
            </w:pPr>
          </w:p>
        </w:tc>
        <w:tc>
          <w:tcPr>
            <w:tcW w:w="96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Form of Pledge Agreement**</w:t>
            </w:r>
          </w:p>
        </w:tc>
      </w:tr>
      <w:tr>
        <w:trPr>
          <w:trHeight w:val="364"/>
        </w:trPr>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840" w:type="dxa"/>
            <w:vAlign w:val="bottom"/>
            <w:gridSpan w:val="9"/>
          </w:tcPr>
          <w:p>
            <w:pPr>
              <w:ind w:left="240"/>
              <w:spacing w:after="0"/>
              <w:rPr>
                <w:sz w:val="20"/>
                <w:szCs w:val="20"/>
                <w:color w:val="auto"/>
              </w:rPr>
            </w:pPr>
            <w:r>
              <w:rPr>
                <w:rFonts w:ascii="Times New Roman" w:cs="Times New Roman" w:eastAsia="Times New Roman" w:hAnsi="Times New Roman"/>
                <w:sz w:val="18"/>
                <w:szCs w:val="18"/>
                <w:color w:val="auto"/>
              </w:rPr>
              <w:t>II-4</w:t>
            </w:r>
          </w:p>
        </w:tc>
      </w:tr>
    </w:tbl>
    <w:p>
      <w:pPr>
        <w:sectPr>
          <w:pgSz w:w="11900" w:h="16838" w:orient="portrait"/>
          <w:cols w:equalWidth="0" w:num="1">
            <w:col w:w="11100"/>
          </w:cols>
          <w:pgMar w:left="320" w:top="455" w:right="4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Exhibit No.</w:t>
            </w:r>
          </w:p>
        </w:tc>
        <w:tc>
          <w:tcPr>
            <w:tcW w:w="6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Document</w:t>
            </w:r>
          </w:p>
        </w:tc>
        <w:tc>
          <w:tcPr>
            <w:tcW w:w="4300" w:type="dxa"/>
            <w:vAlign w:val="bottom"/>
            <w:gridSpan w:val="3"/>
          </w:tcPr>
          <w:p>
            <w:pPr>
              <w:spacing w:after="0"/>
              <w:rPr>
                <w:sz w:val="15"/>
                <w:szCs w:val="15"/>
                <w:color w:val="auto"/>
              </w:rPr>
            </w:pPr>
          </w:p>
        </w:tc>
      </w:tr>
      <w:tr>
        <w:trPr>
          <w:trHeight w:val="318"/>
        </w:trPr>
        <w:tc>
          <w:tcPr>
            <w:tcW w:w="7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4.13</w:t>
            </w:r>
          </w:p>
        </w:tc>
        <w:tc>
          <w:tcPr>
            <w:tcW w:w="620" w:type="dxa"/>
            <w:vAlign w:val="bottom"/>
          </w:tcPr>
          <w:p>
            <w:pPr>
              <w:spacing w:after="0"/>
              <w:rPr>
                <w:sz w:val="24"/>
                <w:szCs w:val="24"/>
                <w:color w:val="auto"/>
              </w:rPr>
            </w:pPr>
          </w:p>
        </w:tc>
        <w:tc>
          <w:tcPr>
            <w:tcW w:w="94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Form of Deposit Agreement**</w:t>
            </w:r>
          </w:p>
        </w:tc>
      </w:tr>
      <w:tr>
        <w:trPr>
          <w:trHeight w:val="324"/>
        </w:trPr>
        <w:tc>
          <w:tcPr>
            <w:tcW w:w="7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4.14</w:t>
            </w:r>
          </w:p>
        </w:tc>
        <w:tc>
          <w:tcPr>
            <w:tcW w:w="620" w:type="dxa"/>
            <w:vAlign w:val="bottom"/>
          </w:tcPr>
          <w:p>
            <w:pPr>
              <w:spacing w:after="0"/>
              <w:rPr>
                <w:sz w:val="24"/>
                <w:szCs w:val="24"/>
                <w:color w:val="auto"/>
              </w:rPr>
            </w:pPr>
          </w:p>
        </w:tc>
        <w:tc>
          <w:tcPr>
            <w:tcW w:w="94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Form of Depositary Share**</w:t>
            </w:r>
          </w:p>
        </w:tc>
      </w:tr>
      <w:tr>
        <w:trPr>
          <w:trHeight w:val="324"/>
        </w:trPr>
        <w:tc>
          <w:tcPr>
            <w:tcW w:w="7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4.15</w:t>
            </w:r>
          </w:p>
        </w:tc>
        <w:tc>
          <w:tcPr>
            <w:tcW w:w="620" w:type="dxa"/>
            <w:vAlign w:val="bottom"/>
          </w:tcPr>
          <w:p>
            <w:pPr>
              <w:spacing w:after="0"/>
              <w:rPr>
                <w:sz w:val="24"/>
                <w:szCs w:val="24"/>
                <w:color w:val="auto"/>
              </w:rPr>
            </w:pPr>
          </w:p>
        </w:tc>
        <w:tc>
          <w:tcPr>
            <w:tcW w:w="94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Form of Guarantee (Warrants, Purchase Contracts and Units)**</w:t>
            </w:r>
          </w:p>
        </w:tc>
      </w:tr>
      <w:tr>
        <w:trPr>
          <w:trHeight w:val="283"/>
        </w:trPr>
        <w:tc>
          <w:tcPr>
            <w:tcW w:w="7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5.1</w:t>
            </w:r>
          </w:p>
        </w:tc>
        <w:tc>
          <w:tcPr>
            <w:tcW w:w="620" w:type="dxa"/>
            <w:vAlign w:val="bottom"/>
          </w:tcPr>
          <w:p>
            <w:pPr>
              <w:spacing w:after="0"/>
              <w:rPr>
                <w:sz w:val="24"/>
                <w:szCs w:val="24"/>
                <w:color w:val="auto"/>
              </w:rPr>
            </w:pPr>
          </w:p>
        </w:tc>
        <w:tc>
          <w:tcPr>
            <w:tcW w:w="946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Opinion of Elizabeth Wideman, Esquire*</w:t>
            </w:r>
          </w:p>
        </w:tc>
      </w:tr>
      <w:tr>
        <w:trPr>
          <w:trHeight w:val="20"/>
        </w:trPr>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04"/>
        </w:trPr>
        <w:tc>
          <w:tcPr>
            <w:tcW w:w="7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5.2</w:t>
            </w:r>
          </w:p>
        </w:tc>
        <w:tc>
          <w:tcPr>
            <w:tcW w:w="620" w:type="dxa"/>
            <w:vAlign w:val="bottom"/>
          </w:tcPr>
          <w:p>
            <w:pPr>
              <w:spacing w:after="0"/>
              <w:rPr>
                <w:sz w:val="24"/>
                <w:szCs w:val="24"/>
                <w:color w:val="auto"/>
              </w:rPr>
            </w:pPr>
          </w:p>
        </w:tc>
        <w:tc>
          <w:tcPr>
            <w:tcW w:w="30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Opinion of Davis Polk &amp; Wardwell LLP*</w:t>
            </w:r>
          </w:p>
        </w:tc>
        <w:tc>
          <w:tcPr>
            <w:tcW w:w="6440" w:type="dxa"/>
            <w:vAlign w:val="bottom"/>
            <w:gridSpan w:val="9"/>
          </w:tcPr>
          <w:p>
            <w:pPr>
              <w:spacing w:after="0"/>
              <w:rPr>
                <w:sz w:val="24"/>
                <w:szCs w:val="24"/>
                <w:color w:val="auto"/>
              </w:rPr>
            </w:pPr>
          </w:p>
        </w:tc>
      </w:tr>
      <w:tr>
        <w:trPr>
          <w:trHeight w:val="304"/>
        </w:trPr>
        <w:tc>
          <w:tcPr>
            <w:tcW w:w="7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22.1</w:t>
            </w:r>
          </w:p>
        </w:tc>
        <w:tc>
          <w:tcPr>
            <w:tcW w:w="620" w:type="dxa"/>
            <w:vAlign w:val="bottom"/>
          </w:tcPr>
          <w:p>
            <w:pPr>
              <w:spacing w:after="0"/>
              <w:rPr>
                <w:sz w:val="24"/>
                <w:szCs w:val="24"/>
                <w:color w:val="auto"/>
              </w:rPr>
            </w:pPr>
          </w:p>
        </w:tc>
        <w:tc>
          <w:tcPr>
            <w:tcW w:w="92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68">
              <w:r>
                <w:rPr>
                  <w:rFonts w:ascii="Times New Roman" w:cs="Times New Roman" w:eastAsia="Times New Roman" w:hAnsi="Times New Roman"/>
                  <w:sz w:val="18"/>
                  <w:szCs w:val="18"/>
                  <w:color w:val="0000EE"/>
                  <w:w w:val="99"/>
                </w:rPr>
                <w:t>Subsidiary guarantors and issuers of guaranteed securities and affiliates whose securities collateralize securities of the registrant</w:t>
              </w:r>
            </w:hyperlink>
          </w:p>
        </w:tc>
        <w:tc>
          <w:tcPr>
            <w:tcW w:w="240" w:type="dxa"/>
            <w:vAlign w:val="bottom"/>
            <w:gridSpan w:val="2"/>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3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68">
              <w:r>
                <w:rPr>
                  <w:rFonts w:ascii="Times New Roman" w:cs="Times New Roman" w:eastAsia="Times New Roman" w:hAnsi="Times New Roman"/>
                  <w:sz w:val="18"/>
                  <w:szCs w:val="18"/>
                  <w:color w:val="0000EE"/>
                  <w:w w:val="99"/>
                </w:rPr>
                <w:t>(incorporated by reference to Exhibit 22 to Comcast’s Quarterly Report on Form 10-Q for the quarter ended September 30, 2021)</w:t>
              </w:r>
            </w:hyperlink>
          </w:p>
        </w:tc>
        <w:tc>
          <w:tcPr>
            <w:tcW w:w="140" w:type="dxa"/>
            <w:vAlign w:val="bottom"/>
          </w:tcPr>
          <w:p>
            <w:pPr>
              <w:spacing w:after="0"/>
              <w:rPr>
                <w:sz w:val="17"/>
                <w:szCs w:val="17"/>
                <w:color w:val="auto"/>
              </w:rPr>
            </w:pPr>
          </w:p>
        </w:tc>
      </w:tr>
      <w:tr>
        <w:trPr>
          <w:trHeight w:val="304"/>
        </w:trPr>
        <w:tc>
          <w:tcPr>
            <w:tcW w:w="7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23.1</w:t>
            </w:r>
          </w:p>
        </w:tc>
        <w:tc>
          <w:tcPr>
            <w:tcW w:w="620" w:type="dxa"/>
            <w:vAlign w:val="bottom"/>
          </w:tcPr>
          <w:p>
            <w:pPr>
              <w:spacing w:after="0"/>
              <w:rPr>
                <w:sz w:val="24"/>
                <w:szCs w:val="24"/>
                <w:color w:val="auto"/>
              </w:rPr>
            </w:pPr>
          </w:p>
        </w:tc>
        <w:tc>
          <w:tcPr>
            <w:tcW w:w="946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Consent of Deloitte &amp; Touche LLP*</w:t>
            </w:r>
          </w:p>
        </w:tc>
      </w:tr>
      <w:tr>
        <w:trPr>
          <w:trHeight w:val="20"/>
        </w:trPr>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720" w:type="dxa"/>
            <w:vAlign w:val="bottom"/>
            <w:gridSpan w:val="4"/>
          </w:tcPr>
          <w:p>
            <w:pPr>
              <w:spacing w:after="0" w:line="20" w:lineRule="exact"/>
              <w:rPr>
                <w:sz w:val="1"/>
                <w:szCs w:val="1"/>
                <w:color w:val="auto"/>
              </w:rPr>
            </w:pPr>
          </w:p>
        </w:tc>
      </w:tr>
      <w:tr>
        <w:trPr>
          <w:trHeight w:val="304"/>
        </w:trPr>
        <w:tc>
          <w:tcPr>
            <w:tcW w:w="7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23.2</w:t>
            </w:r>
          </w:p>
        </w:tc>
        <w:tc>
          <w:tcPr>
            <w:tcW w:w="620" w:type="dxa"/>
            <w:vAlign w:val="bottom"/>
          </w:tcPr>
          <w:p>
            <w:pPr>
              <w:spacing w:after="0"/>
              <w:rPr>
                <w:sz w:val="24"/>
                <w:szCs w:val="24"/>
                <w:color w:val="auto"/>
              </w:rPr>
            </w:pPr>
          </w:p>
        </w:tc>
        <w:tc>
          <w:tcPr>
            <w:tcW w:w="946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Consent of Elizabeth Wideman, Esquire (included in Exhibit 5.1)</w:t>
            </w:r>
          </w:p>
        </w:tc>
      </w:tr>
      <w:tr>
        <w:trPr>
          <w:trHeight w:val="20"/>
        </w:trPr>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60" w:type="dxa"/>
            <w:vAlign w:val="bottom"/>
            <w:gridSpan w:val="4"/>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720" w:type="dxa"/>
            <w:vAlign w:val="bottom"/>
            <w:gridSpan w:val="4"/>
          </w:tcPr>
          <w:p>
            <w:pPr>
              <w:spacing w:after="0" w:line="20" w:lineRule="exact"/>
              <w:rPr>
                <w:sz w:val="1"/>
                <w:szCs w:val="1"/>
                <w:color w:val="auto"/>
              </w:rPr>
            </w:pPr>
          </w:p>
        </w:tc>
      </w:tr>
      <w:tr>
        <w:trPr>
          <w:trHeight w:val="304"/>
        </w:trPr>
        <w:tc>
          <w:tcPr>
            <w:tcW w:w="7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23.3</w:t>
            </w:r>
          </w:p>
        </w:tc>
        <w:tc>
          <w:tcPr>
            <w:tcW w:w="620" w:type="dxa"/>
            <w:vAlign w:val="bottom"/>
          </w:tcPr>
          <w:p>
            <w:pPr>
              <w:spacing w:after="0"/>
              <w:rPr>
                <w:sz w:val="24"/>
                <w:szCs w:val="24"/>
                <w:color w:val="auto"/>
              </w:rPr>
            </w:pPr>
          </w:p>
        </w:tc>
        <w:tc>
          <w:tcPr>
            <w:tcW w:w="47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Consent of Davis Polk &amp; Wardwell LLP (included in Exhibit 5.2)</w:t>
            </w:r>
          </w:p>
        </w:tc>
        <w:tc>
          <w:tcPr>
            <w:tcW w:w="4720" w:type="dxa"/>
            <w:vAlign w:val="bottom"/>
            <w:gridSpan w:val="4"/>
          </w:tcPr>
          <w:p>
            <w:pPr>
              <w:spacing w:after="0"/>
              <w:rPr>
                <w:sz w:val="24"/>
                <w:szCs w:val="24"/>
                <w:color w:val="auto"/>
              </w:rPr>
            </w:pPr>
          </w:p>
        </w:tc>
      </w:tr>
      <w:tr>
        <w:trPr>
          <w:trHeight w:val="304"/>
        </w:trPr>
        <w:tc>
          <w:tcPr>
            <w:tcW w:w="7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24.1</w:t>
            </w:r>
          </w:p>
        </w:tc>
        <w:tc>
          <w:tcPr>
            <w:tcW w:w="620" w:type="dxa"/>
            <w:vAlign w:val="bottom"/>
          </w:tcPr>
          <w:p>
            <w:pPr>
              <w:spacing w:after="0"/>
              <w:rPr>
                <w:sz w:val="24"/>
                <w:szCs w:val="24"/>
                <w:color w:val="auto"/>
              </w:rPr>
            </w:pPr>
          </w:p>
        </w:tc>
        <w:tc>
          <w:tcPr>
            <w:tcW w:w="43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Powers of Attorney (included on the signature pages hereof)</w:t>
            </w:r>
          </w:p>
        </w:tc>
        <w:tc>
          <w:tcPr>
            <w:tcW w:w="5100" w:type="dxa"/>
            <w:vAlign w:val="bottom"/>
            <w:gridSpan w:val="7"/>
          </w:tcPr>
          <w:p>
            <w:pPr>
              <w:spacing w:after="0"/>
              <w:rPr>
                <w:sz w:val="24"/>
                <w:szCs w:val="24"/>
                <w:color w:val="auto"/>
              </w:rPr>
            </w:pPr>
          </w:p>
        </w:tc>
      </w:tr>
      <w:tr>
        <w:trPr>
          <w:trHeight w:val="304"/>
        </w:trPr>
        <w:tc>
          <w:tcPr>
            <w:tcW w:w="7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25.1</w:t>
            </w:r>
          </w:p>
        </w:tc>
        <w:tc>
          <w:tcPr>
            <w:tcW w:w="620" w:type="dxa"/>
            <w:vAlign w:val="bottom"/>
          </w:tcPr>
          <w:p>
            <w:pPr>
              <w:spacing w:after="0"/>
              <w:rPr>
                <w:sz w:val="24"/>
                <w:szCs w:val="24"/>
                <w:color w:val="auto"/>
              </w:rPr>
            </w:pPr>
          </w:p>
        </w:tc>
        <w:tc>
          <w:tcPr>
            <w:tcW w:w="946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Statement of Eligibility under the Trust Indenture Act of 1939, as amended, of The Bank of New York Mellon, as Trustee under the</w:t>
            </w: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Senior Indenture, dated as of September 18, 2013*</w:t>
            </w:r>
          </w:p>
        </w:tc>
        <w:tc>
          <w:tcPr>
            <w:tcW w:w="5800" w:type="dxa"/>
            <w:vAlign w:val="bottom"/>
            <w:gridSpan w:val="8"/>
          </w:tcPr>
          <w:p>
            <w:pPr>
              <w:spacing w:after="0"/>
              <w:rPr>
                <w:sz w:val="17"/>
                <w:szCs w:val="17"/>
                <w:color w:val="auto"/>
              </w:rPr>
            </w:pPr>
          </w:p>
        </w:tc>
      </w:tr>
    </w:tbl>
    <w:p>
      <w:pPr>
        <w:spacing w:after="0" w:line="117" w:lineRule="exact"/>
        <w:rPr>
          <w:sz w:val="20"/>
          <w:szCs w:val="20"/>
          <w:color w:val="auto"/>
        </w:rPr>
      </w:pPr>
    </w:p>
    <w:p>
      <w:pPr>
        <w:ind w:left="1460" w:hanging="1344"/>
        <w:spacing w:after="0"/>
        <w:tabs>
          <w:tab w:leader="none" w:pos="14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111760</wp:posOffset>
            </wp:positionV>
            <wp:extent cx="7715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92" w:lineRule="exact"/>
        <w:rPr>
          <w:sz w:val="20"/>
          <w:szCs w:val="20"/>
          <w:color w:val="auto"/>
        </w:rPr>
      </w:pPr>
    </w:p>
    <w:p>
      <w:pPr>
        <w:ind w:left="540" w:hanging="424"/>
        <w:spacing w:after="0"/>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540" w:hanging="424"/>
        <w:spacing w:after="0"/>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by Current Report on Form 8-K.</w:t>
      </w:r>
    </w:p>
    <w:p>
      <w:pPr>
        <w:spacing w:after="0" w:line="351"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17.</w:t>
      </w:r>
      <w:r>
        <w:rPr>
          <w:sz w:val="20"/>
          <w:szCs w:val="20"/>
          <w:color w:val="auto"/>
        </w:rPr>
        <w:tab/>
      </w:r>
      <w:r>
        <w:rPr>
          <w:rFonts w:ascii="Times New Roman" w:cs="Times New Roman" w:eastAsia="Times New Roman" w:hAnsi="Times New Roman"/>
          <w:sz w:val="18"/>
          <w:szCs w:val="18"/>
          <w:b w:val="1"/>
          <w:bCs w:val="1"/>
          <w:color w:val="auto"/>
        </w:rPr>
        <w:t>Undertakings</w:t>
      </w:r>
    </w:p>
    <w:p>
      <w:pPr>
        <w:spacing w:after="0" w:line="135" w:lineRule="exact"/>
        <w:rPr>
          <w:sz w:val="20"/>
          <w:szCs w:val="20"/>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registrants hereby undertake:</w:t>
      </w:r>
    </w:p>
    <w:p>
      <w:pPr>
        <w:spacing w:after="0" w:line="117" w:lineRule="exact"/>
        <w:rPr>
          <w:rFonts w:ascii="Times New Roman" w:cs="Times New Roman" w:eastAsia="Times New Roman" w:hAnsi="Times New Roman"/>
          <w:sz w:val="18"/>
          <w:szCs w:val="18"/>
          <w:color w:val="auto"/>
        </w:rPr>
      </w:pPr>
    </w:p>
    <w:p>
      <w:pPr>
        <w:ind w:left="1240" w:hanging="261"/>
        <w:spacing w:after="0"/>
        <w:tabs>
          <w:tab w:leader="none" w:pos="12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17" w:lineRule="exact"/>
        <w:rPr>
          <w:rFonts w:ascii="Times New Roman" w:cs="Times New Roman" w:eastAsia="Times New Roman" w:hAnsi="Times New Roman"/>
          <w:sz w:val="18"/>
          <w:szCs w:val="18"/>
          <w:color w:val="auto"/>
        </w:rPr>
      </w:pPr>
    </w:p>
    <w:p>
      <w:pPr>
        <w:ind w:left="1720" w:hanging="212"/>
        <w:spacing w:after="0"/>
        <w:tabs>
          <w:tab w:leader="none" w:pos="1720"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117" w:lineRule="exact"/>
        <w:rPr>
          <w:rFonts w:ascii="Times New Roman" w:cs="Times New Roman" w:eastAsia="Times New Roman" w:hAnsi="Times New Roman"/>
          <w:sz w:val="18"/>
          <w:szCs w:val="18"/>
          <w:color w:val="auto"/>
        </w:rPr>
      </w:pPr>
    </w:p>
    <w:p>
      <w:pPr>
        <w:ind w:left="1100" w:firstLine="408"/>
        <w:spacing w:after="0" w:line="255" w:lineRule="auto"/>
        <w:tabs>
          <w:tab w:leader="none" w:pos="1766"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80" w:lineRule="exact"/>
        <w:rPr>
          <w:rFonts w:ascii="Times New Roman" w:cs="Times New Roman" w:eastAsia="Times New Roman" w:hAnsi="Times New Roman"/>
          <w:sz w:val="18"/>
          <w:szCs w:val="18"/>
          <w:color w:val="auto"/>
        </w:rPr>
      </w:pPr>
    </w:p>
    <w:p>
      <w:pPr>
        <w:ind w:left="1100" w:firstLine="408"/>
        <w:spacing w:after="0" w:line="282" w:lineRule="auto"/>
        <w:tabs>
          <w:tab w:leader="none" w:pos="1816"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2"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(a)(1)(i), (a)(1)(ii) and (a)(1)(iii) of this section do not apply if the information required to be included in a post-effective amendment by those paragraphs is contained in reports filed with or furnished to the Commission by the registrants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060"/>
          </w:cols>
          <w:pgMar w:left="320" w:top="455" w:right="5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right="20" w:firstLine="419"/>
        <w:spacing w:after="0" w:line="266" w:lineRule="auto"/>
        <w:tabs>
          <w:tab w:leader="none" w:pos="123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67" w:lineRule="exact"/>
        <w:rPr>
          <w:rFonts w:ascii="Times New Roman" w:cs="Times New Roman" w:eastAsia="Times New Roman" w:hAnsi="Times New Roman"/>
          <w:sz w:val="18"/>
          <w:szCs w:val="18"/>
          <w:color w:val="auto"/>
        </w:rPr>
      </w:pPr>
    </w:p>
    <w:p>
      <w:pPr>
        <w:ind w:left="560" w:right="200" w:firstLine="419"/>
        <w:spacing w:after="0" w:line="282" w:lineRule="auto"/>
        <w:tabs>
          <w:tab w:leader="none" w:pos="123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53" w:lineRule="exact"/>
        <w:rPr>
          <w:rFonts w:ascii="Times New Roman" w:cs="Times New Roman" w:eastAsia="Times New Roman" w:hAnsi="Times New Roman"/>
          <w:sz w:val="18"/>
          <w:szCs w:val="18"/>
          <w:color w:val="auto"/>
        </w:rPr>
      </w:pPr>
    </w:p>
    <w:p>
      <w:pPr>
        <w:ind w:left="1240" w:hanging="261"/>
        <w:spacing w:after="0"/>
        <w:tabs>
          <w:tab w:leader="none" w:pos="12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w:t>
      </w:r>
    </w:p>
    <w:p>
      <w:pPr>
        <w:spacing w:after="0" w:line="117" w:lineRule="exact"/>
        <w:rPr>
          <w:rFonts w:ascii="Times New Roman" w:cs="Times New Roman" w:eastAsia="Times New Roman" w:hAnsi="Times New Roman"/>
          <w:sz w:val="18"/>
          <w:szCs w:val="18"/>
          <w:color w:val="auto"/>
        </w:rPr>
      </w:pPr>
    </w:p>
    <w:p>
      <w:pPr>
        <w:ind w:left="1100" w:right="220" w:firstLine="408"/>
        <w:spacing w:after="0" w:line="282" w:lineRule="auto"/>
        <w:tabs>
          <w:tab w:leader="none" w:pos="1716"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registrants pursuant to Rule 424(b)(3) shall be deemed to be part of the registration statement as of the date the filed prospectus was deemed part of and included in the registration statement; and</w:t>
      </w:r>
    </w:p>
    <w:p>
      <w:pPr>
        <w:spacing w:after="0" w:line="53" w:lineRule="exact"/>
        <w:rPr>
          <w:rFonts w:ascii="Times New Roman" w:cs="Times New Roman" w:eastAsia="Times New Roman" w:hAnsi="Times New Roman"/>
          <w:sz w:val="18"/>
          <w:szCs w:val="18"/>
          <w:color w:val="auto"/>
        </w:rPr>
      </w:pPr>
    </w:p>
    <w:p>
      <w:pPr>
        <w:ind w:left="1100" w:right="60" w:firstLine="408"/>
        <w:spacing w:after="0" w:line="253" w:lineRule="auto"/>
        <w:tabs>
          <w:tab w:leader="none" w:pos="1766"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81" w:lineRule="exact"/>
        <w:rPr>
          <w:rFonts w:ascii="Times New Roman" w:cs="Times New Roman" w:eastAsia="Times New Roman" w:hAnsi="Times New Roman"/>
          <w:sz w:val="18"/>
          <w:szCs w:val="18"/>
          <w:color w:val="auto"/>
        </w:rPr>
      </w:pPr>
    </w:p>
    <w:p>
      <w:pPr>
        <w:ind w:left="560" w:firstLine="419"/>
        <w:spacing w:after="0" w:line="282" w:lineRule="auto"/>
        <w:tabs>
          <w:tab w:leader="none" w:pos="123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registrants under the Securities Act of 1933 to any purchaser in the initial distribution of the securities:</w:t>
      </w:r>
    </w:p>
    <w:p>
      <w:pPr>
        <w:spacing w:after="0" w:line="54" w:lineRule="exact"/>
        <w:rPr>
          <w:sz w:val="20"/>
          <w:szCs w:val="20"/>
          <w:color w:val="auto"/>
        </w:rPr>
      </w:pPr>
    </w:p>
    <w:p>
      <w:pPr>
        <w:ind w:left="1100" w:right="40" w:firstLine="401"/>
        <w:spacing w:after="0" w:line="261" w:lineRule="auto"/>
        <w:rPr>
          <w:sz w:val="20"/>
          <w:szCs w:val="20"/>
          <w:color w:val="auto"/>
        </w:rPr>
      </w:pPr>
      <w:r>
        <w:rPr>
          <w:rFonts w:ascii="Times New Roman" w:cs="Times New Roman" w:eastAsia="Times New Roman" w:hAnsi="Times New Roman"/>
          <w:sz w:val="18"/>
          <w:szCs w:val="18"/>
          <w:color w:val="auto"/>
        </w:rPr>
        <w:t>The undersigned registrants undertake that in a primary offering of securities of the undersigned registrants pursuant to this registration statement, regardless of the underwriting method used to sell the securities to the purchaser, if the securities are offered or sold to such purchaser by means of any of the following communications, the undersigned registrants will be sellers to the purchaser and will be considered to offer or sell such securities to such purchaser:</w:t>
      </w:r>
    </w:p>
    <w:p>
      <w:pPr>
        <w:spacing w:after="0" w:line="72" w:lineRule="exact"/>
        <w:rPr>
          <w:sz w:val="20"/>
          <w:szCs w:val="20"/>
          <w:color w:val="auto"/>
        </w:rPr>
      </w:pPr>
    </w:p>
    <w:p>
      <w:pPr>
        <w:ind w:left="1100" w:right="260" w:firstLine="408"/>
        <w:spacing w:after="0" w:line="282" w:lineRule="auto"/>
        <w:tabs>
          <w:tab w:leader="none" w:pos="1716"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registrants relating to the offering required to be filed pursuant to Rule 424;</w:t>
      </w:r>
    </w:p>
    <w:p>
      <w:pPr>
        <w:spacing w:after="0" w:line="53" w:lineRule="exact"/>
        <w:rPr>
          <w:rFonts w:ascii="Times New Roman" w:cs="Times New Roman" w:eastAsia="Times New Roman" w:hAnsi="Times New Roman"/>
          <w:sz w:val="18"/>
          <w:szCs w:val="18"/>
          <w:color w:val="auto"/>
        </w:rPr>
      </w:pPr>
    </w:p>
    <w:p>
      <w:pPr>
        <w:ind w:left="1100" w:right="120" w:firstLine="408"/>
        <w:spacing w:after="0" w:line="282" w:lineRule="auto"/>
        <w:tabs>
          <w:tab w:leader="none" w:pos="1766"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registrants or used or referred to by the undersigned registrants;</w:t>
      </w:r>
    </w:p>
    <w:p>
      <w:pPr>
        <w:spacing w:after="0" w:line="53" w:lineRule="exact"/>
        <w:rPr>
          <w:rFonts w:ascii="Times New Roman" w:cs="Times New Roman" w:eastAsia="Times New Roman" w:hAnsi="Times New Roman"/>
          <w:sz w:val="18"/>
          <w:szCs w:val="18"/>
          <w:color w:val="auto"/>
        </w:rPr>
      </w:pPr>
    </w:p>
    <w:p>
      <w:pPr>
        <w:ind w:left="1100" w:right="200" w:firstLine="408"/>
        <w:spacing w:after="0" w:line="282" w:lineRule="auto"/>
        <w:tabs>
          <w:tab w:leader="none" w:pos="1816"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registrants or their securities provided by or on behalf of the undersigned registrants; and</w:t>
      </w:r>
    </w:p>
    <w:p>
      <w:pPr>
        <w:spacing w:after="0" w:line="53" w:lineRule="exact"/>
        <w:rPr>
          <w:rFonts w:ascii="Times New Roman" w:cs="Times New Roman" w:eastAsia="Times New Roman" w:hAnsi="Times New Roman"/>
          <w:sz w:val="18"/>
          <w:szCs w:val="18"/>
          <w:color w:val="auto"/>
        </w:rPr>
      </w:pPr>
    </w:p>
    <w:p>
      <w:pPr>
        <w:ind w:left="1820" w:hanging="312"/>
        <w:spacing w:after="0"/>
        <w:tabs>
          <w:tab w:leader="none" w:pos="18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registrants to the purchaser.</w:t>
      </w:r>
    </w:p>
    <w:p>
      <w:pPr>
        <w:spacing w:after="0" w:line="130" w:lineRule="exact"/>
        <w:rPr>
          <w:rFonts w:ascii="Times New Roman" w:cs="Times New Roman" w:eastAsia="Times New Roman" w:hAnsi="Times New Roman"/>
          <w:sz w:val="18"/>
          <w:szCs w:val="18"/>
          <w:color w:val="auto"/>
        </w:rPr>
      </w:pPr>
    </w:p>
    <w:p>
      <w:pPr>
        <w:ind w:left="1080" w:hanging="532"/>
        <w:spacing w:after="0" w:line="261"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registrants hereby undertake that, for purposes of determining any liability under the Securities Act of 1933, each filing of Comcast Corporation’s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line="282" w:lineRule="auto"/>
        <w:rPr>
          <w:sz w:val="20"/>
          <w:szCs w:val="20"/>
          <w:color w:val="auto"/>
        </w:rPr>
      </w:pPr>
      <w:r>
        <w:rPr>
          <w:rFonts w:ascii="Times New Roman" w:cs="Times New Roman" w:eastAsia="Times New Roman" w:hAnsi="Times New Roman"/>
          <w:sz w:val="18"/>
          <w:szCs w:val="18"/>
          <w:color w:val="auto"/>
        </w:rPr>
        <w:t>statement relating to the securities offered therein, and the offering of such securities at that time shall be deemed to be the initial bona fide offering thereof.</w:t>
      </w:r>
    </w:p>
    <w:p>
      <w:pPr>
        <w:spacing w:after="0" w:line="67" w:lineRule="exact"/>
        <w:rPr>
          <w:sz w:val="20"/>
          <w:szCs w:val="20"/>
          <w:color w:val="auto"/>
        </w:rPr>
      </w:pPr>
    </w:p>
    <w:p>
      <w:pPr>
        <w:ind w:left="1080" w:right="40" w:hanging="532"/>
        <w:spacing w:after="0" w:line="254"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registrants pursuant to the foregoing provisions, or otherwise, the registrants have been advised that in the opinion of the Commission such indemnification is against public policy as expressed in the Securities Act of 1933 and is, therefore, unenforceable. In the event that a claim for indemnification against such liabilities (other than the payment by the registrants of expenses incurred or paid by a director, officer or controlling person of the registrants in the successful defense of any action, suit or proceeding) is asserted by such director, officer or controlling person in connection with the securities being registered, the registrants will, unless in the opinion of their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93" w:lineRule="exact"/>
        <w:rPr>
          <w:rFonts w:ascii="Times New Roman" w:cs="Times New Roman" w:eastAsia="Times New Roman" w:hAnsi="Times New Roman"/>
          <w:sz w:val="18"/>
          <w:szCs w:val="18"/>
          <w:color w:val="auto"/>
        </w:rPr>
      </w:pPr>
    </w:p>
    <w:p>
      <w:pPr>
        <w:ind w:left="1080" w:hanging="532"/>
        <w:spacing w:after="0" w:line="266"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to file an application for the purpose of determining the eligibility of the trustee to act under subsection (a) of section 310 of the Trust Indenture Act (“Act”) in accordance with the rules and regulations prescribed by the Commission under section 305(b)(2) of the Act.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II-7</w:t>
      </w:r>
    </w:p>
    <w:p>
      <w:pPr>
        <w:sectPr>
          <w:pgSz w:w="11900" w:h="16838" w:orient="portrait"/>
          <w:cols w:equalWidth="0" w:num="1">
            <w:col w:w="11100"/>
          </w:cols>
          <w:pgMar w:left="320" w:top="455" w:right="4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 AND POWER OF ATTORNEY FOR COMCAST CORPORATION</w:t>
      </w:r>
    </w:p>
    <w:p>
      <w:pPr>
        <w:spacing w:after="0" w:line="229"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Comcast Corporation certifies that it has reasonable grounds to believe that it meets all of the requirements for filing on Form S-3 and has duly caused this Registration Statement to be signed on its behalf by the undersigned, thereunto duly authorized, in the City of Philadelphia, Commonwealth of Pennsylvania, on July 29, 2022.</w:t>
      </w:r>
    </w:p>
    <w:p>
      <w:pPr>
        <w:spacing w:after="0" w:line="20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225" w:lineRule="exact"/>
        <w:rPr>
          <w:sz w:val="20"/>
          <w:szCs w:val="20"/>
          <w:color w:val="auto"/>
        </w:rPr>
      </w:pPr>
    </w:p>
    <w:tbl>
      <w:tblPr>
        <w:tblLayout w:type="fixed"/>
        <w:tblInd w:w="67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/s/   T</w:t>
            </w:r>
            <w:r>
              <w:rPr>
                <w:rFonts w:ascii="Times New Roman" w:cs="Times New Roman" w:eastAsia="Times New Roman" w:hAnsi="Times New Roman"/>
                <w:sz w:val="14"/>
                <w:szCs w:val="14"/>
                <w:color w:val="auto"/>
              </w:rPr>
              <w:t>HOMAS</w:t>
            </w:r>
            <w:r>
              <w:rPr>
                <w:rFonts w:ascii="Times New Roman" w:cs="Times New Roman" w:eastAsia="Times New Roman" w:hAnsi="Times New Roman"/>
                <w:sz w:val="18"/>
                <w:szCs w:val="18"/>
                <w:color w:val="auto"/>
              </w:rPr>
              <w:t xml:space="preserve"> J. R</w:t>
            </w:r>
            <w:r>
              <w:rPr>
                <w:rFonts w:ascii="Times New Roman" w:cs="Times New Roman" w:eastAsia="Times New Roman" w:hAnsi="Times New Roman"/>
                <w:sz w:val="14"/>
                <w:szCs w:val="14"/>
                <w:color w:val="auto"/>
              </w:rPr>
              <w:t>EID</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Thomas J. Reid</w:t>
            </w:r>
          </w:p>
        </w:tc>
      </w:tr>
      <w:tr>
        <w:trPr>
          <w:trHeight w:val="25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Chief Legal Officer and Secretary</w:t>
            </w:r>
          </w:p>
        </w:tc>
      </w:tr>
    </w:tbl>
    <w:p>
      <w:pPr>
        <w:spacing w:after="0" w:line="18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KNOW ALL MEN BY THESE PRESENTS, that each person whose signature appears below hereby constitutes and appoints Brian L. Roberts, Michael J. Cavanagh, Daniel C. Murdock and Thomas J. Reid and each of them, his or her true and lawful attorneys-in-fact and agents, with full power of substitution and resubstitution, for him or her and in his or her name, place and stead, in any and all capacities, to sign any and all amendments to this Registration Statement (including post-effective amendments),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substitute or substitutes, may lawfully do or cause to be done by virtue hereof.</w:t>
      </w:r>
    </w:p>
    <w:p>
      <w:pPr>
        <w:spacing w:after="0" w:line="192"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0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6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0"/>
        </w:trPr>
        <w:tc>
          <w:tcPr>
            <w:tcW w:w="1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26"/>
        </w:trPr>
        <w:tc>
          <w:tcPr>
            <w:tcW w:w="108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w w:val="93"/>
              </w:rPr>
              <w:t>/s/</w:t>
            </w:r>
          </w:p>
        </w:tc>
        <w:tc>
          <w:tcPr>
            <w:tcW w:w="2800" w:type="dxa"/>
            <w:vAlign w:val="bottom"/>
            <w:tcBorders>
              <w:bottom w:val="single" w:sz="8" w:color="auto"/>
            </w:tcBorders>
            <w:gridSpan w:val="3"/>
          </w:tcPr>
          <w:p>
            <w:pPr>
              <w:jc w:val="center"/>
              <w:ind w:right="1020"/>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4"/>
                <w:szCs w:val="14"/>
                <w:color w:val="auto"/>
              </w:rPr>
              <w:t>RIAN</w:t>
            </w:r>
            <w:r>
              <w:rPr>
                <w:rFonts w:ascii="Times New Roman" w:cs="Times New Roman" w:eastAsia="Times New Roman" w:hAnsi="Times New Roman"/>
                <w:sz w:val="18"/>
                <w:szCs w:val="18"/>
                <w:color w:val="auto"/>
              </w:rPr>
              <w:t xml:space="preserve"> L. R</w:t>
            </w:r>
            <w:r>
              <w:rPr>
                <w:rFonts w:ascii="Times New Roman" w:cs="Times New Roman" w:eastAsia="Times New Roman" w:hAnsi="Times New Roman"/>
                <w:sz w:val="14"/>
                <w:szCs w:val="14"/>
                <w:color w:val="auto"/>
              </w:rPr>
              <w:t>OBERTS</w:t>
            </w:r>
          </w:p>
        </w:tc>
        <w:tc>
          <w:tcPr>
            <w:tcW w:w="506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w w:val="99"/>
              </w:rPr>
              <w:t>Chairman and Chief Executive Officer; Director</w:t>
            </w:r>
          </w:p>
        </w:tc>
        <w:tc>
          <w:tcPr>
            <w:tcW w:w="1660" w:type="dxa"/>
            <w:vAlign w:val="bottom"/>
            <w:gridSpan w:val="3"/>
          </w:tcPr>
          <w:p>
            <w:pPr>
              <w:jc w:val="center"/>
              <w:ind w:left="610"/>
              <w:spacing w:after="0"/>
              <w:rPr>
                <w:sz w:val="20"/>
                <w:szCs w:val="20"/>
                <w:color w:val="auto"/>
              </w:rPr>
            </w:pPr>
            <w:r>
              <w:rPr>
                <w:rFonts w:ascii="Times New Roman" w:cs="Times New Roman" w:eastAsia="Times New Roman" w:hAnsi="Times New Roman"/>
                <w:sz w:val="18"/>
                <w:szCs w:val="18"/>
                <w:color w:val="auto"/>
                <w:w w:val="98"/>
              </w:rPr>
              <w:t>July 29, 2022</w:t>
            </w:r>
          </w:p>
        </w:tc>
      </w:tr>
      <w:tr>
        <w:trPr>
          <w:trHeight w:val="214"/>
        </w:trPr>
        <w:tc>
          <w:tcPr>
            <w:tcW w:w="1080" w:type="dxa"/>
            <w:vAlign w:val="bottom"/>
          </w:tcPr>
          <w:p>
            <w:pPr>
              <w:spacing w:after="0"/>
              <w:rPr>
                <w:sz w:val="18"/>
                <w:szCs w:val="18"/>
                <w:color w:val="auto"/>
              </w:rPr>
            </w:pPr>
          </w:p>
        </w:tc>
        <w:tc>
          <w:tcPr>
            <w:tcW w:w="2800" w:type="dxa"/>
            <w:vAlign w:val="bottom"/>
            <w:gridSpan w:val="3"/>
          </w:tcPr>
          <w:p>
            <w:pPr>
              <w:jc w:val="center"/>
              <w:ind w:right="1080"/>
              <w:spacing w:after="0"/>
              <w:rPr>
                <w:sz w:val="20"/>
                <w:szCs w:val="20"/>
                <w:color w:val="auto"/>
              </w:rPr>
            </w:pPr>
            <w:r>
              <w:rPr>
                <w:rFonts w:ascii="Times New Roman" w:cs="Times New Roman" w:eastAsia="Times New Roman" w:hAnsi="Times New Roman"/>
                <w:sz w:val="14"/>
                <w:szCs w:val="14"/>
                <w:b w:val="1"/>
                <w:bCs w:val="1"/>
                <w:color w:val="auto"/>
              </w:rPr>
              <w:t>Brian L. Roberts</w:t>
            </w:r>
          </w:p>
        </w:tc>
        <w:tc>
          <w:tcPr>
            <w:tcW w:w="506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414"/>
        </w:trPr>
        <w:tc>
          <w:tcPr>
            <w:tcW w:w="108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/s/</w:t>
            </w:r>
          </w:p>
        </w:tc>
        <w:tc>
          <w:tcPr>
            <w:tcW w:w="2800" w:type="dxa"/>
            <w:vAlign w:val="bottom"/>
            <w:tcBorders>
              <w:bottom w:val="single" w:sz="8" w:color="auto"/>
            </w:tcBorders>
            <w:gridSpan w:val="3"/>
          </w:tcPr>
          <w:p>
            <w:pPr>
              <w:jc w:val="center"/>
              <w:ind w:right="1040"/>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ICHAEL</w:t>
            </w:r>
            <w:r>
              <w:rPr>
                <w:rFonts w:ascii="Times New Roman" w:cs="Times New Roman" w:eastAsia="Times New Roman" w:hAnsi="Times New Roman"/>
                <w:sz w:val="18"/>
                <w:szCs w:val="18"/>
                <w:color w:val="auto"/>
              </w:rPr>
              <w:t xml:space="preserve"> J. C</w:t>
            </w:r>
            <w:r>
              <w:rPr>
                <w:rFonts w:ascii="Times New Roman" w:cs="Times New Roman" w:eastAsia="Times New Roman" w:hAnsi="Times New Roman"/>
                <w:sz w:val="14"/>
                <w:szCs w:val="14"/>
                <w:color w:val="auto"/>
              </w:rPr>
              <w:t>AVANAGH</w:t>
            </w:r>
          </w:p>
        </w:tc>
        <w:tc>
          <w:tcPr>
            <w:tcW w:w="506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660" w:type="dxa"/>
            <w:vAlign w:val="bottom"/>
            <w:gridSpan w:val="3"/>
          </w:tcPr>
          <w:p>
            <w:pPr>
              <w:jc w:val="center"/>
              <w:ind w:left="610"/>
              <w:spacing w:after="0"/>
              <w:rPr>
                <w:sz w:val="20"/>
                <w:szCs w:val="20"/>
                <w:color w:val="auto"/>
              </w:rPr>
            </w:pPr>
            <w:r>
              <w:rPr>
                <w:rFonts w:ascii="Times New Roman" w:cs="Times New Roman" w:eastAsia="Times New Roman" w:hAnsi="Times New Roman"/>
                <w:sz w:val="18"/>
                <w:szCs w:val="18"/>
                <w:color w:val="auto"/>
                <w:w w:val="98"/>
              </w:rPr>
              <w:t>July 29, 2022</w:t>
            </w:r>
          </w:p>
        </w:tc>
      </w:tr>
      <w:tr>
        <w:trPr>
          <w:trHeight w:val="214"/>
        </w:trPr>
        <w:tc>
          <w:tcPr>
            <w:tcW w:w="1080" w:type="dxa"/>
            <w:vAlign w:val="bottom"/>
          </w:tcPr>
          <w:p>
            <w:pPr>
              <w:spacing w:after="0"/>
              <w:rPr>
                <w:sz w:val="18"/>
                <w:szCs w:val="18"/>
                <w:color w:val="auto"/>
              </w:rPr>
            </w:pPr>
          </w:p>
        </w:tc>
        <w:tc>
          <w:tcPr>
            <w:tcW w:w="2800" w:type="dxa"/>
            <w:vAlign w:val="bottom"/>
            <w:gridSpan w:val="3"/>
          </w:tcPr>
          <w:p>
            <w:pPr>
              <w:jc w:val="center"/>
              <w:ind w:right="1080"/>
              <w:spacing w:after="0"/>
              <w:rPr>
                <w:sz w:val="20"/>
                <w:szCs w:val="20"/>
                <w:color w:val="auto"/>
              </w:rPr>
            </w:pPr>
            <w:r>
              <w:rPr>
                <w:rFonts w:ascii="Times New Roman" w:cs="Times New Roman" w:eastAsia="Times New Roman" w:hAnsi="Times New Roman"/>
                <w:sz w:val="14"/>
                <w:szCs w:val="14"/>
                <w:b w:val="1"/>
                <w:bCs w:val="1"/>
                <w:color w:val="auto"/>
              </w:rPr>
              <w:t>Michael J. Cavanagh</w:t>
            </w:r>
          </w:p>
        </w:tc>
        <w:tc>
          <w:tcPr>
            <w:tcW w:w="506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414"/>
        </w:trPr>
        <w:tc>
          <w:tcPr>
            <w:tcW w:w="108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/s/</w:t>
            </w:r>
          </w:p>
        </w:tc>
        <w:tc>
          <w:tcPr>
            <w:tcW w:w="2800" w:type="dxa"/>
            <w:vAlign w:val="bottom"/>
            <w:tcBorders>
              <w:bottom w:val="single" w:sz="8" w:color="auto"/>
            </w:tcBorders>
            <w:gridSpan w:val="3"/>
          </w:tcPr>
          <w:p>
            <w:pPr>
              <w:jc w:val="center"/>
              <w:ind w:right="1020"/>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4"/>
                <w:szCs w:val="14"/>
                <w:color w:val="auto"/>
              </w:rPr>
              <w:t>ANIEL</w:t>
            </w:r>
            <w:r>
              <w:rPr>
                <w:rFonts w:ascii="Times New Roman" w:cs="Times New Roman" w:eastAsia="Times New Roman" w:hAnsi="Times New Roman"/>
                <w:sz w:val="18"/>
                <w:szCs w:val="18"/>
                <w:color w:val="auto"/>
              </w:rPr>
              <w:t xml:space="preserve"> C. M</w:t>
            </w:r>
            <w:r>
              <w:rPr>
                <w:rFonts w:ascii="Times New Roman" w:cs="Times New Roman" w:eastAsia="Times New Roman" w:hAnsi="Times New Roman"/>
                <w:sz w:val="14"/>
                <w:szCs w:val="14"/>
                <w:color w:val="auto"/>
              </w:rPr>
              <w:t>URDOCK</w:t>
            </w:r>
          </w:p>
        </w:tc>
        <w:tc>
          <w:tcPr>
            <w:tcW w:w="506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9"/>
              </w:rPr>
              <w:t>Executive Vice President, Chief Accounting</w:t>
            </w:r>
          </w:p>
        </w:tc>
        <w:tc>
          <w:tcPr>
            <w:tcW w:w="1660" w:type="dxa"/>
            <w:vAlign w:val="bottom"/>
            <w:gridSpan w:val="3"/>
          </w:tcPr>
          <w:p>
            <w:pPr>
              <w:jc w:val="center"/>
              <w:ind w:left="610"/>
              <w:spacing w:after="0"/>
              <w:rPr>
                <w:sz w:val="20"/>
                <w:szCs w:val="20"/>
                <w:color w:val="auto"/>
              </w:rPr>
            </w:pPr>
            <w:r>
              <w:rPr>
                <w:rFonts w:ascii="Times New Roman" w:cs="Times New Roman" w:eastAsia="Times New Roman" w:hAnsi="Times New Roman"/>
                <w:sz w:val="18"/>
                <w:szCs w:val="18"/>
                <w:color w:val="auto"/>
                <w:w w:val="98"/>
              </w:rPr>
              <w:t>July 29, 2022</w:t>
            </w:r>
          </w:p>
        </w:tc>
      </w:tr>
      <w:tr>
        <w:trPr>
          <w:trHeight w:val="178"/>
        </w:trPr>
        <w:tc>
          <w:tcPr>
            <w:tcW w:w="1080" w:type="dxa"/>
            <w:vAlign w:val="bottom"/>
          </w:tcPr>
          <w:p>
            <w:pPr>
              <w:spacing w:after="0"/>
              <w:rPr>
                <w:sz w:val="15"/>
                <w:szCs w:val="15"/>
                <w:color w:val="auto"/>
              </w:rPr>
            </w:pPr>
          </w:p>
        </w:tc>
        <w:tc>
          <w:tcPr>
            <w:tcW w:w="2800" w:type="dxa"/>
            <w:vAlign w:val="bottom"/>
            <w:gridSpan w:val="3"/>
          </w:tcPr>
          <w:p>
            <w:pPr>
              <w:jc w:val="center"/>
              <w:ind w:right="1080"/>
              <w:spacing w:after="0"/>
              <w:rPr>
                <w:sz w:val="20"/>
                <w:szCs w:val="20"/>
                <w:color w:val="auto"/>
              </w:rPr>
            </w:pPr>
            <w:r>
              <w:rPr>
                <w:rFonts w:ascii="Times New Roman" w:cs="Times New Roman" w:eastAsia="Times New Roman" w:hAnsi="Times New Roman"/>
                <w:sz w:val="14"/>
                <w:szCs w:val="14"/>
                <w:b w:val="1"/>
                <w:bCs w:val="1"/>
                <w:color w:val="auto"/>
              </w:rPr>
              <w:t>Daniel C. Murdock</w:t>
            </w:r>
          </w:p>
        </w:tc>
        <w:tc>
          <w:tcPr>
            <w:tcW w:w="5060" w:type="dxa"/>
            <w:vAlign w:val="bottom"/>
            <w:gridSpan w:val="3"/>
          </w:tcPr>
          <w:p>
            <w:pPr>
              <w:jc w:val="center"/>
              <w:ind w:left="90"/>
              <w:spacing w:after="0" w:line="177" w:lineRule="exact"/>
              <w:rPr>
                <w:sz w:val="20"/>
                <w:szCs w:val="20"/>
                <w:color w:val="auto"/>
              </w:rPr>
            </w:pPr>
            <w:r>
              <w:rPr>
                <w:rFonts w:ascii="Times New Roman" w:cs="Times New Roman" w:eastAsia="Times New Roman" w:hAnsi="Times New Roman"/>
                <w:sz w:val="18"/>
                <w:szCs w:val="18"/>
                <w:color w:val="auto"/>
                <w:w w:val="99"/>
              </w:rPr>
              <w:t>Officer and Controller</w:t>
            </w: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234"/>
        </w:trPr>
        <w:tc>
          <w:tcPr>
            <w:tcW w:w="10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506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32"/>
        </w:trPr>
        <w:tc>
          <w:tcPr>
            <w:tcW w:w="108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/s/</w:t>
            </w:r>
          </w:p>
        </w:tc>
        <w:tc>
          <w:tcPr>
            <w:tcW w:w="2800" w:type="dxa"/>
            <w:vAlign w:val="bottom"/>
            <w:tcBorders>
              <w:bottom w:val="single" w:sz="8" w:color="auto"/>
            </w:tcBorders>
            <w:gridSpan w:val="3"/>
          </w:tcPr>
          <w:p>
            <w:pPr>
              <w:jc w:val="center"/>
              <w:ind w:right="1040"/>
              <w:spacing w:after="0"/>
              <w:rPr>
                <w:sz w:val="20"/>
                <w:szCs w:val="20"/>
                <w:color w:val="auto"/>
              </w:rPr>
            </w:pPr>
            <w:r>
              <w:rPr>
                <w:rFonts w:ascii="Times New Roman" w:cs="Times New Roman" w:eastAsia="Times New Roman" w:hAnsi="Times New Roman"/>
                <w:sz w:val="18"/>
                <w:szCs w:val="18"/>
                <w:color w:val="auto"/>
              </w:rPr>
              <w:t>K</w:t>
            </w:r>
            <w:r>
              <w:rPr>
                <w:rFonts w:ascii="Times New Roman" w:cs="Times New Roman" w:eastAsia="Times New Roman" w:hAnsi="Times New Roman"/>
                <w:sz w:val="14"/>
                <w:szCs w:val="14"/>
                <w:color w:val="auto"/>
              </w:rPr>
              <w:t>ENNETH</w:t>
            </w:r>
            <w:r>
              <w:rPr>
                <w:rFonts w:ascii="Times New Roman" w:cs="Times New Roman" w:eastAsia="Times New Roman" w:hAnsi="Times New Roman"/>
                <w:sz w:val="18"/>
                <w:szCs w:val="18"/>
                <w:color w:val="auto"/>
              </w:rPr>
              <w:t xml:space="preserve"> J. B</w:t>
            </w:r>
            <w:r>
              <w:rPr>
                <w:rFonts w:ascii="Times New Roman" w:cs="Times New Roman" w:eastAsia="Times New Roman" w:hAnsi="Times New Roman"/>
                <w:sz w:val="14"/>
                <w:szCs w:val="14"/>
                <w:color w:val="auto"/>
              </w:rPr>
              <w:t>ACON</w:t>
            </w:r>
          </w:p>
        </w:tc>
        <w:tc>
          <w:tcPr>
            <w:tcW w:w="506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w w:val="99"/>
              </w:rPr>
              <w:t>Director</w:t>
            </w:r>
          </w:p>
        </w:tc>
        <w:tc>
          <w:tcPr>
            <w:tcW w:w="1660" w:type="dxa"/>
            <w:vAlign w:val="bottom"/>
            <w:gridSpan w:val="3"/>
          </w:tcPr>
          <w:p>
            <w:pPr>
              <w:jc w:val="center"/>
              <w:ind w:left="610"/>
              <w:spacing w:after="0"/>
              <w:rPr>
                <w:sz w:val="20"/>
                <w:szCs w:val="20"/>
                <w:color w:val="auto"/>
              </w:rPr>
            </w:pPr>
            <w:r>
              <w:rPr>
                <w:rFonts w:ascii="Times New Roman" w:cs="Times New Roman" w:eastAsia="Times New Roman" w:hAnsi="Times New Roman"/>
                <w:sz w:val="18"/>
                <w:szCs w:val="18"/>
                <w:color w:val="auto"/>
                <w:w w:val="98"/>
              </w:rPr>
              <w:t>July 29, 2022</w:t>
            </w:r>
          </w:p>
        </w:tc>
      </w:tr>
      <w:tr>
        <w:trPr>
          <w:trHeight w:val="184"/>
        </w:trPr>
        <w:tc>
          <w:tcPr>
            <w:tcW w:w="1080" w:type="dxa"/>
            <w:vAlign w:val="bottom"/>
          </w:tcPr>
          <w:p>
            <w:pPr>
              <w:spacing w:after="0"/>
              <w:rPr>
                <w:sz w:val="15"/>
                <w:szCs w:val="15"/>
                <w:color w:val="auto"/>
              </w:rPr>
            </w:pPr>
          </w:p>
        </w:tc>
        <w:tc>
          <w:tcPr>
            <w:tcW w:w="2800" w:type="dxa"/>
            <w:vAlign w:val="bottom"/>
            <w:gridSpan w:val="3"/>
          </w:tcPr>
          <w:p>
            <w:pPr>
              <w:jc w:val="center"/>
              <w:ind w:right="1080"/>
              <w:spacing w:after="0"/>
              <w:rPr>
                <w:sz w:val="20"/>
                <w:szCs w:val="20"/>
                <w:color w:val="auto"/>
              </w:rPr>
            </w:pPr>
            <w:r>
              <w:rPr>
                <w:rFonts w:ascii="Times New Roman" w:cs="Times New Roman" w:eastAsia="Times New Roman" w:hAnsi="Times New Roman"/>
                <w:sz w:val="14"/>
                <w:szCs w:val="14"/>
                <w:b w:val="1"/>
                <w:bCs w:val="1"/>
                <w:color w:val="auto"/>
              </w:rPr>
              <w:t>Kenneth J. Bacon</w:t>
            </w:r>
          </w:p>
        </w:tc>
        <w:tc>
          <w:tcPr>
            <w:tcW w:w="2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404"/>
        </w:trPr>
        <w:tc>
          <w:tcPr>
            <w:tcW w:w="108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w w:val="93"/>
              </w:rPr>
              <w:t>/s/</w:t>
            </w:r>
          </w:p>
        </w:tc>
        <w:tc>
          <w:tcPr>
            <w:tcW w:w="2800" w:type="dxa"/>
            <w:vAlign w:val="bottom"/>
            <w:tcBorders>
              <w:bottom w:val="single" w:sz="8" w:color="auto"/>
            </w:tcBorders>
            <w:gridSpan w:val="3"/>
          </w:tcPr>
          <w:p>
            <w:pPr>
              <w:jc w:val="center"/>
              <w:ind w:right="1040"/>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ADELINE</w:t>
            </w:r>
            <w:r>
              <w:rPr>
                <w:rFonts w:ascii="Times New Roman" w:cs="Times New Roman" w:eastAsia="Times New Roman" w:hAnsi="Times New Roman"/>
                <w:sz w:val="18"/>
                <w:szCs w:val="18"/>
                <w:color w:val="auto"/>
              </w:rPr>
              <w:t xml:space="preserve"> S. B</w:t>
            </w:r>
            <w:r>
              <w:rPr>
                <w:rFonts w:ascii="Times New Roman" w:cs="Times New Roman" w:eastAsia="Times New Roman" w:hAnsi="Times New Roman"/>
                <w:sz w:val="14"/>
                <w:szCs w:val="14"/>
                <w:color w:val="auto"/>
              </w:rPr>
              <w:t>ELL</w:t>
            </w:r>
          </w:p>
        </w:tc>
        <w:tc>
          <w:tcPr>
            <w:tcW w:w="506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w w:val="99"/>
              </w:rPr>
              <w:t>Director</w:t>
            </w:r>
          </w:p>
        </w:tc>
        <w:tc>
          <w:tcPr>
            <w:tcW w:w="1660" w:type="dxa"/>
            <w:vAlign w:val="bottom"/>
            <w:gridSpan w:val="3"/>
          </w:tcPr>
          <w:p>
            <w:pPr>
              <w:jc w:val="center"/>
              <w:ind w:left="610"/>
              <w:spacing w:after="0"/>
              <w:rPr>
                <w:sz w:val="20"/>
                <w:szCs w:val="20"/>
                <w:color w:val="auto"/>
              </w:rPr>
            </w:pPr>
            <w:r>
              <w:rPr>
                <w:rFonts w:ascii="Times New Roman" w:cs="Times New Roman" w:eastAsia="Times New Roman" w:hAnsi="Times New Roman"/>
                <w:sz w:val="18"/>
                <w:szCs w:val="18"/>
                <w:color w:val="auto"/>
                <w:w w:val="98"/>
              </w:rPr>
              <w:t>July 29, 2022</w:t>
            </w:r>
          </w:p>
        </w:tc>
      </w:tr>
      <w:tr>
        <w:trPr>
          <w:trHeight w:val="184"/>
        </w:trPr>
        <w:tc>
          <w:tcPr>
            <w:tcW w:w="1080" w:type="dxa"/>
            <w:vAlign w:val="bottom"/>
          </w:tcPr>
          <w:p>
            <w:pPr>
              <w:spacing w:after="0"/>
              <w:rPr>
                <w:sz w:val="15"/>
                <w:szCs w:val="15"/>
                <w:color w:val="auto"/>
              </w:rPr>
            </w:pPr>
          </w:p>
        </w:tc>
        <w:tc>
          <w:tcPr>
            <w:tcW w:w="2800" w:type="dxa"/>
            <w:vAlign w:val="bottom"/>
            <w:gridSpan w:val="3"/>
          </w:tcPr>
          <w:p>
            <w:pPr>
              <w:jc w:val="center"/>
              <w:ind w:right="1080"/>
              <w:spacing w:after="0"/>
              <w:rPr>
                <w:sz w:val="20"/>
                <w:szCs w:val="20"/>
                <w:color w:val="auto"/>
              </w:rPr>
            </w:pPr>
            <w:r>
              <w:rPr>
                <w:rFonts w:ascii="Times New Roman" w:cs="Times New Roman" w:eastAsia="Times New Roman" w:hAnsi="Times New Roman"/>
                <w:sz w:val="14"/>
                <w:szCs w:val="14"/>
                <w:b w:val="1"/>
                <w:bCs w:val="1"/>
                <w:color w:val="auto"/>
              </w:rPr>
              <w:t>Madeline S. Bell</w:t>
            </w:r>
          </w:p>
        </w:tc>
        <w:tc>
          <w:tcPr>
            <w:tcW w:w="2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404"/>
        </w:trPr>
        <w:tc>
          <w:tcPr>
            <w:tcW w:w="108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w w:val="93"/>
              </w:rPr>
              <w:t>/s/</w:t>
            </w:r>
          </w:p>
        </w:tc>
        <w:tc>
          <w:tcPr>
            <w:tcW w:w="2800" w:type="dxa"/>
            <w:vAlign w:val="bottom"/>
            <w:tcBorders>
              <w:bottom w:val="single" w:sz="8" w:color="auto"/>
            </w:tcBorders>
            <w:gridSpan w:val="3"/>
          </w:tcPr>
          <w:p>
            <w:pPr>
              <w:jc w:val="center"/>
              <w:ind w:right="1040"/>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4"/>
                <w:szCs w:val="14"/>
                <w:color w:val="auto"/>
              </w:rPr>
              <w:t>DWARD</w:t>
            </w:r>
            <w:r>
              <w:rPr>
                <w:rFonts w:ascii="Times New Roman" w:cs="Times New Roman" w:eastAsia="Times New Roman" w:hAnsi="Times New Roman"/>
                <w:sz w:val="18"/>
                <w:szCs w:val="18"/>
                <w:color w:val="auto"/>
              </w:rPr>
              <w:t xml:space="preserve"> D. B</w:t>
            </w:r>
            <w:r>
              <w:rPr>
                <w:rFonts w:ascii="Times New Roman" w:cs="Times New Roman" w:eastAsia="Times New Roman" w:hAnsi="Times New Roman"/>
                <w:sz w:val="14"/>
                <w:szCs w:val="14"/>
                <w:color w:val="auto"/>
              </w:rPr>
              <w:t>REEN</w:t>
            </w:r>
          </w:p>
        </w:tc>
        <w:tc>
          <w:tcPr>
            <w:tcW w:w="506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w w:val="99"/>
              </w:rPr>
              <w:t>Director</w:t>
            </w:r>
          </w:p>
        </w:tc>
        <w:tc>
          <w:tcPr>
            <w:tcW w:w="1660" w:type="dxa"/>
            <w:vAlign w:val="bottom"/>
            <w:gridSpan w:val="3"/>
          </w:tcPr>
          <w:p>
            <w:pPr>
              <w:jc w:val="center"/>
              <w:ind w:left="610"/>
              <w:spacing w:after="0"/>
              <w:rPr>
                <w:sz w:val="20"/>
                <w:szCs w:val="20"/>
                <w:color w:val="auto"/>
              </w:rPr>
            </w:pPr>
            <w:r>
              <w:rPr>
                <w:rFonts w:ascii="Times New Roman" w:cs="Times New Roman" w:eastAsia="Times New Roman" w:hAnsi="Times New Roman"/>
                <w:sz w:val="18"/>
                <w:szCs w:val="18"/>
                <w:color w:val="auto"/>
                <w:w w:val="98"/>
              </w:rPr>
              <w:t>July 29, 2022</w:t>
            </w:r>
          </w:p>
        </w:tc>
      </w:tr>
      <w:tr>
        <w:trPr>
          <w:trHeight w:val="184"/>
        </w:trPr>
        <w:tc>
          <w:tcPr>
            <w:tcW w:w="1080" w:type="dxa"/>
            <w:vAlign w:val="bottom"/>
          </w:tcPr>
          <w:p>
            <w:pPr>
              <w:spacing w:after="0"/>
              <w:rPr>
                <w:sz w:val="15"/>
                <w:szCs w:val="15"/>
                <w:color w:val="auto"/>
              </w:rPr>
            </w:pPr>
          </w:p>
        </w:tc>
        <w:tc>
          <w:tcPr>
            <w:tcW w:w="2800" w:type="dxa"/>
            <w:vAlign w:val="bottom"/>
            <w:gridSpan w:val="3"/>
          </w:tcPr>
          <w:p>
            <w:pPr>
              <w:jc w:val="center"/>
              <w:ind w:right="1080"/>
              <w:spacing w:after="0"/>
              <w:rPr>
                <w:sz w:val="20"/>
                <w:szCs w:val="20"/>
                <w:color w:val="auto"/>
              </w:rPr>
            </w:pPr>
            <w:r>
              <w:rPr>
                <w:rFonts w:ascii="Times New Roman" w:cs="Times New Roman" w:eastAsia="Times New Roman" w:hAnsi="Times New Roman"/>
                <w:sz w:val="14"/>
                <w:szCs w:val="14"/>
                <w:b w:val="1"/>
                <w:bCs w:val="1"/>
                <w:color w:val="auto"/>
              </w:rPr>
              <w:t>Edward D. Breen</w:t>
            </w:r>
          </w:p>
        </w:tc>
        <w:tc>
          <w:tcPr>
            <w:tcW w:w="2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404"/>
        </w:trPr>
        <w:tc>
          <w:tcPr>
            <w:tcW w:w="108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/s/</w:t>
            </w:r>
          </w:p>
        </w:tc>
        <w:tc>
          <w:tcPr>
            <w:tcW w:w="2800" w:type="dxa"/>
            <w:vAlign w:val="bottom"/>
            <w:tcBorders>
              <w:bottom w:val="single" w:sz="8" w:color="auto"/>
            </w:tcBorders>
            <w:gridSpan w:val="3"/>
          </w:tcPr>
          <w:p>
            <w:pPr>
              <w:jc w:val="center"/>
              <w:ind w:right="1020"/>
              <w:spacing w:after="0"/>
              <w:rPr>
                <w:sz w:val="20"/>
                <w:szCs w:val="20"/>
                <w:color w:val="auto"/>
              </w:rPr>
            </w:pPr>
            <w:r>
              <w:rPr>
                <w:rFonts w:ascii="Times New Roman" w:cs="Times New Roman" w:eastAsia="Times New Roman" w:hAnsi="Times New Roman"/>
                <w:sz w:val="18"/>
                <w:szCs w:val="18"/>
                <w:color w:val="auto"/>
              </w:rPr>
              <w:t>G</w:t>
            </w:r>
            <w:r>
              <w:rPr>
                <w:rFonts w:ascii="Times New Roman" w:cs="Times New Roman" w:eastAsia="Times New Roman" w:hAnsi="Times New Roman"/>
                <w:sz w:val="14"/>
                <w:szCs w:val="14"/>
                <w:color w:val="auto"/>
              </w:rPr>
              <w:t>ERALD</w:t>
            </w:r>
            <w:r>
              <w:rPr>
                <w:rFonts w:ascii="Times New Roman" w:cs="Times New Roman" w:eastAsia="Times New Roman" w:hAnsi="Times New Roman"/>
                <w:sz w:val="18"/>
                <w:szCs w:val="18"/>
                <w:color w:val="auto"/>
              </w:rPr>
              <w:t xml:space="preserve"> L. H</w:t>
            </w:r>
            <w:r>
              <w:rPr>
                <w:rFonts w:ascii="Times New Roman" w:cs="Times New Roman" w:eastAsia="Times New Roman" w:hAnsi="Times New Roman"/>
                <w:sz w:val="14"/>
                <w:szCs w:val="14"/>
                <w:color w:val="auto"/>
              </w:rPr>
              <w:t>ASSELL</w:t>
            </w:r>
          </w:p>
        </w:tc>
        <w:tc>
          <w:tcPr>
            <w:tcW w:w="506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w w:val="99"/>
              </w:rPr>
              <w:t>Director</w:t>
            </w:r>
          </w:p>
        </w:tc>
        <w:tc>
          <w:tcPr>
            <w:tcW w:w="1660" w:type="dxa"/>
            <w:vAlign w:val="bottom"/>
            <w:gridSpan w:val="3"/>
          </w:tcPr>
          <w:p>
            <w:pPr>
              <w:jc w:val="center"/>
              <w:ind w:left="610"/>
              <w:spacing w:after="0"/>
              <w:rPr>
                <w:sz w:val="20"/>
                <w:szCs w:val="20"/>
                <w:color w:val="auto"/>
              </w:rPr>
            </w:pPr>
            <w:r>
              <w:rPr>
                <w:rFonts w:ascii="Times New Roman" w:cs="Times New Roman" w:eastAsia="Times New Roman" w:hAnsi="Times New Roman"/>
                <w:sz w:val="18"/>
                <w:szCs w:val="18"/>
                <w:color w:val="auto"/>
                <w:w w:val="98"/>
              </w:rPr>
              <w:t>July 29, 2022</w:t>
            </w:r>
          </w:p>
        </w:tc>
      </w:tr>
      <w:tr>
        <w:trPr>
          <w:trHeight w:val="184"/>
        </w:trPr>
        <w:tc>
          <w:tcPr>
            <w:tcW w:w="1080" w:type="dxa"/>
            <w:vAlign w:val="bottom"/>
          </w:tcPr>
          <w:p>
            <w:pPr>
              <w:spacing w:after="0"/>
              <w:rPr>
                <w:sz w:val="15"/>
                <w:szCs w:val="15"/>
                <w:color w:val="auto"/>
              </w:rPr>
            </w:pPr>
          </w:p>
        </w:tc>
        <w:tc>
          <w:tcPr>
            <w:tcW w:w="2800" w:type="dxa"/>
            <w:vAlign w:val="bottom"/>
            <w:gridSpan w:val="3"/>
          </w:tcPr>
          <w:p>
            <w:pPr>
              <w:jc w:val="center"/>
              <w:ind w:right="1080"/>
              <w:spacing w:after="0"/>
              <w:rPr>
                <w:sz w:val="20"/>
                <w:szCs w:val="20"/>
                <w:color w:val="auto"/>
              </w:rPr>
            </w:pPr>
            <w:r>
              <w:rPr>
                <w:rFonts w:ascii="Times New Roman" w:cs="Times New Roman" w:eastAsia="Times New Roman" w:hAnsi="Times New Roman"/>
                <w:sz w:val="14"/>
                <w:szCs w:val="14"/>
                <w:b w:val="1"/>
                <w:bCs w:val="1"/>
                <w:color w:val="auto"/>
              </w:rPr>
              <w:t>Gerald L. Hassell</w:t>
            </w:r>
          </w:p>
        </w:tc>
        <w:tc>
          <w:tcPr>
            <w:tcW w:w="2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336"/>
        </w:trPr>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060" w:type="dxa"/>
            <w:vAlign w:val="bottom"/>
            <w:gridSpan w:val="3"/>
          </w:tcPr>
          <w:p>
            <w:pPr>
              <w:ind w:left="1480"/>
              <w:spacing w:after="0"/>
              <w:rPr>
                <w:sz w:val="20"/>
                <w:szCs w:val="20"/>
                <w:color w:val="auto"/>
              </w:rPr>
            </w:pPr>
            <w:r>
              <w:rPr>
                <w:rFonts w:ascii="Times New Roman" w:cs="Times New Roman" w:eastAsia="Times New Roman" w:hAnsi="Times New Roman"/>
                <w:sz w:val="18"/>
                <w:szCs w:val="18"/>
                <w:color w:val="auto"/>
              </w:rPr>
              <w:t>II-8</w:t>
            </w: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6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5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6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0"/>
        </w:trPr>
        <w:tc>
          <w:tcPr>
            <w:tcW w:w="9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26"/>
        </w:trPr>
        <w:tc>
          <w:tcPr>
            <w:tcW w:w="96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/s/</w:t>
            </w:r>
          </w:p>
        </w:tc>
        <w:tc>
          <w:tcPr>
            <w:tcW w:w="2920" w:type="dxa"/>
            <w:vAlign w:val="bottom"/>
            <w:tcBorders>
              <w:bottom w:val="single" w:sz="8" w:color="auto"/>
            </w:tcBorders>
            <w:gridSpan w:val="4"/>
          </w:tcPr>
          <w:p>
            <w:pPr>
              <w:jc w:val="center"/>
              <w:ind w:right="920"/>
              <w:spacing w:after="0"/>
              <w:rPr>
                <w:sz w:val="20"/>
                <w:szCs w:val="20"/>
                <w:color w:val="auto"/>
              </w:rPr>
            </w:pPr>
            <w:r>
              <w:rPr>
                <w:rFonts w:ascii="Times New Roman" w:cs="Times New Roman" w:eastAsia="Times New Roman" w:hAnsi="Times New Roman"/>
                <w:sz w:val="18"/>
                <w:szCs w:val="18"/>
                <w:color w:val="auto"/>
              </w:rPr>
              <w:t>J</w:t>
            </w:r>
            <w:r>
              <w:rPr>
                <w:rFonts w:ascii="Times New Roman" w:cs="Times New Roman" w:eastAsia="Times New Roman" w:hAnsi="Times New Roman"/>
                <w:sz w:val="14"/>
                <w:szCs w:val="14"/>
                <w:color w:val="auto"/>
              </w:rPr>
              <w:t>EFFREY</w:t>
            </w:r>
            <w:r>
              <w:rPr>
                <w:rFonts w:ascii="Times New Roman" w:cs="Times New Roman" w:eastAsia="Times New Roman" w:hAnsi="Times New Roman"/>
                <w:sz w:val="18"/>
                <w:szCs w:val="18"/>
                <w:color w:val="auto"/>
              </w:rPr>
              <w:t xml:space="preserve"> A. H</w:t>
            </w:r>
            <w:r>
              <w:rPr>
                <w:rFonts w:ascii="Times New Roman" w:cs="Times New Roman" w:eastAsia="Times New Roman" w:hAnsi="Times New Roman"/>
                <w:sz w:val="14"/>
                <w:szCs w:val="14"/>
                <w:color w:val="auto"/>
              </w:rPr>
              <w:t>ONICKMAN</w:t>
            </w:r>
          </w:p>
        </w:tc>
        <w:tc>
          <w:tcPr>
            <w:tcW w:w="4340" w:type="dxa"/>
            <w:vAlign w:val="bottom"/>
            <w:gridSpan w:val="3"/>
          </w:tcPr>
          <w:p>
            <w:pPr>
              <w:jc w:val="center"/>
              <w:ind w:left="810"/>
              <w:spacing w:after="0"/>
              <w:rPr>
                <w:sz w:val="20"/>
                <w:szCs w:val="20"/>
                <w:color w:val="auto"/>
              </w:rPr>
            </w:pPr>
            <w:r>
              <w:rPr>
                <w:rFonts w:ascii="Times New Roman" w:cs="Times New Roman" w:eastAsia="Times New Roman" w:hAnsi="Times New Roman"/>
                <w:sz w:val="18"/>
                <w:szCs w:val="18"/>
                <w:color w:val="auto"/>
                <w:w w:val="99"/>
              </w:rPr>
              <w:t>Director</w:t>
            </w:r>
          </w:p>
        </w:tc>
        <w:tc>
          <w:tcPr>
            <w:tcW w:w="2380" w:type="dxa"/>
            <w:vAlign w:val="bottom"/>
            <w:gridSpan w:val="3"/>
          </w:tcPr>
          <w:p>
            <w:pPr>
              <w:jc w:val="center"/>
              <w:ind w:left="1330"/>
              <w:spacing w:after="0"/>
              <w:rPr>
                <w:sz w:val="20"/>
                <w:szCs w:val="20"/>
                <w:color w:val="auto"/>
              </w:rPr>
            </w:pPr>
            <w:r>
              <w:rPr>
                <w:rFonts w:ascii="Times New Roman" w:cs="Times New Roman" w:eastAsia="Times New Roman" w:hAnsi="Times New Roman"/>
                <w:sz w:val="18"/>
                <w:szCs w:val="18"/>
                <w:color w:val="auto"/>
                <w:w w:val="98"/>
              </w:rPr>
              <w:t>July 29, 2022</w:t>
            </w:r>
          </w:p>
        </w:tc>
      </w:tr>
      <w:tr>
        <w:trPr>
          <w:trHeight w:val="184"/>
        </w:trPr>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00" w:type="dxa"/>
            <w:vAlign w:val="bottom"/>
            <w:gridSpan w:val="3"/>
          </w:tcPr>
          <w:p>
            <w:pPr>
              <w:jc w:val="center"/>
              <w:ind w:right="1180"/>
              <w:spacing w:after="0"/>
              <w:rPr>
                <w:sz w:val="20"/>
                <w:szCs w:val="20"/>
                <w:color w:val="auto"/>
              </w:rPr>
            </w:pPr>
            <w:r>
              <w:rPr>
                <w:rFonts w:ascii="Times New Roman" w:cs="Times New Roman" w:eastAsia="Times New Roman" w:hAnsi="Times New Roman"/>
                <w:sz w:val="14"/>
                <w:szCs w:val="14"/>
                <w:b w:val="1"/>
                <w:bCs w:val="1"/>
                <w:color w:val="auto"/>
              </w:rPr>
              <w:t>Jeffrey A. Honickman</w:t>
            </w:r>
          </w:p>
        </w:tc>
        <w:tc>
          <w:tcPr>
            <w:tcW w:w="2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404"/>
        </w:trPr>
        <w:tc>
          <w:tcPr>
            <w:tcW w:w="96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w w:val="93"/>
              </w:rPr>
              <w:t>/s/</w:t>
            </w:r>
          </w:p>
        </w:tc>
        <w:tc>
          <w:tcPr>
            <w:tcW w:w="2920" w:type="dxa"/>
            <w:vAlign w:val="bottom"/>
            <w:tcBorders>
              <w:bottom w:val="single" w:sz="8" w:color="auto"/>
            </w:tcBorders>
            <w:gridSpan w:val="4"/>
          </w:tcPr>
          <w:p>
            <w:pPr>
              <w:jc w:val="center"/>
              <w:ind w:right="920"/>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ARITZA</w:t>
            </w:r>
            <w:r>
              <w:rPr>
                <w:rFonts w:ascii="Times New Roman" w:cs="Times New Roman" w:eastAsia="Times New Roman" w:hAnsi="Times New Roman"/>
                <w:sz w:val="18"/>
                <w:szCs w:val="18"/>
                <w:color w:val="auto"/>
              </w:rPr>
              <w:t xml:space="preserve"> G. M</w:t>
            </w:r>
            <w:r>
              <w:rPr>
                <w:rFonts w:ascii="Times New Roman" w:cs="Times New Roman" w:eastAsia="Times New Roman" w:hAnsi="Times New Roman"/>
                <w:sz w:val="14"/>
                <w:szCs w:val="14"/>
                <w:color w:val="auto"/>
              </w:rPr>
              <w:t>ONTIEL</w:t>
            </w:r>
          </w:p>
        </w:tc>
        <w:tc>
          <w:tcPr>
            <w:tcW w:w="4340" w:type="dxa"/>
            <w:vAlign w:val="bottom"/>
            <w:gridSpan w:val="3"/>
          </w:tcPr>
          <w:p>
            <w:pPr>
              <w:jc w:val="center"/>
              <w:ind w:left="810"/>
              <w:spacing w:after="0"/>
              <w:rPr>
                <w:sz w:val="20"/>
                <w:szCs w:val="20"/>
                <w:color w:val="auto"/>
              </w:rPr>
            </w:pPr>
            <w:r>
              <w:rPr>
                <w:rFonts w:ascii="Times New Roman" w:cs="Times New Roman" w:eastAsia="Times New Roman" w:hAnsi="Times New Roman"/>
                <w:sz w:val="18"/>
                <w:szCs w:val="18"/>
                <w:color w:val="auto"/>
                <w:w w:val="99"/>
              </w:rPr>
              <w:t>Director</w:t>
            </w:r>
          </w:p>
        </w:tc>
        <w:tc>
          <w:tcPr>
            <w:tcW w:w="2380" w:type="dxa"/>
            <w:vAlign w:val="bottom"/>
            <w:gridSpan w:val="3"/>
          </w:tcPr>
          <w:p>
            <w:pPr>
              <w:jc w:val="center"/>
              <w:ind w:left="1330"/>
              <w:spacing w:after="0"/>
              <w:rPr>
                <w:sz w:val="20"/>
                <w:szCs w:val="20"/>
                <w:color w:val="auto"/>
              </w:rPr>
            </w:pPr>
            <w:r>
              <w:rPr>
                <w:rFonts w:ascii="Times New Roman" w:cs="Times New Roman" w:eastAsia="Times New Roman" w:hAnsi="Times New Roman"/>
                <w:sz w:val="18"/>
                <w:szCs w:val="18"/>
                <w:color w:val="auto"/>
                <w:w w:val="98"/>
              </w:rPr>
              <w:t>July 29, 2022</w:t>
            </w:r>
          </w:p>
        </w:tc>
      </w:tr>
      <w:tr>
        <w:trPr>
          <w:trHeight w:val="184"/>
        </w:trPr>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00" w:type="dxa"/>
            <w:vAlign w:val="bottom"/>
            <w:gridSpan w:val="3"/>
          </w:tcPr>
          <w:p>
            <w:pPr>
              <w:jc w:val="center"/>
              <w:ind w:right="1180"/>
              <w:spacing w:after="0"/>
              <w:rPr>
                <w:sz w:val="20"/>
                <w:szCs w:val="20"/>
                <w:color w:val="auto"/>
              </w:rPr>
            </w:pPr>
            <w:r>
              <w:rPr>
                <w:rFonts w:ascii="Times New Roman" w:cs="Times New Roman" w:eastAsia="Times New Roman" w:hAnsi="Times New Roman"/>
                <w:sz w:val="14"/>
                <w:szCs w:val="14"/>
                <w:b w:val="1"/>
                <w:bCs w:val="1"/>
                <w:color w:val="auto"/>
              </w:rPr>
              <w:t>Maritza G. Montiel</w:t>
            </w:r>
          </w:p>
        </w:tc>
        <w:tc>
          <w:tcPr>
            <w:tcW w:w="2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404"/>
        </w:trPr>
        <w:tc>
          <w:tcPr>
            <w:tcW w:w="1180" w:type="dxa"/>
            <w:vAlign w:val="bottom"/>
            <w:tcBorders>
              <w:bottom w:val="single" w:sz="8" w:color="auto"/>
            </w:tcBorders>
            <w:gridSpan w:val="2"/>
          </w:tcPr>
          <w:p>
            <w:pPr>
              <w:ind w:left="900"/>
              <w:spacing w:after="0"/>
              <w:rPr>
                <w:sz w:val="20"/>
                <w:szCs w:val="20"/>
                <w:color w:val="auto"/>
              </w:rPr>
            </w:pPr>
            <w:r>
              <w:rPr>
                <w:rFonts w:ascii="Times New Roman" w:cs="Times New Roman" w:eastAsia="Times New Roman" w:hAnsi="Times New Roman"/>
                <w:sz w:val="18"/>
                <w:szCs w:val="18"/>
                <w:color w:val="auto"/>
              </w:rPr>
              <w:t>/s/</w:t>
            </w:r>
          </w:p>
        </w:tc>
        <w:tc>
          <w:tcPr>
            <w:tcW w:w="2700" w:type="dxa"/>
            <w:vAlign w:val="bottom"/>
            <w:tcBorders>
              <w:bottom w:val="single" w:sz="8" w:color="auto"/>
            </w:tcBorders>
            <w:gridSpan w:val="3"/>
          </w:tcPr>
          <w:p>
            <w:pPr>
              <w:jc w:val="center"/>
              <w:ind w:right="112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SUKA</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4"/>
                <w:szCs w:val="14"/>
                <w:color w:val="auto"/>
              </w:rPr>
              <w:t>AKAHARA</w:t>
            </w:r>
          </w:p>
        </w:tc>
        <w:tc>
          <w:tcPr>
            <w:tcW w:w="4340" w:type="dxa"/>
            <w:vAlign w:val="bottom"/>
            <w:gridSpan w:val="3"/>
          </w:tcPr>
          <w:p>
            <w:pPr>
              <w:jc w:val="center"/>
              <w:ind w:left="810"/>
              <w:spacing w:after="0"/>
              <w:rPr>
                <w:sz w:val="20"/>
                <w:szCs w:val="20"/>
                <w:color w:val="auto"/>
              </w:rPr>
            </w:pPr>
            <w:r>
              <w:rPr>
                <w:rFonts w:ascii="Times New Roman" w:cs="Times New Roman" w:eastAsia="Times New Roman" w:hAnsi="Times New Roman"/>
                <w:sz w:val="18"/>
                <w:szCs w:val="18"/>
                <w:color w:val="auto"/>
                <w:w w:val="99"/>
              </w:rPr>
              <w:t>Director</w:t>
            </w:r>
          </w:p>
        </w:tc>
        <w:tc>
          <w:tcPr>
            <w:tcW w:w="2380" w:type="dxa"/>
            <w:vAlign w:val="bottom"/>
            <w:gridSpan w:val="3"/>
          </w:tcPr>
          <w:p>
            <w:pPr>
              <w:jc w:val="center"/>
              <w:ind w:left="1330"/>
              <w:spacing w:after="0"/>
              <w:rPr>
                <w:sz w:val="20"/>
                <w:szCs w:val="20"/>
                <w:color w:val="auto"/>
              </w:rPr>
            </w:pPr>
            <w:r>
              <w:rPr>
                <w:rFonts w:ascii="Times New Roman" w:cs="Times New Roman" w:eastAsia="Times New Roman" w:hAnsi="Times New Roman"/>
                <w:sz w:val="18"/>
                <w:szCs w:val="18"/>
                <w:color w:val="auto"/>
                <w:w w:val="98"/>
              </w:rPr>
              <w:t>July 29, 2022</w:t>
            </w:r>
          </w:p>
        </w:tc>
      </w:tr>
      <w:tr>
        <w:trPr>
          <w:trHeight w:val="184"/>
        </w:trPr>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00" w:type="dxa"/>
            <w:vAlign w:val="bottom"/>
            <w:gridSpan w:val="3"/>
          </w:tcPr>
          <w:p>
            <w:pPr>
              <w:jc w:val="center"/>
              <w:ind w:right="1180"/>
              <w:spacing w:after="0"/>
              <w:rPr>
                <w:sz w:val="20"/>
                <w:szCs w:val="20"/>
                <w:color w:val="auto"/>
              </w:rPr>
            </w:pPr>
            <w:r>
              <w:rPr>
                <w:rFonts w:ascii="Times New Roman" w:cs="Times New Roman" w:eastAsia="Times New Roman" w:hAnsi="Times New Roman"/>
                <w:sz w:val="14"/>
                <w:szCs w:val="14"/>
                <w:b w:val="1"/>
                <w:bCs w:val="1"/>
                <w:color w:val="auto"/>
              </w:rPr>
              <w:t>Asuka Nakahara</w:t>
            </w:r>
          </w:p>
        </w:tc>
        <w:tc>
          <w:tcPr>
            <w:tcW w:w="2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404"/>
        </w:trPr>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2700" w:type="dxa"/>
            <w:vAlign w:val="bottom"/>
            <w:tcBorders>
              <w:bottom w:val="single" w:sz="8" w:color="auto"/>
            </w:tcBorders>
            <w:gridSpan w:val="3"/>
          </w:tcPr>
          <w:p>
            <w:pPr>
              <w:jc w:val="center"/>
              <w:ind w:right="1140"/>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4"/>
                <w:szCs w:val="14"/>
                <w:color w:val="auto"/>
              </w:rPr>
              <w:t>AVID</w:t>
            </w:r>
            <w:r>
              <w:rPr>
                <w:rFonts w:ascii="Times New Roman" w:cs="Times New Roman" w:eastAsia="Times New Roman" w:hAnsi="Times New Roman"/>
                <w:sz w:val="18"/>
                <w:szCs w:val="18"/>
                <w:color w:val="auto"/>
              </w:rPr>
              <w:t xml:space="preserve"> C. N</w:t>
            </w:r>
            <w:r>
              <w:rPr>
                <w:rFonts w:ascii="Times New Roman" w:cs="Times New Roman" w:eastAsia="Times New Roman" w:hAnsi="Times New Roman"/>
                <w:sz w:val="14"/>
                <w:szCs w:val="14"/>
                <w:color w:val="auto"/>
              </w:rPr>
              <w:t>OVAK</w:t>
            </w:r>
          </w:p>
        </w:tc>
        <w:tc>
          <w:tcPr>
            <w:tcW w:w="4340" w:type="dxa"/>
            <w:vAlign w:val="bottom"/>
            <w:gridSpan w:val="3"/>
          </w:tcPr>
          <w:p>
            <w:pPr>
              <w:jc w:val="center"/>
              <w:ind w:left="810"/>
              <w:spacing w:after="0"/>
              <w:rPr>
                <w:sz w:val="20"/>
                <w:szCs w:val="20"/>
                <w:color w:val="auto"/>
              </w:rPr>
            </w:pPr>
            <w:r>
              <w:rPr>
                <w:rFonts w:ascii="Times New Roman" w:cs="Times New Roman" w:eastAsia="Times New Roman" w:hAnsi="Times New Roman"/>
                <w:sz w:val="18"/>
                <w:szCs w:val="18"/>
                <w:color w:val="auto"/>
                <w:w w:val="99"/>
              </w:rPr>
              <w:t>Director</w:t>
            </w:r>
          </w:p>
        </w:tc>
        <w:tc>
          <w:tcPr>
            <w:tcW w:w="2380" w:type="dxa"/>
            <w:vAlign w:val="bottom"/>
            <w:gridSpan w:val="3"/>
          </w:tcPr>
          <w:p>
            <w:pPr>
              <w:jc w:val="center"/>
              <w:ind w:left="1330"/>
              <w:spacing w:after="0"/>
              <w:rPr>
                <w:sz w:val="20"/>
                <w:szCs w:val="20"/>
                <w:color w:val="auto"/>
              </w:rPr>
            </w:pPr>
            <w:r>
              <w:rPr>
                <w:rFonts w:ascii="Times New Roman" w:cs="Times New Roman" w:eastAsia="Times New Roman" w:hAnsi="Times New Roman"/>
                <w:sz w:val="18"/>
                <w:szCs w:val="18"/>
                <w:color w:val="auto"/>
                <w:w w:val="98"/>
              </w:rPr>
              <w:t>July 29, 2022</w:t>
            </w:r>
          </w:p>
        </w:tc>
      </w:tr>
      <w:tr>
        <w:trPr>
          <w:trHeight w:val="184"/>
        </w:trPr>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00" w:type="dxa"/>
            <w:vAlign w:val="bottom"/>
            <w:gridSpan w:val="3"/>
          </w:tcPr>
          <w:p>
            <w:pPr>
              <w:jc w:val="center"/>
              <w:ind w:right="1180"/>
              <w:spacing w:after="0"/>
              <w:rPr>
                <w:sz w:val="20"/>
                <w:szCs w:val="20"/>
                <w:color w:val="auto"/>
              </w:rPr>
            </w:pPr>
            <w:r>
              <w:rPr>
                <w:rFonts w:ascii="Times New Roman" w:cs="Times New Roman" w:eastAsia="Times New Roman" w:hAnsi="Times New Roman"/>
                <w:sz w:val="14"/>
                <w:szCs w:val="14"/>
                <w:b w:val="1"/>
                <w:bCs w:val="1"/>
                <w:color w:val="auto"/>
              </w:rPr>
              <w:t>David C. Novak</w:t>
            </w:r>
          </w:p>
        </w:tc>
        <w:tc>
          <w:tcPr>
            <w:tcW w:w="2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r>
    </w:tbl>
    <w:p>
      <w:pPr>
        <w:spacing w:after="0" w:line="102"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II-9</w:t>
      </w:r>
    </w:p>
    <w:p>
      <w:pPr>
        <w:sectPr>
          <w:pgSz w:w="11900" w:h="16838" w:orient="portrait"/>
          <w:cols w:equalWidth="0" w:num="1">
            <w:col w:w="10720"/>
          </w:cols>
          <w:pgMar w:left="320" w:top="455" w:right="8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 AND POWER OF ATTORNEY</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COMCAST CABLE COMMUNICATIONS, LLC</w:t>
      </w:r>
    </w:p>
    <w:p>
      <w:pPr>
        <w:spacing w:after="0" w:line="207" w:lineRule="exact"/>
        <w:rPr>
          <w:sz w:val="20"/>
          <w:szCs w:val="20"/>
          <w:color w:val="auto"/>
        </w:rPr>
      </w:pPr>
    </w:p>
    <w:p>
      <w:pPr>
        <w:jc w:val="both"/>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Comcast Cable Communications, LLC certifies that it has reasonable grounds to believe that it meets all of the requirements for filing on Form S-3 and has duly caused this Registration Statement to be signed on its behalf by the undersigned, thereunto duly authorized, in the City of Philadelphia, Commonwealth of Pennsylvania, on July 29, 2022.</w:t>
      </w:r>
    </w:p>
    <w:p>
      <w:pPr>
        <w:spacing w:after="0" w:line="20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COMCAST CABLE COMMUNICATIONS, LLC</w:t>
      </w:r>
    </w:p>
    <w:p>
      <w:pPr>
        <w:spacing w:after="0" w:line="225" w:lineRule="exact"/>
        <w:rPr>
          <w:sz w:val="20"/>
          <w:szCs w:val="20"/>
          <w:color w:val="auto"/>
        </w:rPr>
      </w:pPr>
    </w:p>
    <w:tbl>
      <w:tblPr>
        <w:tblLayout w:type="fixed"/>
        <w:tblInd w:w="67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/s/  T</w:t>
            </w:r>
            <w:r>
              <w:rPr>
                <w:rFonts w:ascii="Times New Roman" w:cs="Times New Roman" w:eastAsia="Times New Roman" w:hAnsi="Times New Roman"/>
                <w:sz w:val="14"/>
                <w:szCs w:val="14"/>
                <w:color w:val="auto"/>
              </w:rPr>
              <w:t>HOMAS</w:t>
            </w:r>
            <w:r>
              <w:rPr>
                <w:rFonts w:ascii="Times New Roman" w:cs="Times New Roman" w:eastAsia="Times New Roman" w:hAnsi="Times New Roman"/>
                <w:sz w:val="18"/>
                <w:szCs w:val="18"/>
                <w:color w:val="auto"/>
              </w:rPr>
              <w:t xml:space="preserve"> J. R</w:t>
            </w:r>
            <w:r>
              <w:rPr>
                <w:rFonts w:ascii="Times New Roman" w:cs="Times New Roman" w:eastAsia="Times New Roman" w:hAnsi="Times New Roman"/>
                <w:sz w:val="14"/>
                <w:szCs w:val="14"/>
                <w:color w:val="auto"/>
              </w:rPr>
              <w:t>EID</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Thomas J. Reid</w:t>
            </w:r>
          </w:p>
        </w:tc>
      </w:tr>
      <w:tr>
        <w:trPr>
          <w:trHeight w:val="210"/>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Senior Executive Vice President,</w:t>
            </w:r>
          </w:p>
        </w:tc>
      </w:tr>
      <w:tr>
        <w:trPr>
          <w:trHeight w:val="190"/>
        </w:trPr>
        <w:tc>
          <w:tcPr>
            <w:tcW w:w="580" w:type="dxa"/>
            <w:vAlign w:val="bottom"/>
          </w:tcPr>
          <w:p>
            <w:pPr>
              <w:spacing w:after="0"/>
              <w:rPr>
                <w:sz w:val="16"/>
                <w:szCs w:val="16"/>
                <w:color w:val="auto"/>
              </w:rPr>
            </w:pPr>
          </w:p>
        </w:tc>
        <w:tc>
          <w:tcPr>
            <w:tcW w:w="3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General Counsel and Secretary</w:t>
            </w:r>
          </w:p>
        </w:tc>
      </w:tr>
    </w:tbl>
    <w:p>
      <w:pPr>
        <w:spacing w:after="0" w:line="18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KNOW ALL MEN BY THESE PRESENTS, that each person whose signature appears below hereby constitutes and appoints Brian L. Roberts, Michael J. Cavanagh, Daniel C. Murdock and Thomas J. Reid and each of them, his or her true and lawful attorneys-in-fact and agents, with full power of substitution and resubstitution, for him or her and in his or her name, place and stead, in any and all capacities, to sign any and all amendments to this Registration Statement (including post-effective amendments),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substitute or substitutes, may lawfully do or cause to be done by virtue hereof.</w:t>
      </w:r>
    </w:p>
    <w:p>
      <w:pPr>
        <w:spacing w:after="0" w:line="192"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760" w:type="dxa"/>
            <w:vAlign w:val="bottom"/>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7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340" w:type="dxa"/>
            <w:vAlign w:val="bottom"/>
          </w:tcPr>
          <w:p>
            <w:pPr>
              <w:spacing w:after="0"/>
              <w:rPr>
                <w:sz w:val="15"/>
                <w:szCs w:val="15"/>
                <w:color w:val="auto"/>
              </w:rPr>
            </w:pPr>
          </w:p>
        </w:tc>
      </w:tr>
      <w:tr>
        <w:trPr>
          <w:trHeight w:val="425"/>
        </w:trPr>
        <w:tc>
          <w:tcPr>
            <w:tcW w:w="41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B</w:t>
            </w:r>
            <w:r>
              <w:rPr>
                <w:rFonts w:ascii="Times New Roman" w:cs="Times New Roman" w:eastAsia="Times New Roman" w:hAnsi="Times New Roman"/>
                <w:sz w:val="14"/>
                <w:szCs w:val="14"/>
                <w:color w:val="auto"/>
              </w:rPr>
              <w:t>RIAN</w:t>
            </w:r>
            <w:r>
              <w:rPr>
                <w:rFonts w:ascii="Times New Roman" w:cs="Times New Roman" w:eastAsia="Times New Roman" w:hAnsi="Times New Roman"/>
                <w:sz w:val="18"/>
                <w:szCs w:val="18"/>
                <w:color w:val="auto"/>
              </w:rPr>
              <w:t xml:space="preserve"> L. R</w:t>
            </w:r>
            <w:r>
              <w:rPr>
                <w:rFonts w:ascii="Times New Roman" w:cs="Times New Roman" w:eastAsia="Times New Roman" w:hAnsi="Times New Roman"/>
                <w:sz w:val="14"/>
                <w:szCs w:val="14"/>
                <w:color w:val="auto"/>
              </w:rPr>
              <w:t>OBERTS</w:t>
            </w:r>
          </w:p>
        </w:tc>
        <w:tc>
          <w:tcPr>
            <w:tcW w:w="46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Principal Executive Officer of</w:t>
            </w:r>
          </w:p>
        </w:tc>
        <w:tc>
          <w:tcPr>
            <w:tcW w:w="1700" w:type="dxa"/>
            <w:vAlign w:val="bottom"/>
            <w:gridSpan w:val="3"/>
          </w:tcPr>
          <w:p>
            <w:pPr>
              <w:jc w:val="center"/>
              <w:ind w:left="630"/>
              <w:spacing w:after="0"/>
              <w:rPr>
                <w:sz w:val="20"/>
                <w:szCs w:val="20"/>
                <w:color w:val="auto"/>
              </w:rPr>
            </w:pPr>
            <w:r>
              <w:rPr>
                <w:rFonts w:ascii="Times New Roman" w:cs="Times New Roman" w:eastAsia="Times New Roman" w:hAnsi="Times New Roman"/>
                <w:sz w:val="18"/>
                <w:szCs w:val="18"/>
                <w:color w:val="auto"/>
              </w:rPr>
              <w:t>July 29, 2022</w:t>
            </w:r>
          </w:p>
        </w:tc>
      </w:tr>
      <w:tr>
        <w:trPr>
          <w:trHeight w:val="214"/>
        </w:trPr>
        <w:tc>
          <w:tcPr>
            <w:tcW w:w="41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Brian L. Roberts</w:t>
            </w:r>
          </w:p>
        </w:tc>
        <w:tc>
          <w:tcPr>
            <w:tcW w:w="46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Comcast Cable Communications, LLC</w:t>
            </w: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414"/>
        </w:trPr>
        <w:tc>
          <w:tcPr>
            <w:tcW w:w="41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M</w:t>
            </w:r>
            <w:r>
              <w:rPr>
                <w:rFonts w:ascii="Times New Roman" w:cs="Times New Roman" w:eastAsia="Times New Roman" w:hAnsi="Times New Roman"/>
                <w:sz w:val="14"/>
                <w:szCs w:val="14"/>
                <w:color w:val="auto"/>
              </w:rPr>
              <w:t>ICHAEL</w:t>
            </w:r>
            <w:r>
              <w:rPr>
                <w:rFonts w:ascii="Times New Roman" w:cs="Times New Roman" w:eastAsia="Times New Roman" w:hAnsi="Times New Roman"/>
                <w:sz w:val="18"/>
                <w:szCs w:val="18"/>
                <w:color w:val="auto"/>
              </w:rPr>
              <w:t xml:space="preserve"> J. C</w:t>
            </w:r>
            <w:r>
              <w:rPr>
                <w:rFonts w:ascii="Times New Roman" w:cs="Times New Roman" w:eastAsia="Times New Roman" w:hAnsi="Times New Roman"/>
                <w:sz w:val="14"/>
                <w:szCs w:val="14"/>
                <w:color w:val="auto"/>
              </w:rPr>
              <w:t>AVANAGH</w:t>
            </w:r>
          </w:p>
        </w:tc>
        <w:tc>
          <w:tcPr>
            <w:tcW w:w="46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 of</w:t>
            </w:r>
          </w:p>
        </w:tc>
        <w:tc>
          <w:tcPr>
            <w:tcW w:w="1700" w:type="dxa"/>
            <w:vAlign w:val="bottom"/>
            <w:gridSpan w:val="3"/>
          </w:tcPr>
          <w:p>
            <w:pPr>
              <w:jc w:val="center"/>
              <w:ind w:left="630"/>
              <w:spacing w:after="0"/>
              <w:rPr>
                <w:sz w:val="20"/>
                <w:szCs w:val="20"/>
                <w:color w:val="auto"/>
              </w:rPr>
            </w:pPr>
            <w:r>
              <w:rPr>
                <w:rFonts w:ascii="Times New Roman" w:cs="Times New Roman" w:eastAsia="Times New Roman" w:hAnsi="Times New Roman"/>
                <w:sz w:val="18"/>
                <w:szCs w:val="18"/>
                <w:color w:val="auto"/>
              </w:rPr>
              <w:t>July 29, 2022</w:t>
            </w:r>
          </w:p>
        </w:tc>
      </w:tr>
      <w:tr>
        <w:trPr>
          <w:trHeight w:val="214"/>
        </w:trPr>
        <w:tc>
          <w:tcPr>
            <w:tcW w:w="41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Michael J. Cavanagh</w:t>
            </w:r>
          </w:p>
        </w:tc>
        <w:tc>
          <w:tcPr>
            <w:tcW w:w="46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Comcast Cable Communications, LLC</w:t>
            </w: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414"/>
        </w:trPr>
        <w:tc>
          <w:tcPr>
            <w:tcW w:w="41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T</w:t>
            </w:r>
            <w:r>
              <w:rPr>
                <w:rFonts w:ascii="Times New Roman" w:cs="Times New Roman" w:eastAsia="Times New Roman" w:hAnsi="Times New Roman"/>
                <w:sz w:val="14"/>
                <w:szCs w:val="14"/>
                <w:color w:val="auto"/>
              </w:rPr>
              <w:t>HOMAS</w:t>
            </w:r>
            <w:r>
              <w:rPr>
                <w:rFonts w:ascii="Times New Roman" w:cs="Times New Roman" w:eastAsia="Times New Roman" w:hAnsi="Times New Roman"/>
                <w:sz w:val="18"/>
                <w:szCs w:val="18"/>
                <w:color w:val="auto"/>
              </w:rPr>
              <w:t xml:space="preserve"> J. R</w:t>
            </w:r>
            <w:r>
              <w:rPr>
                <w:rFonts w:ascii="Times New Roman" w:cs="Times New Roman" w:eastAsia="Times New Roman" w:hAnsi="Times New Roman"/>
                <w:sz w:val="14"/>
                <w:szCs w:val="14"/>
                <w:color w:val="auto"/>
              </w:rPr>
              <w:t>EID</w:t>
            </w:r>
          </w:p>
        </w:tc>
        <w:tc>
          <w:tcPr>
            <w:tcW w:w="46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Director of Comcast Holdings Corporation,</w:t>
            </w:r>
          </w:p>
        </w:tc>
        <w:tc>
          <w:tcPr>
            <w:tcW w:w="1700" w:type="dxa"/>
            <w:vAlign w:val="bottom"/>
            <w:gridSpan w:val="3"/>
          </w:tcPr>
          <w:p>
            <w:pPr>
              <w:jc w:val="center"/>
              <w:ind w:left="630"/>
              <w:spacing w:after="0"/>
              <w:rPr>
                <w:sz w:val="20"/>
                <w:szCs w:val="20"/>
                <w:color w:val="auto"/>
              </w:rPr>
            </w:pPr>
            <w:r>
              <w:rPr>
                <w:rFonts w:ascii="Times New Roman" w:cs="Times New Roman" w:eastAsia="Times New Roman" w:hAnsi="Times New Roman"/>
                <w:sz w:val="18"/>
                <w:szCs w:val="18"/>
                <w:color w:val="auto"/>
              </w:rPr>
              <w:t>July 29, 2022</w:t>
            </w:r>
          </w:p>
        </w:tc>
      </w:tr>
      <w:tr>
        <w:trPr>
          <w:trHeight w:val="178"/>
        </w:trPr>
        <w:tc>
          <w:tcPr>
            <w:tcW w:w="41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Thomas J. Reid</w:t>
            </w:r>
          </w:p>
        </w:tc>
        <w:tc>
          <w:tcPr>
            <w:tcW w:w="4680" w:type="dxa"/>
            <w:vAlign w:val="bottom"/>
            <w:gridSpan w:val="3"/>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Sole Member of</w:t>
            </w: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234"/>
        </w:trPr>
        <w:tc>
          <w:tcPr>
            <w:tcW w:w="1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6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Comcast Cable Communications, LLC</w:t>
            </w: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45"/>
        </w:trPr>
        <w:tc>
          <w:tcPr>
            <w:tcW w:w="41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D</w:t>
            </w:r>
            <w:r>
              <w:rPr>
                <w:rFonts w:ascii="Times New Roman" w:cs="Times New Roman" w:eastAsia="Times New Roman" w:hAnsi="Times New Roman"/>
                <w:sz w:val="14"/>
                <w:szCs w:val="14"/>
                <w:color w:val="auto"/>
              </w:rPr>
              <w:t>ANIEL</w:t>
            </w:r>
            <w:r>
              <w:rPr>
                <w:rFonts w:ascii="Times New Roman" w:cs="Times New Roman" w:eastAsia="Times New Roman" w:hAnsi="Times New Roman"/>
                <w:sz w:val="18"/>
                <w:szCs w:val="18"/>
                <w:color w:val="auto"/>
              </w:rPr>
              <w:t xml:space="preserve"> C. M</w:t>
            </w:r>
            <w:r>
              <w:rPr>
                <w:rFonts w:ascii="Times New Roman" w:cs="Times New Roman" w:eastAsia="Times New Roman" w:hAnsi="Times New Roman"/>
                <w:sz w:val="14"/>
                <w:szCs w:val="14"/>
                <w:color w:val="auto"/>
              </w:rPr>
              <w:t>URDOCK</w:t>
            </w:r>
          </w:p>
        </w:tc>
        <w:tc>
          <w:tcPr>
            <w:tcW w:w="46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Principal Accounting Officer of</w:t>
            </w:r>
          </w:p>
        </w:tc>
        <w:tc>
          <w:tcPr>
            <w:tcW w:w="1700" w:type="dxa"/>
            <w:vAlign w:val="bottom"/>
            <w:gridSpan w:val="3"/>
          </w:tcPr>
          <w:p>
            <w:pPr>
              <w:jc w:val="center"/>
              <w:ind w:left="630"/>
              <w:spacing w:after="0"/>
              <w:rPr>
                <w:sz w:val="20"/>
                <w:szCs w:val="20"/>
                <w:color w:val="auto"/>
              </w:rPr>
            </w:pPr>
            <w:r>
              <w:rPr>
                <w:rFonts w:ascii="Times New Roman" w:cs="Times New Roman" w:eastAsia="Times New Roman" w:hAnsi="Times New Roman"/>
                <w:sz w:val="18"/>
                <w:szCs w:val="18"/>
                <w:color w:val="auto"/>
              </w:rPr>
              <w:t>July 29, 2022</w:t>
            </w:r>
          </w:p>
        </w:tc>
      </w:tr>
      <w:tr>
        <w:trPr>
          <w:trHeight w:val="214"/>
        </w:trPr>
        <w:tc>
          <w:tcPr>
            <w:tcW w:w="41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Daniel C. Murdock</w:t>
            </w:r>
          </w:p>
        </w:tc>
        <w:tc>
          <w:tcPr>
            <w:tcW w:w="46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Comcast Cable Communications, LLC</w:t>
            </w: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346"/>
        </w:trPr>
        <w:tc>
          <w:tcPr>
            <w:tcW w:w="1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68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II-10</w:t>
            </w: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 AND POWER OF ATTORNEY FOR</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NBCUNIVERSAL MEDIA, LLC</w:t>
      </w:r>
    </w:p>
    <w:p>
      <w:pPr>
        <w:spacing w:after="0" w:line="207"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NBCUniversal Media, LLC certifies that it has reasonable grounds to believe that it meets all of the requirements for filing on Form S-3 and has duly caused this Registration Statement to be signed on its behalf by the undersigned, thereunto duly authorized, in the City of New York, State of New York, on July 29, 2022.</w:t>
      </w:r>
    </w:p>
    <w:p>
      <w:pPr>
        <w:spacing w:after="0" w:line="20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NBCUNIVERSAL MEDIA, LLC</w:t>
      </w:r>
    </w:p>
    <w:p>
      <w:pPr>
        <w:spacing w:after="0" w:line="225" w:lineRule="exact"/>
        <w:rPr>
          <w:sz w:val="20"/>
          <w:szCs w:val="20"/>
          <w:color w:val="auto"/>
        </w:rPr>
      </w:pPr>
    </w:p>
    <w:tbl>
      <w:tblPr>
        <w:tblLayout w:type="fixed"/>
        <w:tblInd w:w="67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/s/  T</w:t>
            </w:r>
            <w:r>
              <w:rPr>
                <w:rFonts w:ascii="Times New Roman" w:cs="Times New Roman" w:eastAsia="Times New Roman" w:hAnsi="Times New Roman"/>
                <w:sz w:val="14"/>
                <w:szCs w:val="14"/>
                <w:color w:val="auto"/>
              </w:rPr>
              <w:t>HOMAS</w:t>
            </w:r>
            <w:r>
              <w:rPr>
                <w:rFonts w:ascii="Times New Roman" w:cs="Times New Roman" w:eastAsia="Times New Roman" w:hAnsi="Times New Roman"/>
                <w:sz w:val="18"/>
                <w:szCs w:val="18"/>
                <w:color w:val="auto"/>
              </w:rPr>
              <w:t xml:space="preserve"> J. R</w:t>
            </w:r>
            <w:r>
              <w:rPr>
                <w:rFonts w:ascii="Times New Roman" w:cs="Times New Roman" w:eastAsia="Times New Roman" w:hAnsi="Times New Roman"/>
                <w:sz w:val="14"/>
                <w:szCs w:val="14"/>
                <w:color w:val="auto"/>
              </w:rPr>
              <w:t>EID</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Thomas J. Reid</w:t>
            </w:r>
          </w:p>
        </w:tc>
      </w:tr>
      <w:tr>
        <w:trPr>
          <w:trHeight w:val="167"/>
        </w:trPr>
        <w:tc>
          <w:tcPr>
            <w:tcW w:w="580" w:type="dxa"/>
            <w:vAlign w:val="bottom"/>
          </w:tcPr>
          <w:p>
            <w:pPr>
              <w:spacing w:after="0" w:line="167" w:lineRule="exact"/>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Senior Executive Vice President</w:t>
            </w:r>
          </w:p>
        </w:tc>
      </w:tr>
      <w:tr>
        <w:trPr>
          <w:trHeight w:val="190"/>
        </w:trPr>
        <w:tc>
          <w:tcPr>
            <w:tcW w:w="580" w:type="dxa"/>
            <w:vAlign w:val="bottom"/>
          </w:tcPr>
          <w:p>
            <w:pPr>
              <w:spacing w:after="0"/>
              <w:rPr>
                <w:sz w:val="16"/>
                <w:szCs w:val="16"/>
                <w:color w:val="auto"/>
              </w:rPr>
            </w:pPr>
          </w:p>
        </w:tc>
        <w:tc>
          <w:tcPr>
            <w:tcW w:w="3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and Assistant Secretary</w:t>
            </w:r>
          </w:p>
        </w:tc>
      </w:tr>
    </w:tbl>
    <w:p>
      <w:pPr>
        <w:spacing w:after="0" w:line="176"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KNOW ALL MEN BY THESE PRESENTS, that each person whose signature appears below hereby constitutes and appoints Brian L. Roberts, Michael J. Cavanagh, Daniel C. Murdock and Thomas J. Reid and each of them, his or her true and lawful attorneys-in-fact and agents, with full power of substitution and resubstitution, for him or her and in his or her name, place and stead, in any and all capacities, to sign any and all amendments to this Registration Statement (including post-effective amendments),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substitute or substitutes, may lawfully do or cause to be done by virtue hereof.</w:t>
      </w:r>
    </w:p>
    <w:p>
      <w:pPr>
        <w:spacing w:after="0" w:line="192"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1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0"/>
        </w:trPr>
        <w:tc>
          <w:tcPr>
            <w:tcW w:w="1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25"/>
        </w:trPr>
        <w:tc>
          <w:tcPr>
            <w:tcW w:w="1800" w:type="dxa"/>
            <w:vAlign w:val="bottom"/>
            <w:tcBorders>
              <w:bottom w:val="single" w:sz="8" w:color="auto"/>
            </w:tcBorders>
          </w:tcPr>
          <w:p>
            <w:pPr>
              <w:ind w:left="1600"/>
              <w:spacing w:after="0"/>
              <w:rPr>
                <w:sz w:val="20"/>
                <w:szCs w:val="20"/>
                <w:color w:val="auto"/>
              </w:rPr>
            </w:pPr>
            <w:r>
              <w:rPr>
                <w:rFonts w:ascii="Times New Roman" w:cs="Times New Roman" w:eastAsia="Times New Roman" w:hAnsi="Times New Roman"/>
                <w:sz w:val="18"/>
                <w:szCs w:val="18"/>
                <w:color w:val="auto"/>
              </w:rPr>
              <w:t>/s/</w:t>
            </w:r>
          </w:p>
        </w:tc>
        <w:tc>
          <w:tcPr>
            <w:tcW w:w="3160" w:type="dxa"/>
            <w:vAlign w:val="bottom"/>
            <w:tcBorders>
              <w:bottom w:val="single" w:sz="8" w:color="auto"/>
            </w:tcBorders>
            <w:gridSpan w:val="3"/>
          </w:tcPr>
          <w:p>
            <w:pPr>
              <w:jc w:val="center"/>
              <w:ind w:right="1460"/>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4"/>
                <w:szCs w:val="14"/>
                <w:color w:val="auto"/>
              </w:rPr>
              <w:t>RIAN</w:t>
            </w:r>
            <w:r>
              <w:rPr>
                <w:rFonts w:ascii="Times New Roman" w:cs="Times New Roman" w:eastAsia="Times New Roman" w:hAnsi="Times New Roman"/>
                <w:sz w:val="18"/>
                <w:szCs w:val="18"/>
                <w:color w:val="auto"/>
              </w:rPr>
              <w:t xml:space="preserve"> L. R</w:t>
            </w:r>
            <w:r>
              <w:rPr>
                <w:rFonts w:ascii="Times New Roman" w:cs="Times New Roman" w:eastAsia="Times New Roman" w:hAnsi="Times New Roman"/>
                <w:sz w:val="14"/>
                <w:szCs w:val="14"/>
                <w:color w:val="auto"/>
              </w:rPr>
              <w:t>OBERTS</w:t>
            </w:r>
          </w:p>
        </w:tc>
        <w:tc>
          <w:tcPr>
            <w:tcW w:w="394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color w:val="auto"/>
              </w:rPr>
              <w:t>Principal Executive Officer of</w:t>
            </w:r>
          </w:p>
        </w:tc>
        <w:tc>
          <w:tcPr>
            <w:tcW w:w="1660" w:type="dxa"/>
            <w:vAlign w:val="bottom"/>
            <w:gridSpan w:val="3"/>
          </w:tcPr>
          <w:p>
            <w:pPr>
              <w:jc w:val="center"/>
              <w:ind w:left="610"/>
              <w:spacing w:after="0"/>
              <w:rPr>
                <w:sz w:val="20"/>
                <w:szCs w:val="20"/>
                <w:color w:val="auto"/>
              </w:rPr>
            </w:pPr>
            <w:r>
              <w:rPr>
                <w:rFonts w:ascii="Times New Roman" w:cs="Times New Roman" w:eastAsia="Times New Roman" w:hAnsi="Times New Roman"/>
                <w:sz w:val="18"/>
                <w:szCs w:val="18"/>
                <w:color w:val="auto"/>
                <w:w w:val="98"/>
              </w:rPr>
              <w:t>July 29, 2022</w:t>
            </w:r>
          </w:p>
        </w:tc>
      </w:tr>
      <w:tr>
        <w:trPr>
          <w:trHeight w:val="214"/>
        </w:trPr>
        <w:tc>
          <w:tcPr>
            <w:tcW w:w="1800" w:type="dxa"/>
            <w:vAlign w:val="bottom"/>
          </w:tcPr>
          <w:p>
            <w:pPr>
              <w:spacing w:after="0"/>
              <w:rPr>
                <w:sz w:val="18"/>
                <w:szCs w:val="18"/>
                <w:color w:val="auto"/>
              </w:rPr>
            </w:pPr>
          </w:p>
        </w:tc>
        <w:tc>
          <w:tcPr>
            <w:tcW w:w="3160" w:type="dxa"/>
            <w:vAlign w:val="bottom"/>
            <w:gridSpan w:val="3"/>
          </w:tcPr>
          <w:p>
            <w:pPr>
              <w:jc w:val="center"/>
              <w:ind w:right="1800"/>
              <w:spacing w:after="0"/>
              <w:rPr>
                <w:sz w:val="20"/>
                <w:szCs w:val="20"/>
                <w:color w:val="auto"/>
              </w:rPr>
            </w:pPr>
            <w:r>
              <w:rPr>
                <w:rFonts w:ascii="Times New Roman" w:cs="Times New Roman" w:eastAsia="Times New Roman" w:hAnsi="Times New Roman"/>
                <w:sz w:val="14"/>
                <w:szCs w:val="14"/>
                <w:b w:val="1"/>
                <w:bCs w:val="1"/>
                <w:color w:val="auto"/>
              </w:rPr>
              <w:t>Brian L. Roberts</w:t>
            </w:r>
          </w:p>
        </w:tc>
        <w:tc>
          <w:tcPr>
            <w:tcW w:w="394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color w:val="auto"/>
              </w:rPr>
              <w:t>NBCUniversal Media, LLC</w:t>
            </w: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414"/>
        </w:trPr>
        <w:tc>
          <w:tcPr>
            <w:tcW w:w="49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rPr>
              <w:t>/s/  M</w:t>
            </w:r>
            <w:r>
              <w:rPr>
                <w:rFonts w:ascii="Times New Roman" w:cs="Times New Roman" w:eastAsia="Times New Roman" w:hAnsi="Times New Roman"/>
                <w:sz w:val="14"/>
                <w:szCs w:val="14"/>
                <w:color w:val="auto"/>
              </w:rPr>
              <w:t>ICHAEL</w:t>
            </w:r>
            <w:r>
              <w:rPr>
                <w:rFonts w:ascii="Times New Roman" w:cs="Times New Roman" w:eastAsia="Times New Roman" w:hAnsi="Times New Roman"/>
                <w:sz w:val="18"/>
                <w:szCs w:val="18"/>
                <w:color w:val="auto"/>
              </w:rPr>
              <w:t xml:space="preserve"> J. C</w:t>
            </w:r>
            <w:r>
              <w:rPr>
                <w:rFonts w:ascii="Times New Roman" w:cs="Times New Roman" w:eastAsia="Times New Roman" w:hAnsi="Times New Roman"/>
                <w:sz w:val="14"/>
                <w:szCs w:val="14"/>
                <w:color w:val="auto"/>
              </w:rPr>
              <w:t>AVANAGH</w:t>
            </w:r>
          </w:p>
        </w:tc>
        <w:tc>
          <w:tcPr>
            <w:tcW w:w="394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Principal Financial Officer of</w:t>
            </w:r>
          </w:p>
        </w:tc>
        <w:tc>
          <w:tcPr>
            <w:tcW w:w="1660" w:type="dxa"/>
            <w:vAlign w:val="bottom"/>
            <w:gridSpan w:val="3"/>
          </w:tcPr>
          <w:p>
            <w:pPr>
              <w:jc w:val="center"/>
              <w:ind w:left="610"/>
              <w:spacing w:after="0"/>
              <w:rPr>
                <w:sz w:val="20"/>
                <w:szCs w:val="20"/>
                <w:color w:val="auto"/>
              </w:rPr>
            </w:pPr>
            <w:r>
              <w:rPr>
                <w:rFonts w:ascii="Times New Roman" w:cs="Times New Roman" w:eastAsia="Times New Roman" w:hAnsi="Times New Roman"/>
                <w:sz w:val="18"/>
                <w:szCs w:val="18"/>
                <w:color w:val="auto"/>
                <w:w w:val="98"/>
              </w:rPr>
              <w:t>July 29, 2022</w:t>
            </w:r>
          </w:p>
        </w:tc>
      </w:tr>
      <w:tr>
        <w:trPr>
          <w:trHeight w:val="178"/>
        </w:trPr>
        <w:tc>
          <w:tcPr>
            <w:tcW w:w="1800" w:type="dxa"/>
            <w:vAlign w:val="bottom"/>
          </w:tcPr>
          <w:p>
            <w:pPr>
              <w:spacing w:after="0"/>
              <w:rPr>
                <w:sz w:val="15"/>
                <w:szCs w:val="15"/>
                <w:color w:val="auto"/>
              </w:rPr>
            </w:pPr>
          </w:p>
        </w:tc>
        <w:tc>
          <w:tcPr>
            <w:tcW w:w="3160" w:type="dxa"/>
            <w:vAlign w:val="bottom"/>
            <w:gridSpan w:val="3"/>
          </w:tcPr>
          <w:p>
            <w:pPr>
              <w:jc w:val="center"/>
              <w:ind w:right="1800"/>
              <w:spacing w:after="0"/>
              <w:rPr>
                <w:sz w:val="20"/>
                <w:szCs w:val="20"/>
                <w:color w:val="auto"/>
              </w:rPr>
            </w:pPr>
            <w:r>
              <w:rPr>
                <w:rFonts w:ascii="Times New Roman" w:cs="Times New Roman" w:eastAsia="Times New Roman" w:hAnsi="Times New Roman"/>
                <w:sz w:val="14"/>
                <w:szCs w:val="14"/>
                <w:b w:val="1"/>
                <w:bCs w:val="1"/>
                <w:color w:val="auto"/>
              </w:rPr>
              <w:t>Michael J. Cavanagh</w:t>
            </w:r>
          </w:p>
        </w:tc>
        <w:tc>
          <w:tcPr>
            <w:tcW w:w="3940" w:type="dxa"/>
            <w:vAlign w:val="bottom"/>
            <w:gridSpan w:val="3"/>
          </w:tcPr>
          <w:p>
            <w:pPr>
              <w:jc w:val="center"/>
              <w:ind w:left="70"/>
              <w:spacing w:after="0" w:line="177" w:lineRule="exact"/>
              <w:rPr>
                <w:sz w:val="20"/>
                <w:szCs w:val="20"/>
                <w:color w:val="auto"/>
              </w:rPr>
            </w:pPr>
            <w:r>
              <w:rPr>
                <w:rFonts w:ascii="Times New Roman" w:cs="Times New Roman" w:eastAsia="Times New Roman" w:hAnsi="Times New Roman"/>
                <w:sz w:val="18"/>
                <w:szCs w:val="18"/>
                <w:color w:val="auto"/>
              </w:rPr>
              <w:t>NBCUniversal Media, LLC;</w:t>
            </w: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216"/>
        </w:trPr>
        <w:tc>
          <w:tcPr>
            <w:tcW w:w="1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94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9"/>
              </w:rPr>
              <w:t>Director of NBCUniversal, LLC,</w:t>
            </w: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94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color w:val="auto"/>
              </w:rPr>
              <w:t>Sole Member of</w:t>
            </w: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34"/>
        </w:trPr>
        <w:tc>
          <w:tcPr>
            <w:tcW w:w="1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94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color w:val="auto"/>
              </w:rPr>
              <w:t>NBCUniversal Media, LLC</w:t>
            </w: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45"/>
        </w:trPr>
        <w:tc>
          <w:tcPr>
            <w:tcW w:w="180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/s/</w:t>
            </w:r>
          </w:p>
        </w:tc>
        <w:tc>
          <w:tcPr>
            <w:tcW w:w="3160" w:type="dxa"/>
            <w:vAlign w:val="bottom"/>
            <w:tcBorders>
              <w:bottom w:val="single" w:sz="8" w:color="auto"/>
            </w:tcBorders>
            <w:gridSpan w:val="3"/>
          </w:tcPr>
          <w:p>
            <w:pPr>
              <w:jc w:val="center"/>
              <w:ind w:right="1460"/>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4"/>
                <w:szCs w:val="14"/>
                <w:color w:val="auto"/>
              </w:rPr>
              <w:t>ANIEL</w:t>
            </w:r>
            <w:r>
              <w:rPr>
                <w:rFonts w:ascii="Times New Roman" w:cs="Times New Roman" w:eastAsia="Times New Roman" w:hAnsi="Times New Roman"/>
                <w:sz w:val="18"/>
                <w:szCs w:val="18"/>
                <w:color w:val="auto"/>
              </w:rPr>
              <w:t xml:space="preserve"> C. M</w:t>
            </w:r>
            <w:r>
              <w:rPr>
                <w:rFonts w:ascii="Times New Roman" w:cs="Times New Roman" w:eastAsia="Times New Roman" w:hAnsi="Times New Roman"/>
                <w:sz w:val="14"/>
                <w:szCs w:val="14"/>
                <w:color w:val="auto"/>
              </w:rPr>
              <w:t>URDOCK</w:t>
            </w:r>
          </w:p>
        </w:tc>
        <w:tc>
          <w:tcPr>
            <w:tcW w:w="394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color w:val="auto"/>
              </w:rPr>
              <w:t>Principal Accounting Officer of</w:t>
            </w:r>
          </w:p>
        </w:tc>
        <w:tc>
          <w:tcPr>
            <w:tcW w:w="1660" w:type="dxa"/>
            <w:vAlign w:val="bottom"/>
            <w:gridSpan w:val="3"/>
          </w:tcPr>
          <w:p>
            <w:pPr>
              <w:jc w:val="center"/>
              <w:ind w:left="610"/>
              <w:spacing w:after="0"/>
              <w:rPr>
                <w:sz w:val="20"/>
                <w:szCs w:val="20"/>
                <w:color w:val="auto"/>
              </w:rPr>
            </w:pPr>
            <w:r>
              <w:rPr>
                <w:rFonts w:ascii="Times New Roman" w:cs="Times New Roman" w:eastAsia="Times New Roman" w:hAnsi="Times New Roman"/>
                <w:sz w:val="18"/>
                <w:szCs w:val="18"/>
                <w:color w:val="auto"/>
                <w:w w:val="98"/>
              </w:rPr>
              <w:t>July 29, 2022</w:t>
            </w:r>
          </w:p>
        </w:tc>
      </w:tr>
      <w:tr>
        <w:trPr>
          <w:trHeight w:val="214"/>
        </w:trPr>
        <w:tc>
          <w:tcPr>
            <w:tcW w:w="1800" w:type="dxa"/>
            <w:vAlign w:val="bottom"/>
          </w:tcPr>
          <w:p>
            <w:pPr>
              <w:spacing w:after="0"/>
              <w:rPr>
                <w:sz w:val="18"/>
                <w:szCs w:val="18"/>
                <w:color w:val="auto"/>
              </w:rPr>
            </w:pPr>
          </w:p>
        </w:tc>
        <w:tc>
          <w:tcPr>
            <w:tcW w:w="3160" w:type="dxa"/>
            <w:vAlign w:val="bottom"/>
            <w:gridSpan w:val="3"/>
          </w:tcPr>
          <w:p>
            <w:pPr>
              <w:jc w:val="center"/>
              <w:ind w:right="1800"/>
              <w:spacing w:after="0"/>
              <w:rPr>
                <w:sz w:val="20"/>
                <w:szCs w:val="20"/>
                <w:color w:val="auto"/>
              </w:rPr>
            </w:pPr>
            <w:r>
              <w:rPr>
                <w:rFonts w:ascii="Times New Roman" w:cs="Times New Roman" w:eastAsia="Times New Roman" w:hAnsi="Times New Roman"/>
                <w:sz w:val="14"/>
                <w:szCs w:val="14"/>
                <w:b w:val="1"/>
                <w:bCs w:val="1"/>
                <w:color w:val="auto"/>
              </w:rPr>
              <w:t>Daniel C. Murdock</w:t>
            </w:r>
          </w:p>
        </w:tc>
        <w:tc>
          <w:tcPr>
            <w:tcW w:w="394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color w:val="auto"/>
              </w:rPr>
              <w:t>NBCUniversal Media, LLC</w:t>
            </w: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427"/>
        </w:trPr>
        <w:tc>
          <w:tcPr>
            <w:tcW w:w="180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8"/>
                <w:szCs w:val="18"/>
                <w:color w:val="auto"/>
                <w:w w:val="93"/>
              </w:rPr>
              <w:t>/s/</w:t>
            </w:r>
          </w:p>
        </w:tc>
        <w:tc>
          <w:tcPr>
            <w:tcW w:w="3160" w:type="dxa"/>
            <w:vAlign w:val="bottom"/>
            <w:tcBorders>
              <w:bottom w:val="single" w:sz="8" w:color="auto"/>
            </w:tcBorders>
            <w:gridSpan w:val="3"/>
          </w:tcPr>
          <w:p>
            <w:pPr>
              <w:jc w:val="center"/>
              <w:ind w:right="1460"/>
              <w:spacing w:after="0"/>
              <w:rPr>
                <w:sz w:val="20"/>
                <w:szCs w:val="20"/>
                <w:color w:val="auto"/>
              </w:rPr>
            </w:pPr>
            <w:r>
              <w:rPr>
                <w:rFonts w:ascii="Times New Roman" w:cs="Times New Roman" w:eastAsia="Times New Roman" w:hAnsi="Times New Roman"/>
                <w:sz w:val="18"/>
                <w:szCs w:val="18"/>
                <w:color w:val="auto"/>
                <w:w w:val="99"/>
              </w:rPr>
              <w:t>THOMAS J. REID</w:t>
            </w:r>
          </w:p>
        </w:tc>
        <w:tc>
          <w:tcPr>
            <w:tcW w:w="394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9"/>
              </w:rPr>
              <w:t>Director of NBCUniversal, LLC,</w:t>
            </w:r>
          </w:p>
        </w:tc>
        <w:tc>
          <w:tcPr>
            <w:tcW w:w="1660" w:type="dxa"/>
            <w:vAlign w:val="bottom"/>
            <w:gridSpan w:val="3"/>
          </w:tcPr>
          <w:p>
            <w:pPr>
              <w:jc w:val="center"/>
              <w:ind w:left="610"/>
              <w:spacing w:after="0"/>
              <w:rPr>
                <w:sz w:val="20"/>
                <w:szCs w:val="20"/>
                <w:color w:val="auto"/>
              </w:rPr>
            </w:pPr>
            <w:r>
              <w:rPr>
                <w:rFonts w:ascii="Times New Roman" w:cs="Times New Roman" w:eastAsia="Times New Roman" w:hAnsi="Times New Roman"/>
                <w:sz w:val="18"/>
                <w:szCs w:val="18"/>
                <w:color w:val="auto"/>
                <w:w w:val="98"/>
              </w:rPr>
              <w:t>July 29, 2022</w:t>
            </w:r>
          </w:p>
        </w:tc>
      </w:tr>
      <w:tr>
        <w:trPr>
          <w:trHeight w:val="178"/>
        </w:trPr>
        <w:tc>
          <w:tcPr>
            <w:tcW w:w="1800" w:type="dxa"/>
            <w:vAlign w:val="bottom"/>
          </w:tcPr>
          <w:p>
            <w:pPr>
              <w:spacing w:after="0"/>
              <w:rPr>
                <w:sz w:val="15"/>
                <w:szCs w:val="15"/>
                <w:color w:val="auto"/>
              </w:rPr>
            </w:pPr>
          </w:p>
        </w:tc>
        <w:tc>
          <w:tcPr>
            <w:tcW w:w="3160" w:type="dxa"/>
            <w:vAlign w:val="bottom"/>
            <w:gridSpan w:val="3"/>
          </w:tcPr>
          <w:p>
            <w:pPr>
              <w:jc w:val="center"/>
              <w:ind w:right="1800"/>
              <w:spacing w:after="0"/>
              <w:rPr>
                <w:sz w:val="20"/>
                <w:szCs w:val="20"/>
                <w:color w:val="auto"/>
              </w:rPr>
            </w:pPr>
            <w:r>
              <w:rPr>
                <w:rFonts w:ascii="Times New Roman" w:cs="Times New Roman" w:eastAsia="Times New Roman" w:hAnsi="Times New Roman"/>
                <w:sz w:val="14"/>
                <w:szCs w:val="14"/>
                <w:b w:val="1"/>
                <w:bCs w:val="1"/>
                <w:color w:val="auto"/>
              </w:rPr>
              <w:t>Thomas J. Reid</w:t>
            </w:r>
          </w:p>
        </w:tc>
        <w:tc>
          <w:tcPr>
            <w:tcW w:w="3940" w:type="dxa"/>
            <w:vAlign w:val="bottom"/>
            <w:gridSpan w:val="3"/>
          </w:tcPr>
          <w:p>
            <w:pPr>
              <w:jc w:val="center"/>
              <w:ind w:left="70"/>
              <w:spacing w:after="0" w:line="177" w:lineRule="exact"/>
              <w:rPr>
                <w:sz w:val="20"/>
                <w:szCs w:val="20"/>
                <w:color w:val="auto"/>
              </w:rPr>
            </w:pPr>
            <w:r>
              <w:rPr>
                <w:rFonts w:ascii="Times New Roman" w:cs="Times New Roman" w:eastAsia="Times New Roman" w:hAnsi="Times New Roman"/>
                <w:sz w:val="18"/>
                <w:szCs w:val="18"/>
                <w:color w:val="auto"/>
              </w:rPr>
              <w:t>Sole Member of</w:t>
            </w: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234"/>
        </w:trPr>
        <w:tc>
          <w:tcPr>
            <w:tcW w:w="1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94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color w:val="auto"/>
              </w:rPr>
              <w:t>NBCUniversal Media, LLC</w:t>
            </w: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45"/>
        </w:trPr>
        <w:tc>
          <w:tcPr>
            <w:tcW w:w="180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18"/>
                <w:szCs w:val="18"/>
                <w:color w:val="auto"/>
              </w:rPr>
              <w:t>/s/</w:t>
            </w:r>
          </w:p>
        </w:tc>
        <w:tc>
          <w:tcPr>
            <w:tcW w:w="3160" w:type="dxa"/>
            <w:vAlign w:val="bottom"/>
            <w:tcBorders>
              <w:bottom w:val="single" w:sz="8" w:color="auto"/>
            </w:tcBorders>
            <w:gridSpan w:val="3"/>
          </w:tcPr>
          <w:p>
            <w:pPr>
              <w:jc w:val="center"/>
              <w:ind w:right="1460"/>
              <w:spacing w:after="0"/>
              <w:rPr>
                <w:sz w:val="20"/>
                <w:szCs w:val="20"/>
                <w:color w:val="auto"/>
              </w:rPr>
            </w:pPr>
            <w:r>
              <w:rPr>
                <w:rFonts w:ascii="Times New Roman" w:cs="Times New Roman" w:eastAsia="Times New Roman" w:hAnsi="Times New Roman"/>
                <w:sz w:val="18"/>
                <w:szCs w:val="18"/>
                <w:color w:val="auto"/>
                <w:w w:val="99"/>
              </w:rPr>
              <w:t>ADAM L. MILLER</w:t>
            </w:r>
          </w:p>
        </w:tc>
        <w:tc>
          <w:tcPr>
            <w:tcW w:w="394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9"/>
              </w:rPr>
              <w:t>Director of NBCUniversal, LLC,</w:t>
            </w:r>
          </w:p>
        </w:tc>
        <w:tc>
          <w:tcPr>
            <w:tcW w:w="1660" w:type="dxa"/>
            <w:vAlign w:val="bottom"/>
            <w:gridSpan w:val="3"/>
          </w:tcPr>
          <w:p>
            <w:pPr>
              <w:jc w:val="center"/>
              <w:ind w:left="610"/>
              <w:spacing w:after="0"/>
              <w:rPr>
                <w:sz w:val="20"/>
                <w:szCs w:val="20"/>
                <w:color w:val="auto"/>
              </w:rPr>
            </w:pPr>
            <w:r>
              <w:rPr>
                <w:rFonts w:ascii="Times New Roman" w:cs="Times New Roman" w:eastAsia="Times New Roman" w:hAnsi="Times New Roman"/>
                <w:sz w:val="18"/>
                <w:szCs w:val="18"/>
                <w:color w:val="auto"/>
                <w:w w:val="98"/>
              </w:rPr>
              <w:t>July 29, 2022</w:t>
            </w:r>
          </w:p>
        </w:tc>
      </w:tr>
      <w:tr>
        <w:trPr>
          <w:trHeight w:val="178"/>
        </w:trPr>
        <w:tc>
          <w:tcPr>
            <w:tcW w:w="1800" w:type="dxa"/>
            <w:vAlign w:val="bottom"/>
          </w:tcPr>
          <w:p>
            <w:pPr>
              <w:spacing w:after="0"/>
              <w:rPr>
                <w:sz w:val="15"/>
                <w:szCs w:val="15"/>
                <w:color w:val="auto"/>
              </w:rPr>
            </w:pPr>
          </w:p>
        </w:tc>
        <w:tc>
          <w:tcPr>
            <w:tcW w:w="3160" w:type="dxa"/>
            <w:vAlign w:val="bottom"/>
            <w:gridSpan w:val="3"/>
          </w:tcPr>
          <w:p>
            <w:pPr>
              <w:jc w:val="center"/>
              <w:ind w:right="1800"/>
              <w:spacing w:after="0"/>
              <w:rPr>
                <w:sz w:val="20"/>
                <w:szCs w:val="20"/>
                <w:color w:val="auto"/>
              </w:rPr>
            </w:pPr>
            <w:r>
              <w:rPr>
                <w:rFonts w:ascii="Times New Roman" w:cs="Times New Roman" w:eastAsia="Times New Roman" w:hAnsi="Times New Roman"/>
                <w:sz w:val="14"/>
                <w:szCs w:val="14"/>
                <w:b w:val="1"/>
                <w:bCs w:val="1"/>
                <w:color w:val="auto"/>
              </w:rPr>
              <w:t>Adam L. Miller</w:t>
            </w:r>
          </w:p>
        </w:tc>
        <w:tc>
          <w:tcPr>
            <w:tcW w:w="3940" w:type="dxa"/>
            <w:vAlign w:val="bottom"/>
            <w:gridSpan w:val="3"/>
          </w:tcPr>
          <w:p>
            <w:pPr>
              <w:jc w:val="center"/>
              <w:ind w:left="70"/>
              <w:spacing w:after="0" w:line="177" w:lineRule="exact"/>
              <w:rPr>
                <w:sz w:val="20"/>
                <w:szCs w:val="20"/>
                <w:color w:val="auto"/>
              </w:rPr>
            </w:pPr>
            <w:r>
              <w:rPr>
                <w:rFonts w:ascii="Times New Roman" w:cs="Times New Roman" w:eastAsia="Times New Roman" w:hAnsi="Times New Roman"/>
                <w:sz w:val="18"/>
                <w:szCs w:val="18"/>
                <w:color w:val="auto"/>
              </w:rPr>
              <w:t>Sole Member of</w:t>
            </w: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234"/>
        </w:trPr>
        <w:tc>
          <w:tcPr>
            <w:tcW w:w="1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94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color w:val="auto"/>
              </w:rPr>
              <w:t>NBCUniversal Media, LLC</w:t>
            </w: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378"/>
        </w:trPr>
        <w:tc>
          <w:tcPr>
            <w:tcW w:w="1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9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II-11</w:t>
            </w: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229" w:lineRule="exact"/>
        <w:rPr>
          <w:sz w:val="20"/>
          <w:szCs w:val="20"/>
          <w:color w:val="auto"/>
        </w:rPr>
      </w:pPr>
    </w:p>
    <w:p>
      <w:pPr>
        <w:ind w:left="10364"/>
        <w:spacing w:after="0"/>
        <w:tabs>
          <w:tab w:leader="none" w:pos="10944"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One Comcast Center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Philadelphia, Pennsylvania 19103-2838</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left="4" w:right="40" w:firstLine="440"/>
        <w:spacing w:after="0" w:line="258" w:lineRule="auto"/>
        <w:rPr>
          <w:sz w:val="20"/>
          <w:szCs w:val="20"/>
          <w:color w:val="auto"/>
        </w:rPr>
      </w:pPr>
      <w:r>
        <w:rPr>
          <w:rFonts w:ascii="Times New Roman" w:cs="Times New Roman" w:eastAsia="Times New Roman" w:hAnsi="Times New Roman"/>
          <w:sz w:val="18"/>
          <w:szCs w:val="18"/>
          <w:color w:val="auto"/>
        </w:rPr>
        <w:t>We (the “Managers”) are acting on behalf of the underwriter or underwriters (including ourselves) named below (such underwriter or underwriters being herein called the “Underwriters”), and we understand that Comcast Corporation, a Pennsylvania corporation (the “Company”), proposes to issue and sell $[ ] aggregate principal amount of [ ]% Notes Due [ ] (the “Offered Securities”). The Offered Securities are to be issued pursuant to the provisions of the Indenture, dated as of [ ] by and among the Company, the Guarantors and [ ], as trustee (the “Trustee”), as guaranteed on an unsecured and unsubordinated basis by NBCUniversal Media, LLC and Comcast Cable Communications, LLC (the “Guarantors”).</w:t>
      </w:r>
    </w:p>
    <w:p>
      <w:pPr>
        <w:spacing w:after="0" w:line="183" w:lineRule="exact"/>
        <w:rPr>
          <w:sz w:val="20"/>
          <w:szCs w:val="20"/>
          <w:color w:val="auto"/>
        </w:rPr>
      </w:pPr>
    </w:p>
    <w:p>
      <w:pPr>
        <w:ind w:left="4" w:right="80" w:firstLine="440"/>
        <w:spacing w:after="0" w:line="266" w:lineRule="auto"/>
        <w:rPr>
          <w:sz w:val="20"/>
          <w:szCs w:val="20"/>
          <w:color w:val="auto"/>
        </w:rPr>
      </w:pPr>
      <w:r>
        <w:rPr>
          <w:rFonts w:ascii="Times New Roman" w:cs="Times New Roman" w:eastAsia="Times New Roman" w:hAnsi="Times New Roman"/>
          <w:sz w:val="18"/>
          <w:szCs w:val="18"/>
          <w:color w:val="auto"/>
        </w:rPr>
        <w:t>Subject to the terms and conditions set forth or incorporated by reference herein, the Company hereby agrees to sell and the Underwriters agree to purchase, severally and not jointly, the aggregate principal amount of the Offered Securities set forth below opposite their names at a purchase price of [ ]% plus accrued interest, if any, from [ ] to the date of payment and delivery (the “Purchase Price”).</w:t>
      </w:r>
    </w:p>
    <w:p>
      <w:pPr>
        <w:spacing w:after="0" w:line="184"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20" w:type="dxa"/>
            <w:vAlign w:val="bottom"/>
          </w:tcPr>
          <w:p>
            <w:pPr>
              <w:spacing w:after="0"/>
              <w:rPr>
                <w:sz w:val="13"/>
                <w:szCs w:val="13"/>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Amount of Offered</w:t>
            </w:r>
          </w:p>
        </w:tc>
        <w:tc>
          <w:tcPr>
            <w:tcW w:w="0" w:type="dxa"/>
            <w:vAlign w:val="bottom"/>
          </w:tcPr>
          <w:p>
            <w:pPr>
              <w:spacing w:after="0"/>
              <w:rPr>
                <w:sz w:val="1"/>
                <w:szCs w:val="1"/>
                <w:color w:val="auto"/>
              </w:rPr>
            </w:pPr>
          </w:p>
        </w:tc>
      </w:tr>
      <w:tr>
        <w:trPr>
          <w:trHeight w:val="148"/>
        </w:trPr>
        <w:tc>
          <w:tcPr>
            <w:tcW w:w="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6420" w:type="dxa"/>
            <w:vAlign w:val="bottom"/>
          </w:tcPr>
          <w:p>
            <w:pPr>
              <w:spacing w:after="0"/>
              <w:rPr>
                <w:sz w:val="12"/>
                <w:szCs w:val="12"/>
                <w:color w:val="auto"/>
              </w:rPr>
            </w:pPr>
          </w:p>
        </w:tc>
        <w:tc>
          <w:tcPr>
            <w:tcW w:w="1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 Be</w:t>
            </w:r>
          </w:p>
        </w:tc>
        <w:tc>
          <w:tcPr>
            <w:tcW w:w="0" w:type="dxa"/>
            <w:vAlign w:val="bottom"/>
          </w:tcPr>
          <w:p>
            <w:pPr>
              <w:spacing w:after="0"/>
              <w:rPr>
                <w:sz w:val="1"/>
                <w:szCs w:val="1"/>
                <w:color w:val="auto"/>
              </w:rPr>
            </w:pPr>
          </w:p>
        </w:tc>
      </w:tr>
      <w:tr>
        <w:trPr>
          <w:trHeight w:val="180"/>
        </w:trPr>
        <w:tc>
          <w:tcPr>
            <w:tcW w:w="780" w:type="dxa"/>
            <w:vAlign w:val="bottom"/>
            <w:tcBorders>
              <w:bottom w:val="single" w:sz="8" w:color="auto"/>
            </w:tcBorders>
            <w:gridSpan w:val="2"/>
            <w:vMerge w:val="continue"/>
          </w:tcPr>
          <w:p>
            <w:pPr>
              <w:spacing w:after="0"/>
              <w:rPr>
                <w:sz w:val="15"/>
                <w:szCs w:val="15"/>
                <w:color w:val="auto"/>
              </w:rPr>
            </w:pPr>
          </w:p>
        </w:tc>
        <w:tc>
          <w:tcPr>
            <w:tcW w:w="6420" w:type="dxa"/>
            <w:vAlign w:val="bottom"/>
          </w:tcPr>
          <w:p>
            <w:pPr>
              <w:spacing w:after="0"/>
              <w:rPr>
                <w:sz w:val="15"/>
                <w:szCs w:val="15"/>
                <w:color w:val="auto"/>
              </w:rPr>
            </w:pPr>
          </w:p>
        </w:tc>
        <w:tc>
          <w:tcPr>
            <w:tcW w:w="1160" w:type="dxa"/>
            <w:vAlign w:val="bottom"/>
            <w:gridSpan w:val="2"/>
          </w:tcPr>
          <w:p>
            <w:pPr>
              <w:ind w:left="260"/>
              <w:spacing w:after="0" w:line="160"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0" w:type="dxa"/>
            <w:vAlign w:val="bottom"/>
          </w:tcPr>
          <w:p>
            <w:pPr>
              <w:spacing w:after="0"/>
              <w:rPr>
                <w:sz w:val="1"/>
                <w:szCs w:val="1"/>
                <w:color w:val="auto"/>
              </w:rPr>
            </w:pPr>
          </w:p>
        </w:tc>
      </w:tr>
      <w:tr>
        <w:trPr>
          <w:trHeight w:val="203"/>
        </w:trPr>
        <w:tc>
          <w:tcPr>
            <w:tcW w:w="32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CCEEFF"/>
            </w:tcBorders>
            <w:shd w:val="clear" w:color="auto" w:fill="CCEEFF"/>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ind w:left="2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00" w:type="dxa"/>
            <w:vAlign w:val="bottom"/>
            <w:gridSpan w:val="2"/>
          </w:tcPr>
          <w:p>
            <w:pPr>
              <w:ind w:left="66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00" w:type="dxa"/>
            <w:vAlign w:val="bottom"/>
            <w:gridSpan w:val="2"/>
            <w:shd w:val="clear" w:color="auto" w:fill="CCEEFF"/>
          </w:tcPr>
          <w:p>
            <w:pPr>
              <w:ind w:left="66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Underwriters will pay for the Offered Securities upon delivery thereof with the closing to be held at the offices of Davis Polk &amp; Wardwell</w:t>
      </w:r>
    </w:p>
    <w:p>
      <w:pPr>
        <w:spacing w:after="0" w:line="27" w:lineRule="exact"/>
        <w:rPr>
          <w:sz w:val="20"/>
          <w:szCs w:val="20"/>
          <w:color w:val="auto"/>
        </w:rPr>
      </w:pPr>
    </w:p>
    <w:p>
      <w:pPr>
        <w:ind w:left="4" w:right="20"/>
        <w:spacing w:after="0" w:line="255" w:lineRule="auto"/>
        <w:rPr>
          <w:sz w:val="20"/>
          <w:szCs w:val="20"/>
          <w:color w:val="auto"/>
        </w:rPr>
      </w:pPr>
      <w:r>
        <w:rPr>
          <w:rFonts w:ascii="Times New Roman" w:cs="Times New Roman" w:eastAsia="Times New Roman" w:hAnsi="Times New Roman"/>
          <w:sz w:val="18"/>
          <w:szCs w:val="18"/>
          <w:color w:val="auto"/>
        </w:rPr>
        <w:t>LLP, 450 Lexington Avenue, New York, New York at 10:00 a.m. (New York time) on [ ], or at such other time, not later than 5:00 p.m. (New York time) on [ ] as shall be designated in writing by the Underwriters and the Company. The time and date of such payment and delivery are hereinafter referred to as the “Closing Date.”</w:t>
      </w:r>
    </w:p>
    <w:p>
      <w:pPr>
        <w:sectPr>
          <w:pgSz w:w="11900" w:h="16838" w:orient="portrait"/>
          <w:cols w:equalWidth="0" w:num="1">
            <w:col w:w="11024"/>
          </w:cols>
          <w:pgMar w:left="436" w:top="117" w:right="439" w:bottom="1440" w:gutter="0" w:footer="0" w:header="0"/>
        </w:sectPr>
      </w:pPr>
    </w:p>
    <w:p>
      <w:pPr>
        <w:spacing w:after="0" w:line="18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7"/>
          <w:szCs w:val="17"/>
          <w:color w:val="auto"/>
        </w:rPr>
        <w:t>The Offered Securities shall have the terms set forth in the Prospectus dated [</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(the “Prospectus”) and the Prospectus Supplement dated</w:t>
      </w:r>
    </w:p>
    <w:p>
      <w:pPr>
        <w:spacing w:after="0" w:line="39" w:lineRule="exact"/>
        <w:rPr>
          <w:sz w:val="20"/>
          <w:szCs w:val="20"/>
          <w:color w:val="auto"/>
        </w:rPr>
      </w:pPr>
    </w:p>
    <w:p>
      <w:pPr>
        <w:sectPr>
          <w:pgSz w:w="11900" w:h="16838" w:orient="portrait"/>
          <w:cols w:equalWidth="0" w:num="2">
            <w:col w:w="6004" w:space="540"/>
            <w:col w:w="4480"/>
          </w:cols>
          <w:pgMar w:left="436" w:top="117" w:right="439" w:bottom="1440" w:gutter="0" w:footer="0" w:header="0"/>
          <w:type w:val="continuous"/>
        </w:sectPr>
      </w:pPr>
    </w:p>
    <w:p>
      <w:pPr>
        <w:ind w:left="604" w:hanging="604"/>
        <w:spacing w:after="0"/>
        <w:tabs>
          <w:tab w:leader="none" w:pos="604"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(the “</w:t>
      </w:r>
      <w:r>
        <w:rPr>
          <w:rFonts w:ascii="Times New Roman" w:cs="Times New Roman" w:eastAsia="Times New Roman" w:hAnsi="Times New Roman"/>
          <w:sz w:val="17"/>
          <w:szCs w:val="17"/>
          <w:b w:val="1"/>
          <w:bCs w:val="1"/>
          <w:color w:val="auto"/>
        </w:rPr>
        <w:t>Prospectus Supplement</w:t>
      </w:r>
      <w:r>
        <w:rPr>
          <w:rFonts w:ascii="Times New Roman" w:cs="Times New Roman" w:eastAsia="Times New Roman" w:hAnsi="Times New Roman"/>
          <w:sz w:val="17"/>
          <w:szCs w:val="17"/>
          <w:color w:val="auto"/>
        </w:rPr>
        <w:t>”), including the following:</w:t>
      </w:r>
    </w:p>
    <w:p>
      <w:pPr>
        <w:spacing w:after="0" w:line="21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Terms of Offered Securities:</w:t>
      </w:r>
    </w:p>
    <w:p>
      <w:pPr>
        <w:sectPr>
          <w:pgSz w:w="11900" w:h="16838" w:orient="portrait"/>
          <w:cols w:equalWidth="0" w:num="1">
            <w:col w:w="11024"/>
          </w:cols>
          <w:pgMar w:left="436" w:top="117" w:right="439" w:bottom="1440" w:gutter="0" w:footer="0" w:header="0"/>
          <w:type w:val="continuous"/>
        </w:sectPr>
      </w:pP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7"/>
          <w:szCs w:val="17"/>
          <w:color w:val="auto"/>
        </w:rPr>
        <w:t>Maturity Date: [</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1604" w:space="540"/>
            <w:col w:w="8880"/>
          </w:cols>
          <w:pgMar w:left="436" w:top="117" w:right="439" w:bottom="1440" w:gutter="0" w:footer="0" w:header="0"/>
          <w:type w:val="continuous"/>
        </w:sectPr>
      </w:pPr>
    </w:p>
    <w:p>
      <w:pPr>
        <w:spacing w:after="0" w:line="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7"/>
          <w:szCs w:val="17"/>
          <w:color w:val="auto"/>
        </w:rPr>
        <w:t>Interest Rate: [</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1504" w:space="540"/>
            <w:col w:w="8980"/>
          </w:cols>
          <w:pgMar w:left="436" w:top="117" w:right="439" w:bottom="1440" w:gutter="0" w:footer="0" w:header="0"/>
          <w:type w:val="continuous"/>
        </w:sectPr>
      </w:pPr>
    </w:p>
    <w:p>
      <w:pPr>
        <w:spacing w:after="0" w:line="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7"/>
          <w:szCs w:val="17"/>
          <w:color w:val="auto"/>
        </w:rPr>
        <w:t>Redemption Provisions: [</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2284" w:space="540"/>
            <w:col w:w="8200"/>
          </w:cols>
          <w:pgMar w:left="436" w:top="117" w:right="439" w:bottom="1440" w:gutter="0" w:footer="0" w:header="0"/>
          <w:type w:val="continuous"/>
        </w:sectPr>
      </w:pPr>
    </w:p>
    <w:p>
      <w:pPr>
        <w:spacing w:after="0" w:line="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7"/>
          <w:szCs w:val="17"/>
          <w:color w:val="auto"/>
        </w:rPr>
        <w:t>Interest Payment Dates: [</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2264" w:space="540"/>
            <w:col w:w="8220"/>
          </w:cols>
          <w:pgMar w:left="436" w:top="117" w:right="439" w:bottom="1440" w:gutter="0" w:footer="0" w:header="0"/>
          <w:type w:val="continuous"/>
        </w:sectPr>
      </w:pPr>
    </w:p>
    <w:p>
      <w:pPr>
        <w:spacing w:after="0" w:line="25" w:lineRule="exact"/>
        <w:rPr>
          <w:sz w:val="20"/>
          <w:szCs w:val="20"/>
          <w:color w:val="auto"/>
        </w:rPr>
      </w:pPr>
    </w:p>
    <w:p>
      <w:pPr>
        <w:ind w:left="1384"/>
        <w:spacing w:after="0"/>
        <w:rPr>
          <w:sz w:val="20"/>
          <w:szCs w:val="20"/>
          <w:color w:val="auto"/>
        </w:rPr>
      </w:pPr>
      <w:r>
        <w:rPr>
          <w:rFonts w:ascii="Times New Roman" w:cs="Times New Roman" w:eastAsia="Times New Roman" w:hAnsi="Times New Roman"/>
          <w:sz w:val="18"/>
          <w:szCs w:val="18"/>
          <w:color w:val="auto"/>
        </w:rPr>
        <w:t>commencing [</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11" w:lineRule="exact"/>
        <w:rPr>
          <w:sz w:val="20"/>
          <w:szCs w:val="20"/>
          <w:color w:val="auto"/>
        </w:rPr>
      </w:pPr>
    </w:p>
    <w:p>
      <w:pPr>
        <w:sectPr>
          <w:pgSz w:w="11900" w:h="16838" w:orient="portrait"/>
          <w:cols w:equalWidth="0" w:num="2">
            <w:col w:w="2424" w:space="540"/>
            <w:col w:w="8060"/>
          </w:cols>
          <w:pgMar w:left="436" w:top="117" w:right="439" w:bottom="1440" w:gutter="0" w:footer="0" w:header="0"/>
          <w:type w:val="continuous"/>
        </w:sectPr>
      </w:pPr>
    </w:p>
    <w:p>
      <w:pPr>
        <w:spacing w:after="0" w:line="25" w:lineRule="exact"/>
        <w:rPr>
          <w:sz w:val="20"/>
          <w:szCs w:val="20"/>
          <w:color w:val="auto"/>
        </w:rPr>
      </w:pPr>
    </w:p>
    <w:p>
      <w:pPr>
        <w:ind w:left="1384"/>
        <w:spacing w:after="0"/>
        <w:rPr>
          <w:sz w:val="20"/>
          <w:szCs w:val="20"/>
          <w:color w:val="auto"/>
        </w:rPr>
      </w:pPr>
      <w:r>
        <w:rPr>
          <w:rFonts w:ascii="Times New Roman" w:cs="Times New Roman" w:eastAsia="Times New Roman" w:hAnsi="Times New Roman"/>
          <w:sz w:val="18"/>
          <w:szCs w:val="18"/>
          <w:color w:val="auto"/>
        </w:rPr>
        <w:t>(Interest accrues from [</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3084" w:space="360"/>
            <w:col w:w="7580"/>
          </w:cols>
          <w:pgMar w:left="436" w:top="117" w:right="439" w:bottom="1440" w:gutter="0" w:footer="0" w:header="0"/>
          <w:type w:val="continuous"/>
        </w:sectPr>
      </w:pPr>
    </w:p>
    <w:p>
      <w:pPr>
        <w:spacing w:after="0" w:line="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7"/>
          <w:szCs w:val="17"/>
          <w:color w:val="auto"/>
        </w:rPr>
        <w:t>Form and Denomination: [</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00" w:lineRule="exact"/>
        <w:rPr>
          <w:sz w:val="20"/>
          <w:szCs w:val="20"/>
          <w:color w:val="auto"/>
        </w:rPr>
      </w:pPr>
    </w:p>
    <w:p>
      <w:pPr>
        <w:sectPr>
          <w:pgSz w:w="11900" w:h="16838" w:orient="portrait"/>
          <w:cols w:equalWidth="0" w:num="2">
            <w:col w:w="2364" w:space="540"/>
            <w:col w:w="8120"/>
          </w:cols>
          <w:pgMar w:left="436" w:top="117" w:right="439" w:bottom="1440" w:gutter="0" w:footer="0" w:header="0"/>
          <w:type w:val="continuous"/>
        </w:sectPr>
      </w:pPr>
    </w:p>
    <w:p>
      <w:pPr>
        <w:spacing w:after="0" w:line="3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7"/>
          <w:szCs w:val="17"/>
          <w:color w:val="auto"/>
        </w:rPr>
        <w:t>Ranking: [</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1204" w:space="540"/>
            <w:col w:w="9280"/>
          </w:cols>
          <w:pgMar w:left="436" w:top="117" w:right="439" w:bottom="1440" w:gutter="0" w:footer="0" w:header="0"/>
          <w:type w:val="continuous"/>
        </w:sectPr>
      </w:pPr>
    </w:p>
    <w:p>
      <w:pPr>
        <w:spacing w:after="0" w:line="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Other Terms: As set forth in the Prospectus Supplement.</w:t>
      </w:r>
    </w:p>
    <w:p>
      <w:pPr>
        <w:spacing w:after="0" w:line="158"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024"/>
          </w:cols>
          <w:pgMar w:left="436" w:top="117" w:right="439" w:bottom="1440" w:gutter="0" w:footer="0" w:header="0"/>
          <w:type w:val="continuous"/>
        </w:sectPr>
      </w:pPr>
    </w:p>
    <w:bookmarkStart w:id="41" w:name="page42"/>
    <w:bookmarkEnd w:id="41"/>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Capitalized terms used above and not defined herein shall have the meanings set forth in the Prospectus and Prospectus Supplement referred to above.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All communications hereunder shall be in writing and effective only upon receipt and (a) if to the Underwriters, shall be delivered, mailed or sent</w:t>
      </w:r>
    </w:p>
    <w:p>
      <w:pPr>
        <w:sectPr>
          <w:pgSz w:w="11900" w:h="16838" w:orient="portrait"/>
          <w:cols w:equalWidth="0" w:num="1">
            <w:col w:w="10960"/>
          </w:cols>
          <w:pgMar w:left="440" w:top="270" w:right="499" w:bottom="1440" w:gutter="0" w:footer="0" w:header="0"/>
        </w:sectPr>
      </w:pPr>
    </w:p>
    <w:p>
      <w:pPr>
        <w:spacing w:after="0" w:line="3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via facsimile in care of (i) [ ]; facsimile number [ ]; Attention: [ ], (ii) [ ]; facsimile number [ ]; or (b) if to the Company shall be delivered, mailed or sent via facsimile to One Comcast Center, Philadelphia, Pennsylvania 19103, facsimile number [ attention: [ ].</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55" w:lineRule="exact"/>
        <w:rPr>
          <w:sz w:val="20"/>
          <w:szCs w:val="20"/>
          <w:color w:val="auto"/>
        </w:rPr>
      </w:pPr>
    </w:p>
    <w:p>
      <w:pPr>
        <w:sectPr>
          <w:pgSz w:w="11900" w:h="16838" w:orient="portrait"/>
          <w:cols w:equalWidth="0" w:num="2">
            <w:col w:w="10320" w:space="20"/>
            <w:col w:w="620"/>
          </w:cols>
          <w:pgMar w:left="440" w:top="270" w:right="499" w:bottom="1440" w:gutter="0" w:footer="0" w:header="0"/>
          <w:type w:val="continuous"/>
        </w:sectPr>
      </w:pPr>
    </w:p>
    <w:p>
      <w:pPr>
        <w:spacing w:after="0" w:line="19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The Company acknowledges and agrees that each of the Underwriters is acting solely in the capacity of an arm’s length contractual counterparty to the Company with respect to the offering of Offered Securities contemplated hereby (including in connection with determining the terms of the offering) and not as a financial advisor or a fiduciary to, or an agent of, the Company or any other person. Additionally, none of the Underwriters is advising the Company or any other person as to any legal, tax, investment, accounting or regulatory matters in any jurisdiction with respect to the offering of Offered Securities contemplated hereby. The Company shall consult with its own advisors concerning such matters and shall be responsible for making their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w:t>
      </w:r>
    </w:p>
    <w:p>
      <w:pPr>
        <w:spacing w:after="0" w:line="19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Except as set forth below, all provisions contained in the document entitled Comcast Corporation Underwriting Agreement Standard Provisions (Debt Securities) dated [ ], (the “Standard Provisions”), a copy of which is attached hereto, are herein incorporated by reference in their entirety and shall be deemed to be a part of this Agreement to the same extent as if such provisions had been set forth in full herein, except that (i) if any term defined in such document is otherwise defined herein, the definition set forth herein shall control, (ii) all references in such document to a type of security that is not an Offered Security shall not be deemed to be a part of this Agreement and (iii) all references in such document to a type of agreement that has not been entered into in connection with the transactions contemplated hereby shall not be deemed to be a part of this Agreement.</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40" w:top="270" w:right="499" w:bottom="1440" w:gutter="0" w:footer="0" w:header="0"/>
          <w:type w:val="continuous"/>
        </w:sectPr>
      </w:pPr>
    </w:p>
    <w:bookmarkStart w:id="42" w:name="page43"/>
    <w:bookmarkEnd w:id="4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Please confirm your agreement by having an authorized officer sign a copy of this Agreement in the space set forth below.</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1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of Lead Managers]</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On behalf of themselves and the other Underwriters named</w:t>
      </w:r>
    </w:p>
    <w:p>
      <w:pPr>
        <w:spacing w:after="0" w:line="3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herein</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COMCAST CABLE COMMUNICATIONS,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NBCUNIVERSAL MEDIA,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860"/>
          </w:cols>
          <w:pgMar w:left="440" w:top="270" w:right="59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w:t>
      </w:r>
    </w:p>
    <w:p>
      <w:pPr>
        <w:spacing w:after="0" w:line="225" w:lineRule="exact"/>
        <w:rPr>
          <w:sz w:val="20"/>
          <w:szCs w:val="20"/>
          <w:color w:val="auto"/>
        </w:rPr>
      </w:pPr>
    </w:p>
    <w:tbl>
      <w:tblPr>
        <w:tblLayout w:type="fixed"/>
        <w:tblInd w:w="44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5520" w:type="dxa"/>
            <w:vAlign w:val="bottom"/>
          </w:tcPr>
          <w:p>
            <w:pPr>
              <w:jc w:val="center"/>
              <w:ind w:right="2390"/>
              <w:spacing w:after="0"/>
              <w:rPr>
                <w:sz w:val="20"/>
                <w:szCs w:val="20"/>
                <w:color w:val="auto"/>
              </w:rPr>
            </w:pPr>
            <w:r>
              <w:rPr>
                <w:rFonts w:ascii="Times New Roman" w:cs="Times New Roman" w:eastAsia="Times New Roman" w:hAnsi="Times New Roman"/>
                <w:sz w:val="18"/>
                <w:szCs w:val="18"/>
                <w:b w:val="1"/>
                <w:bCs w:val="1"/>
                <w:color w:val="auto"/>
                <w:w w:val="99"/>
              </w:rPr>
              <w:t>TIME OF SALE PROSPECTUS</w:t>
            </w:r>
          </w:p>
        </w:tc>
        <w:tc>
          <w:tcPr>
            <w:tcW w:w="400" w:type="dxa"/>
            <w:vAlign w:val="bottom"/>
          </w:tcPr>
          <w:p>
            <w:pPr>
              <w:spacing w:after="0"/>
              <w:rPr>
                <w:sz w:val="20"/>
                <w:szCs w:val="20"/>
                <w:color w:val="auto"/>
              </w:rPr>
            </w:pPr>
          </w:p>
        </w:tc>
      </w:tr>
      <w:tr>
        <w:trPr>
          <w:trHeight w:val="432"/>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w:t>
            </w:r>
          </w:p>
        </w:tc>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Base Prospectus dated [</w:t>
            </w:r>
          </w:p>
        </w:tc>
        <w:tc>
          <w:tcPr>
            <w:tcW w:w="6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relating to the Offered Securities and included in the Registration Statement (File No. [</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2.</w:t>
            </w:r>
          </w:p>
        </w:tc>
        <w:tc>
          <w:tcPr>
            <w:tcW w:w="3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Preliminary Prospectus Supplement dated [</w:t>
            </w:r>
          </w:p>
        </w:tc>
        <w:tc>
          <w:tcPr>
            <w:tcW w:w="5520" w:type="dxa"/>
            <w:vAlign w:val="bottom"/>
          </w:tcPr>
          <w:p>
            <w:pPr>
              <w:jc w:val="center"/>
              <w:ind w:right="2370"/>
              <w:spacing w:after="0"/>
              <w:rPr>
                <w:sz w:val="20"/>
                <w:szCs w:val="20"/>
                <w:color w:val="auto"/>
              </w:rPr>
            </w:pPr>
            <w:r>
              <w:rPr>
                <w:rFonts w:ascii="Times New Roman" w:cs="Times New Roman" w:eastAsia="Times New Roman" w:hAnsi="Times New Roman"/>
                <w:sz w:val="18"/>
                <w:szCs w:val="18"/>
                <w:color w:val="auto"/>
                <w:w w:val="99"/>
              </w:rPr>
              <w:t>] relating to the Offered Securities</w:t>
            </w:r>
          </w:p>
        </w:tc>
        <w:tc>
          <w:tcPr>
            <w:tcW w:w="400" w:type="dxa"/>
            <w:vAlign w:val="bottom"/>
          </w:tcPr>
          <w:p>
            <w:pPr>
              <w:spacing w:after="0"/>
              <w:rPr>
                <w:sz w:val="24"/>
                <w:szCs w:val="24"/>
                <w:color w:val="auto"/>
              </w:rPr>
            </w:pP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 Final term sheet containing the final terms of the Offered Securities as set forth in Schedule II hereto and filed with the Commission under Rule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433</w:t>
      </w:r>
    </w:p>
    <w:p>
      <w:pPr>
        <w:sectPr>
          <w:pgSz w:w="11900" w:h="16838" w:orient="portrait"/>
          <w:cols w:equalWidth="0" w:num="1">
            <w:col w:w="11020"/>
          </w:cols>
          <w:pgMar w:left="440" w:top="266" w:right="4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II</w:t>
      </w:r>
    </w:p>
    <w:p>
      <w:pPr>
        <w:spacing w:after="0" w:line="22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FINAL TERM SHEET</w:t>
      </w:r>
    </w:p>
    <w:p>
      <w:pPr>
        <w:sectPr>
          <w:pgSz w:w="11900" w:h="16838" w:orient="portrait"/>
          <w:cols w:equalWidth="0" w:num="1">
            <w:col w:w="10020"/>
          </w:cols>
          <w:pgMar w:left="1440" w:top="266" w:right="4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UNDERWRITING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STANDARD PROVISIONS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(DEBT SECURITIES)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August 1, 2019</w:t>
      </w:r>
    </w:p>
    <w:p>
      <w:pPr>
        <w:spacing w:after="0" w:line="221" w:lineRule="exact"/>
        <w:rPr>
          <w:sz w:val="20"/>
          <w:szCs w:val="20"/>
          <w:color w:val="auto"/>
        </w:rPr>
      </w:pPr>
    </w:p>
    <w:p>
      <w:pPr>
        <w:ind w:right="120" w:firstLine="440"/>
        <w:spacing w:after="0" w:line="259" w:lineRule="auto"/>
        <w:rPr>
          <w:sz w:val="20"/>
          <w:szCs w:val="20"/>
          <w:color w:val="auto"/>
        </w:rPr>
      </w:pPr>
      <w:r>
        <w:rPr>
          <w:rFonts w:ascii="Times New Roman" w:cs="Times New Roman" w:eastAsia="Times New Roman" w:hAnsi="Times New Roman"/>
          <w:sz w:val="18"/>
          <w:szCs w:val="18"/>
          <w:color w:val="auto"/>
        </w:rPr>
        <w:t>From time to time, Comcast Corporation, a Pennsylvania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may, alone or together with NBCUniversal Media, LLC and Comcast Cable Communications, LLC (together, the “</w:t>
      </w:r>
      <w:r>
        <w:rPr>
          <w:rFonts w:ascii="Times New Roman" w:cs="Times New Roman" w:eastAsia="Times New Roman" w:hAnsi="Times New Roman"/>
          <w:sz w:val="18"/>
          <w:szCs w:val="18"/>
          <w:b w:val="1"/>
          <w:bCs w:val="1"/>
          <w:color w:val="auto"/>
        </w:rPr>
        <w:t>Guarantors</w:t>
      </w:r>
      <w:r>
        <w:rPr>
          <w:rFonts w:ascii="Times New Roman" w:cs="Times New Roman" w:eastAsia="Times New Roman" w:hAnsi="Times New Roman"/>
          <w:sz w:val="18"/>
          <w:szCs w:val="18"/>
          <w:color w:val="auto"/>
        </w:rPr>
        <w:t>”), enter into one or more underwriting agreements that provide for the sale of designated securities to the several underwriters named therein. The standard provisions set forth herein may be incorporated by reference in any such underwriting agreement (an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 The Underwriting Agreement, including the provisions incorporated therein by reference, is herein referred to as this Agreement. Terms defined in the Underwriting Agreement are used herein as therein defined.</w:t>
      </w:r>
    </w:p>
    <w:p>
      <w:pPr>
        <w:spacing w:after="0" w:line="179"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color w:val="auto"/>
        </w:rPr>
        <w:t>The Company proposes to issue from time to time its senior debt securities (the “</w:t>
      </w:r>
      <w:r>
        <w:rPr>
          <w:rFonts w:ascii="Times New Roman" w:cs="Times New Roman" w:eastAsia="Times New Roman" w:hAnsi="Times New Roman"/>
          <w:sz w:val="18"/>
          <w:szCs w:val="18"/>
          <w:b w:val="1"/>
          <w:bCs w:val="1"/>
          <w:color w:val="auto"/>
        </w:rPr>
        <w:t>Debt Securities</w:t>
      </w:r>
      <w:r>
        <w:rPr>
          <w:rFonts w:ascii="Times New Roman" w:cs="Times New Roman" w:eastAsia="Times New Roman" w:hAnsi="Times New Roman"/>
          <w:sz w:val="18"/>
          <w:szCs w:val="18"/>
          <w:color w:val="auto"/>
        </w:rPr>
        <w:t>”), which Debt Securities may, if so designated, be convertible into the Company’s Class A Common Stock, par value $0.01 per share. The Debt Securities may be guaranteed (the “</w:t>
      </w:r>
      <w:r>
        <w:rPr>
          <w:rFonts w:ascii="Times New Roman" w:cs="Times New Roman" w:eastAsia="Times New Roman" w:hAnsi="Times New Roman"/>
          <w:sz w:val="18"/>
          <w:szCs w:val="18"/>
          <w:b w:val="1"/>
          <w:bCs w:val="1"/>
          <w:color w:val="auto"/>
        </w:rPr>
        <w:t>Guarantees</w:t>
      </w:r>
      <w:r>
        <w:rPr>
          <w:rFonts w:ascii="Times New Roman" w:cs="Times New Roman" w:eastAsia="Times New Roman" w:hAnsi="Times New Roman"/>
          <w:sz w:val="18"/>
          <w:szCs w:val="18"/>
          <w:color w:val="auto"/>
        </w:rPr>
        <w:t>”) on an unsecured basis by the Guarantors.</w:t>
      </w:r>
    </w:p>
    <w:p>
      <w:pPr>
        <w:spacing w:after="0" w:line="171" w:lineRule="exact"/>
        <w:rPr>
          <w:sz w:val="20"/>
          <w:szCs w:val="20"/>
          <w:color w:val="auto"/>
        </w:rPr>
      </w:pPr>
    </w:p>
    <w:p>
      <w:pPr>
        <w:ind w:right="80" w:firstLine="440"/>
        <w:spacing w:after="0" w:line="253" w:lineRule="auto"/>
        <w:rPr>
          <w:sz w:val="20"/>
          <w:szCs w:val="20"/>
          <w:color w:val="auto"/>
        </w:rPr>
      </w:pPr>
      <w:r>
        <w:rPr>
          <w:rFonts w:ascii="Times New Roman" w:cs="Times New Roman" w:eastAsia="Times New Roman" w:hAnsi="Times New Roman"/>
          <w:sz w:val="18"/>
          <w:szCs w:val="18"/>
          <w:color w:val="auto"/>
        </w:rPr>
        <w:t>The Company and the Guarantors have filed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a registration statement including a prospectus relating to the Debt Securities and the Guarantees and have filed with, or transmitted for filing to, or shall promptly after the date of this Agreement file with or transmit for filing to, the Commission a prospectus supplement (the “</w:t>
      </w:r>
      <w:r>
        <w:rPr>
          <w:rFonts w:ascii="Times New Roman" w:cs="Times New Roman" w:eastAsia="Times New Roman" w:hAnsi="Times New Roman"/>
          <w:sz w:val="18"/>
          <w:szCs w:val="18"/>
          <w:b w:val="1"/>
          <w:bCs w:val="1"/>
          <w:color w:val="auto"/>
        </w:rPr>
        <w:t>Prospectus Supplement</w:t>
      </w:r>
      <w:r>
        <w:rPr>
          <w:rFonts w:ascii="Times New Roman" w:cs="Times New Roman" w:eastAsia="Times New Roman" w:hAnsi="Times New Roman"/>
          <w:sz w:val="18"/>
          <w:szCs w:val="18"/>
          <w:color w:val="auto"/>
        </w:rPr>
        <w:t>”) pursuant to Rule 424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specifically relating to the Debt Securities and the Guarantees, if applicable, offered pursuant to this Agreement (the “</w:t>
      </w:r>
      <w:r>
        <w:rPr>
          <w:rFonts w:ascii="Times New Roman" w:cs="Times New Roman" w:eastAsia="Times New Roman" w:hAnsi="Times New Roman"/>
          <w:sz w:val="18"/>
          <w:szCs w:val="18"/>
          <w:b w:val="1"/>
          <w:bCs w:val="1"/>
          <w:color w:val="auto"/>
        </w:rPr>
        <w:t>Offered Securities</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means the registration statement as amended to the date of this Agreement, including any additional registration statement filed by the Company pursuant to Rule 462(b). The term “</w:t>
      </w:r>
      <w:r>
        <w:rPr>
          <w:rFonts w:ascii="Times New Roman" w:cs="Times New Roman" w:eastAsia="Times New Roman" w:hAnsi="Times New Roman"/>
          <w:sz w:val="18"/>
          <w:szCs w:val="18"/>
          <w:b w:val="1"/>
          <w:bCs w:val="1"/>
          <w:color w:val="auto"/>
        </w:rPr>
        <w:t>Base Prospectus</w:t>
      </w:r>
      <w:r>
        <w:rPr>
          <w:rFonts w:ascii="Times New Roman" w:cs="Times New Roman" w:eastAsia="Times New Roman" w:hAnsi="Times New Roman"/>
          <w:sz w:val="18"/>
          <w:szCs w:val="18"/>
          <w:color w:val="auto"/>
        </w:rPr>
        <w:t>” means the prospectus included in the Registration Statement. The term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means the Base Prospectus together with the Prospectus Supplement. The term “</w:t>
      </w:r>
      <w:r>
        <w:rPr>
          <w:rFonts w:ascii="Times New Roman" w:cs="Times New Roman" w:eastAsia="Times New Roman" w:hAnsi="Times New Roman"/>
          <w:sz w:val="18"/>
          <w:szCs w:val="18"/>
          <w:b w:val="1"/>
          <w:bCs w:val="1"/>
          <w:color w:val="auto"/>
        </w:rPr>
        <w:t>preliminary prospectus</w:t>
      </w:r>
      <w:r>
        <w:rPr>
          <w:rFonts w:ascii="Times New Roman" w:cs="Times New Roman" w:eastAsia="Times New Roman" w:hAnsi="Times New Roman"/>
          <w:sz w:val="18"/>
          <w:szCs w:val="18"/>
          <w:color w:val="auto"/>
        </w:rPr>
        <w:t>” means a preliminary prospectus supplement specifically relating to the Offered Securities, together with the Base Prospectus. The term “</w:t>
      </w:r>
      <w:r>
        <w:rPr>
          <w:rFonts w:ascii="Times New Roman" w:cs="Times New Roman" w:eastAsia="Times New Roman" w:hAnsi="Times New Roman"/>
          <w:sz w:val="18"/>
          <w:szCs w:val="18"/>
          <w:b w:val="1"/>
          <w:bCs w:val="1"/>
          <w:color w:val="auto"/>
        </w:rPr>
        <w:t>free writing prospectus</w:t>
      </w:r>
      <w:r>
        <w:rPr>
          <w:rFonts w:ascii="Times New Roman" w:cs="Times New Roman" w:eastAsia="Times New Roman" w:hAnsi="Times New Roman"/>
          <w:sz w:val="18"/>
          <w:szCs w:val="18"/>
          <w:color w:val="auto"/>
        </w:rPr>
        <w:t>” has the meaning set forth in Rule 405 under the Securities Act. The term “</w:t>
      </w:r>
      <w:r>
        <w:rPr>
          <w:rFonts w:ascii="Times New Roman" w:cs="Times New Roman" w:eastAsia="Times New Roman" w:hAnsi="Times New Roman"/>
          <w:sz w:val="18"/>
          <w:szCs w:val="18"/>
          <w:b w:val="1"/>
          <w:bCs w:val="1"/>
          <w:color w:val="auto"/>
        </w:rPr>
        <w:t>issuer free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writing prospectus</w:t>
      </w:r>
      <w:r>
        <w:rPr>
          <w:rFonts w:ascii="Times New Roman" w:cs="Times New Roman" w:eastAsia="Times New Roman" w:hAnsi="Times New Roman"/>
          <w:sz w:val="18"/>
          <w:szCs w:val="18"/>
          <w:color w:val="auto"/>
        </w:rPr>
        <w:t>” has the meaning set forth in Rule 433 under the Securities Act. The term “</w:t>
      </w:r>
      <w:r>
        <w:rPr>
          <w:rFonts w:ascii="Times New Roman" w:cs="Times New Roman" w:eastAsia="Times New Roman" w:hAnsi="Times New Roman"/>
          <w:sz w:val="18"/>
          <w:szCs w:val="18"/>
          <w:b w:val="1"/>
          <w:bCs w:val="1"/>
          <w:color w:val="auto"/>
        </w:rPr>
        <w:t>Disclosure Package</w:t>
      </w:r>
      <w:r>
        <w:rPr>
          <w:rFonts w:ascii="Times New Roman" w:cs="Times New Roman" w:eastAsia="Times New Roman" w:hAnsi="Times New Roman"/>
          <w:sz w:val="18"/>
          <w:szCs w:val="18"/>
          <w:color w:val="auto"/>
        </w:rPr>
        <w:t>” means the Base Prospectus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preliminary prospectus, if any, together with any additional documents or other information identified in Schedule I to this Agreement. As used herein, the terms “Base Prospectus,” “Prospectus,” “preliminary prospectus” and “Disclosure Package” shall include in each case the documents, if any, incorporated by reference therein. As used herein, the term “</w:t>
      </w:r>
      <w:r>
        <w:rPr>
          <w:rFonts w:ascii="Times New Roman" w:cs="Times New Roman" w:eastAsia="Times New Roman" w:hAnsi="Times New Roman"/>
          <w:sz w:val="18"/>
          <w:szCs w:val="18"/>
          <w:b w:val="1"/>
          <w:bCs w:val="1"/>
          <w:color w:val="auto"/>
        </w:rPr>
        <w:t>Applicable Time</w:t>
      </w:r>
      <w:r>
        <w:rPr>
          <w:rFonts w:ascii="Times New Roman" w:cs="Times New Roman" w:eastAsia="Times New Roman" w:hAnsi="Times New Roman"/>
          <w:sz w:val="18"/>
          <w:szCs w:val="18"/>
          <w:color w:val="auto"/>
        </w:rPr>
        <w:t>” means the time and date at which this Agreement is deemed to be executed or such other</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46" w:name="page47"/>
    <w:bookmarkEnd w:id="46"/>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time as agreed in writing by the Company and the Managers. The terms “supplement,” “amendment” and “amend” as used herein shall include all documents deemed to be incorporated by reference in the Prospectus that are filed subsequent to the date of the Base Prospectus by the Company with the Commission pursuant to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For purposes of this Agreement, “</w:t>
      </w:r>
      <w:r>
        <w:rPr>
          <w:rFonts w:ascii="Times New Roman" w:cs="Times New Roman" w:eastAsia="Times New Roman" w:hAnsi="Times New Roman"/>
          <w:sz w:val="18"/>
          <w:szCs w:val="18"/>
          <w:b w:val="1"/>
          <w:bCs w:val="1"/>
          <w:color w:val="auto"/>
        </w:rPr>
        <w:t>Issuers</w:t>
      </w:r>
      <w:r>
        <w:rPr>
          <w:rFonts w:ascii="Times New Roman" w:cs="Times New Roman" w:eastAsia="Times New Roman" w:hAnsi="Times New Roman"/>
          <w:sz w:val="18"/>
          <w:szCs w:val="18"/>
          <w:color w:val="auto"/>
        </w:rPr>
        <w:t>” means the Company and includes the Guarantors if Guarantees are offered pursuant to this Agreement.</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 xml:space="preserve">1. </w:t>
      </w:r>
      <w:r>
        <w:rPr>
          <w:rFonts w:ascii="Times New Roman" w:cs="Times New Roman" w:eastAsia="Times New Roman" w:hAnsi="Times New Roman"/>
          <w:sz w:val="17"/>
          <w:szCs w:val="17"/>
          <w:i w:val="1"/>
          <w:iCs w:val="1"/>
          <w:color w:val="auto"/>
        </w:rPr>
        <w:t>Representations and Warranties</w:t>
      </w:r>
      <w:r>
        <w:rPr>
          <w:rFonts w:ascii="Times New Roman" w:cs="Times New Roman" w:eastAsia="Times New Roman" w:hAnsi="Times New Roman"/>
          <w:sz w:val="17"/>
          <w:szCs w:val="17"/>
          <w:color w:val="auto"/>
        </w:rPr>
        <w:t>. The Issuers, jointly and severally, represent and warrant to each of the Underwriters as of the Applicable Time</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w:t>
      </w:r>
    </w:p>
    <w:p>
      <w:pPr>
        <w:spacing w:after="0" w:line="99" w:lineRule="exact"/>
        <w:rPr>
          <w:sz w:val="20"/>
          <w:szCs w:val="20"/>
          <w:color w:val="auto"/>
        </w:rPr>
      </w:pPr>
    </w:p>
    <w:p>
      <w:pPr>
        <w:ind w:left="440" w:right="220" w:firstLine="419"/>
        <w:spacing w:after="0" w:line="282" w:lineRule="auto"/>
        <w:tabs>
          <w:tab w:leader="none" w:pos="110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has become effective; no stop order suspending the effectiveness of the Registration Statement is in effect, and no proceedings for such purpose are pending before or threatened by the Commission.</w:t>
      </w:r>
    </w:p>
    <w:p>
      <w:pPr>
        <w:spacing w:after="0" w:line="53" w:lineRule="exact"/>
        <w:rPr>
          <w:rFonts w:ascii="Times New Roman" w:cs="Times New Roman" w:eastAsia="Times New Roman" w:hAnsi="Times New Roman"/>
          <w:sz w:val="18"/>
          <w:szCs w:val="18"/>
          <w:color w:val="auto"/>
        </w:rPr>
      </w:pPr>
    </w:p>
    <w:p>
      <w:pPr>
        <w:ind w:left="440" w:right="60" w:firstLine="419"/>
        <w:spacing w:after="0" w:line="266" w:lineRule="auto"/>
        <w:tabs>
          <w:tab w:leader="none" w:pos="111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document filed or to be filed pursuant to the Exchange Act and incorporated by reference in the Disclosure Package or the Prospectus complied or will comply when so filed in all material respects with the Exchange Act and the rules and regulations of the Commission thereunder.</w:t>
      </w:r>
    </w:p>
    <w:p>
      <w:pPr>
        <w:spacing w:after="0" w:line="67" w:lineRule="exact"/>
        <w:rPr>
          <w:rFonts w:ascii="Times New Roman" w:cs="Times New Roman" w:eastAsia="Times New Roman" w:hAnsi="Times New Roman"/>
          <w:sz w:val="18"/>
          <w:szCs w:val="18"/>
          <w:color w:val="auto"/>
        </w:rPr>
      </w:pPr>
    </w:p>
    <w:p>
      <w:pPr>
        <w:ind w:left="440" w:firstLine="419"/>
        <w:spacing w:after="0" w:line="256" w:lineRule="auto"/>
        <w:tabs>
          <w:tab w:leader="none" w:pos="110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the Disclosure Package and the Prospectus comply in all material respects with the Securities Act and the rules and regulations of the Commission thereunder and do not contain any untrue statement of a material fact or omit to state any material fact required to be stated therein or necessary to make the statements therein not misleading, except that the foregoing representations and warranties do not apply to (i) that part of the Registration Statement which shall constitute the Statement of Eligibility of the Trustee on Form T-1 (the “</w:t>
      </w:r>
      <w:r>
        <w:rPr>
          <w:rFonts w:ascii="Times New Roman" w:cs="Times New Roman" w:eastAsia="Times New Roman" w:hAnsi="Times New Roman"/>
          <w:sz w:val="18"/>
          <w:szCs w:val="18"/>
          <w:b w:val="1"/>
          <w:bCs w:val="1"/>
          <w:color w:val="auto"/>
        </w:rPr>
        <w:t>Form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T-1</w:t>
      </w:r>
      <w:r>
        <w:rPr>
          <w:rFonts w:ascii="Times New Roman" w:cs="Times New Roman" w:eastAsia="Times New Roman" w:hAnsi="Times New Roman"/>
          <w:sz w:val="18"/>
          <w:szCs w:val="18"/>
          <w:color w:val="auto"/>
        </w:rPr>
        <w:t>”) or (ii) statements or omissions in the Registration Statement, the Disclosure Package or the Prospectus or any amendment or supplement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thereto based upon information furnished to the Issuers in writing by any Underwriter through the Managers expressly for use therein.</w:t>
      </w:r>
    </w:p>
    <w:p>
      <w:pPr>
        <w:spacing w:after="0" w:line="79" w:lineRule="exact"/>
        <w:rPr>
          <w:rFonts w:ascii="Times New Roman" w:cs="Times New Roman" w:eastAsia="Times New Roman" w:hAnsi="Times New Roman"/>
          <w:sz w:val="18"/>
          <w:szCs w:val="18"/>
          <w:color w:val="auto"/>
        </w:rPr>
      </w:pPr>
    </w:p>
    <w:p>
      <w:pPr>
        <w:ind w:left="440" w:right="20" w:firstLine="419"/>
        <w:spacing w:after="0" w:line="255" w:lineRule="auto"/>
        <w:tabs>
          <w:tab w:leader="none" w:pos="111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 “ineligible issuer” in connection with the offering pursuant to Rules 164, 405 and 433 under the Securities Act. The Company has not made, used, prepared, authorized, approved or referred to any offer relating to the Offered Securities that would constitute a free writing prospectus other than (i) any written communications furnished in advance to the Managers; (ii) an electronic road show, if any, furnished to the Managers before first use; or (iii) free writing prospectuses identified on Schedule I to this Agreement, including the term sheet as set forth in Schedule II to this Agreement. Any such free writing prospectus as of its issue date complied in all material respects with the requirements of the Securities Act and the rules and regulations thereunder and was filed with the Commission in accordance with the Securities Act (to the extent required pursuant to Rule 433(d) thereunder).</w:t>
      </w:r>
    </w:p>
    <w:p>
      <w:pPr>
        <w:spacing w:after="0" w:line="80" w:lineRule="exact"/>
        <w:rPr>
          <w:rFonts w:ascii="Times New Roman" w:cs="Times New Roman" w:eastAsia="Times New Roman" w:hAnsi="Times New Roman"/>
          <w:sz w:val="18"/>
          <w:szCs w:val="18"/>
          <w:color w:val="auto"/>
        </w:rPr>
      </w:pPr>
    </w:p>
    <w:p>
      <w:pPr>
        <w:ind w:left="440" w:right="200" w:firstLine="419"/>
        <w:spacing w:after="0" w:line="266" w:lineRule="auto"/>
        <w:tabs>
          <w:tab w:leader="none" w:pos="110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by each Issuer of, and the performance by each Issuer of its obligations under, this Agreement, each indenture under which the Offered Securities are to be issued, and the Offered Securities, will not contravene any provision of applicable law or the articles of incorporation or by-laws of any Issuer or any agreement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47" w:name="page48"/>
    <w:bookmarkEnd w:id="47"/>
    <w:p>
      <w:pPr>
        <w:ind w:left="4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or other instrument binding upon the Company or any of its subsidiaries that is material to the Company and its consolidated subsidiaries, taken as a whole, or any judgment, order or decree of any governmental body, agency or court having jurisdiction over the Company or any of its consolidated subsidiaries, and no consent, approval, authorization or order of, or qualification with, any governmental body or agency is required for the performance by each Issuer of its obligations under this Agreement, each indenture under which the Offered Securities are to be issued or the Offered Securities, except such as may be required by the securities or blue sky laws of the various states in connection with the offer and sale of the Offered Securities;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representation is made as to whether the purchase of the Offered Securities constitutes a “prohibited transaction” under Section 406 of the Employee Retirement Income Security Act of 1974, as amended, or Section 4975 of the Internal Revenue Code of 1986, as amended.</w:t>
      </w:r>
    </w:p>
    <w:p>
      <w:pPr>
        <w:spacing w:after="0" w:line="84" w:lineRule="exact"/>
        <w:rPr>
          <w:sz w:val="20"/>
          <w:szCs w:val="20"/>
          <w:color w:val="auto"/>
        </w:rPr>
      </w:pPr>
    </w:p>
    <w:p>
      <w:pPr>
        <w:ind w:left="420" w:right="260" w:firstLine="419"/>
        <w:spacing w:after="0" w:line="266" w:lineRule="auto"/>
        <w:tabs>
          <w:tab w:leader="none" w:pos="106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(i) in violation of its articles of incorporation or by-laws (or similar organizational documents) or (ii) in default in the performance or observance of any obligation, covenant or condition contained in any contract, except to the extent such default would not have a material adverse effect.</w:t>
      </w:r>
    </w:p>
    <w:p>
      <w:pPr>
        <w:spacing w:after="0" w:line="67" w:lineRule="exact"/>
        <w:rPr>
          <w:rFonts w:ascii="Times New Roman" w:cs="Times New Roman" w:eastAsia="Times New Roman" w:hAnsi="Times New Roman"/>
          <w:sz w:val="18"/>
          <w:szCs w:val="18"/>
          <w:color w:val="auto"/>
        </w:rPr>
      </w:pPr>
    </w:p>
    <w:p>
      <w:pPr>
        <w:ind w:left="420" w:right="260" w:firstLine="419"/>
        <w:spacing w:after="0" w:line="266" w:lineRule="auto"/>
        <w:tabs>
          <w:tab w:leader="none" w:pos="109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not occurred any material adverse change, or any development involving a prospective material adverse change, in the condition, financial or otherwise, or in the earnings, business or operations of the Company and its subsidiaries, taken as a whole, from that set forth in the Disclosure Package (exclusive of any amendments or supplements thereto effected subsequent to the date of the Agreement).</w:t>
      </w:r>
    </w:p>
    <w:p>
      <w:pPr>
        <w:spacing w:after="0" w:line="67" w:lineRule="exact"/>
        <w:rPr>
          <w:rFonts w:ascii="Times New Roman" w:cs="Times New Roman" w:eastAsia="Times New Roman" w:hAnsi="Times New Roman"/>
          <w:sz w:val="18"/>
          <w:szCs w:val="18"/>
          <w:color w:val="auto"/>
        </w:rPr>
      </w:pPr>
    </w:p>
    <w:p>
      <w:pPr>
        <w:ind w:left="420" w:right="80" w:firstLine="419"/>
        <w:spacing w:after="0" w:line="258" w:lineRule="auto"/>
        <w:tabs>
          <w:tab w:leader="none" w:pos="109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legal or governmental proceedings pending or threatened to which the Company or any of its consolidated subsidiaries is a party or to which any of the properties of the Company or any of its consolidated subsidiaries is subject that are required to be described in the Registration Statement or the Disclosure Package and are not so described or any statutes, regulations, contracts or other documents that are required to be described in the Registration Statement or the Disclosure Package or to be filed or incorporated by reference as exhibits to the Registration Statement that are not described, filed or incorporated as required.</w:t>
      </w:r>
    </w:p>
    <w:p>
      <w:pPr>
        <w:spacing w:after="0" w:line="75" w:lineRule="exact"/>
        <w:rPr>
          <w:rFonts w:ascii="Times New Roman" w:cs="Times New Roman" w:eastAsia="Times New Roman" w:hAnsi="Times New Roman"/>
          <w:sz w:val="18"/>
          <w:szCs w:val="18"/>
          <w:color w:val="auto"/>
        </w:rPr>
      </w:pPr>
    </w:p>
    <w:p>
      <w:pPr>
        <w:ind w:left="420" w:firstLine="419"/>
        <w:spacing w:after="0" w:line="258" w:lineRule="auto"/>
        <w:tabs>
          <w:tab w:leader="none" w:pos="105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its consolidated subsidiaries has all necessary consents, authorizations, approvals, orders, certificates and permits of and from, and has made all declarations and filings with, all federal, state, local and other governmental authorities, all self-regulatory organizations and all courts and other tribunals, to own, lease, license and use its properties and assets and to conduct its business in the manner described in the Disclosure Package, except to the extent that the failure to obtain or file would not have a material adverse effect on the Company and its consolidated subsidiaries, taken as a whole.</w:t>
      </w:r>
    </w:p>
    <w:p>
      <w:pPr>
        <w:spacing w:after="0" w:line="181" w:lineRule="exact"/>
        <w:rPr>
          <w:sz w:val="20"/>
          <w:szCs w:val="20"/>
          <w:color w:val="auto"/>
        </w:rPr>
      </w:pPr>
    </w:p>
    <w:p>
      <w:pPr>
        <w:ind w:left="-20" w:firstLine="436"/>
        <w:spacing w:after="0" w:line="267" w:lineRule="auto"/>
        <w:tabs>
          <w:tab w:leader="none" w:pos="6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Public Offering</w:t>
      </w:r>
      <w:r>
        <w:rPr>
          <w:rFonts w:ascii="Times New Roman" w:cs="Times New Roman" w:eastAsia="Times New Roman" w:hAnsi="Times New Roman"/>
          <w:sz w:val="18"/>
          <w:szCs w:val="18"/>
          <w:color w:val="auto"/>
        </w:rPr>
        <w:t>. The Issuers are advised by the Managers that the Underwriters propose to make a public offering of their respective portions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Offered Securities as soon after this Agreement has been entered into as in the Managers’ judgment is advisable. The terms of the public offering of the Offered Securities are set forth in the Disclosure Package and the Prospectus.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60" w:top="270" w:right="479" w:bottom="1440" w:gutter="0" w:footer="0" w:header="0"/>
        </w:sectPr>
      </w:pPr>
    </w:p>
    <w:bookmarkStart w:id="48" w:name="page49"/>
    <w:bookmarkEnd w:id="48"/>
    <w:p>
      <w:pPr>
        <w:ind w:left="-20" w:right="180" w:firstLine="436"/>
        <w:spacing w:after="0" w:line="258" w:lineRule="auto"/>
        <w:tabs>
          <w:tab w:leader="none" w:pos="6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Purchase and Delivery</w:t>
      </w:r>
      <w:r>
        <w:rPr>
          <w:rFonts w:ascii="Times New Roman" w:cs="Times New Roman" w:eastAsia="Times New Roman" w:hAnsi="Times New Roman"/>
          <w:sz w:val="18"/>
          <w:szCs w:val="18"/>
          <w:color w:val="auto"/>
        </w:rPr>
        <w:t>. Except as otherwise provided in this Section 3, payment for the Offered Securities shall be made to the Company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federal or other funds immediately available in New York City at the time and place set forth in this Agreement, upon delivery to the Managers for the respective accounts of the several Underwriters of the Offered Securities registered in such names and in such denominations as the Managers shall request in writing not less than one full business day prior to the date of delivery, with any transfer taxes payable in connection with the transfer of the Offered Securities to the Underwriters duly paid.</w:t>
      </w:r>
    </w:p>
    <w:p>
      <w:pPr>
        <w:spacing w:after="0" w:line="183" w:lineRule="exact"/>
        <w:rPr>
          <w:rFonts w:ascii="Times New Roman" w:cs="Times New Roman" w:eastAsia="Times New Roman" w:hAnsi="Times New Roman"/>
          <w:sz w:val="18"/>
          <w:szCs w:val="18"/>
          <w:color w:val="auto"/>
        </w:rPr>
      </w:pPr>
    </w:p>
    <w:p>
      <w:pPr>
        <w:ind w:left="600" w:hanging="184"/>
        <w:spacing w:after="0"/>
        <w:tabs>
          <w:tab w:leader="none" w:pos="6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Conditions to Closing</w:t>
      </w:r>
      <w:r>
        <w:rPr>
          <w:rFonts w:ascii="Times New Roman" w:cs="Times New Roman" w:eastAsia="Times New Roman" w:hAnsi="Times New Roman"/>
          <w:sz w:val="18"/>
          <w:szCs w:val="18"/>
          <w:color w:val="auto"/>
        </w:rPr>
        <w:t>. The several obligations of the Underwriters hereunder are subject to the following conditions:</w:t>
      </w:r>
    </w:p>
    <w:p>
      <w:pPr>
        <w:spacing w:after="0" w:line="119" w:lineRule="exact"/>
        <w:rPr>
          <w:rFonts w:ascii="Times New Roman" w:cs="Times New Roman" w:eastAsia="Times New Roman" w:hAnsi="Times New Roman"/>
          <w:sz w:val="18"/>
          <w:szCs w:val="18"/>
          <w:color w:val="auto"/>
        </w:rPr>
      </w:pPr>
    </w:p>
    <w:p>
      <w:pPr>
        <w:ind w:left="420" w:right="260" w:firstLine="419"/>
        <w:spacing w:after="0" w:line="261" w:lineRule="auto"/>
        <w:tabs>
          <w:tab w:leader="none" w:pos="1088"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Applicable Time and prior to the Closing Date, there shall not have occurred any downgrading, nor shall any notice have been given of any intended or potential downgrading or of any review for a possible change that does not indicate the direction of the possible change, in the rating accorded any Issuer or any of the securities of any Issuer by any “nationally recognized statistical rating organization,” as such term is defined for purposes of Section 3(a)(62) of the Exchange Act.</w:t>
      </w:r>
    </w:p>
    <w:p>
      <w:pPr>
        <w:spacing w:after="0" w:line="71" w:lineRule="exact"/>
        <w:rPr>
          <w:rFonts w:ascii="Times New Roman" w:cs="Times New Roman" w:eastAsia="Times New Roman" w:hAnsi="Times New Roman"/>
          <w:sz w:val="18"/>
          <w:szCs w:val="18"/>
          <w:color w:val="auto"/>
        </w:rPr>
      </w:pPr>
    </w:p>
    <w:p>
      <w:pPr>
        <w:ind w:left="420" w:firstLine="419"/>
        <w:spacing w:after="0" w:line="272" w:lineRule="auto"/>
        <w:tabs>
          <w:tab w:leader="none" w:pos="1098"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stop order suspending the effectiveness of the Registration Statement shall be in effect, and no proceedings for such purpose shall be pending before or threatened by the Commission, and there shall not have occurred any change, or any development involving a prospective change, in the condition, financial or otherwise, or in the earnings, business or operations of the Company and its consolidated subsidiaries, taken as a whole, from that set forth in the Disclosure Package, that, in the judgment of the Managers, is material and adverse and that makes it, in the judgment of the Managers, impracticable to market the Offered Securities on the terms and in the manner contemplated in the Disclosure Package; and the Managers shall have received, on the Closing Date, a certificate, dated the Closing Date and signed by an executive officer of the Company, to the foregoing effect. Such certificate shall also provide that the representations and warranties of the Company contained herein are true and correct as of the Closing Date. The officer making such certificate may rely upon the best of her knowledge as to proceedings threatened.</w:t>
      </w:r>
    </w:p>
    <w:p>
      <w:pPr>
        <w:spacing w:after="0" w:line="63" w:lineRule="exact"/>
        <w:rPr>
          <w:rFonts w:ascii="Times New Roman" w:cs="Times New Roman" w:eastAsia="Times New Roman" w:hAnsi="Times New Roman"/>
          <w:sz w:val="17"/>
          <w:szCs w:val="17"/>
          <w:color w:val="auto"/>
        </w:rPr>
      </w:pPr>
    </w:p>
    <w:p>
      <w:pPr>
        <w:ind w:left="420" w:right="160" w:firstLine="419"/>
        <w:spacing w:after="0" w:line="266" w:lineRule="auto"/>
        <w:tabs>
          <w:tab w:leader="none" w:pos="1088"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Managers shall have received on the Closing Date an opinion of Elizabeth Wideman, Esquire, Vice President, Senior Deputy General Counsel and Assistant Secretary of the Company (or another lawyer of the Company reasonably satisfactory to the Underwriters), dated the Closing Date, to the effect (as applicable) that:</w:t>
      </w:r>
    </w:p>
    <w:p>
      <w:pPr>
        <w:spacing w:after="0" w:line="67" w:lineRule="exact"/>
        <w:rPr>
          <w:rFonts w:ascii="Times New Roman" w:cs="Times New Roman" w:eastAsia="Times New Roman" w:hAnsi="Times New Roman"/>
          <w:sz w:val="18"/>
          <w:szCs w:val="18"/>
          <w:color w:val="auto"/>
        </w:rPr>
      </w:pPr>
    </w:p>
    <w:p>
      <w:pPr>
        <w:ind w:left="960" w:right="20" w:firstLine="408"/>
        <w:spacing w:after="0" w:line="261" w:lineRule="auto"/>
        <w:tabs>
          <w:tab w:leader="none" w:pos="1576"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validly existing as a corporation subsisting under the laws of the Commonwealth of Pennsylvania and is duly qualified to transact business and is in good standing in each jurisdiction in which the conduct of its business or its ownership or leasing of property requires such qualification (except where the failure to so qualify would not have a material adverse effect upon the business or financial condition of the Company and its subsidiaries, as a whole);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60" w:top="268" w:right="459" w:bottom="1440" w:gutter="0" w:footer="0" w:header="0"/>
        </w:sectPr>
      </w:pPr>
    </w:p>
    <w:bookmarkStart w:id="49" w:name="page50"/>
    <w:bookmarkEnd w:id="49"/>
    <w:p>
      <w:pPr>
        <w:ind w:left="-20" w:right="440" w:firstLine="408"/>
        <w:spacing w:after="0" w:line="282" w:lineRule="auto"/>
        <w:tabs>
          <w:tab w:leader="none" w:pos="64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indenture under which the Offered Securities are to be issued, has been duly authorized, executed and delivered by the Company;</w:t>
      </w:r>
    </w:p>
    <w:p>
      <w:pPr>
        <w:spacing w:after="0" w:line="53" w:lineRule="exact"/>
        <w:rPr>
          <w:rFonts w:ascii="Times New Roman" w:cs="Times New Roman" w:eastAsia="Times New Roman" w:hAnsi="Times New Roman"/>
          <w:sz w:val="18"/>
          <w:szCs w:val="18"/>
          <w:color w:val="auto"/>
        </w:rPr>
      </w:pPr>
    </w:p>
    <w:p>
      <w:pPr>
        <w:ind w:left="700" w:hanging="312"/>
        <w:spacing w:after="0"/>
        <w:tabs>
          <w:tab w:leader="none" w:pos="7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authorized, executed and delivered by the Company;</w:t>
      </w:r>
    </w:p>
    <w:p>
      <w:pPr>
        <w:spacing w:after="0" w:line="117" w:lineRule="exact"/>
        <w:rPr>
          <w:rFonts w:ascii="Times New Roman" w:cs="Times New Roman" w:eastAsia="Times New Roman" w:hAnsi="Times New Roman"/>
          <w:sz w:val="18"/>
          <w:szCs w:val="18"/>
          <w:color w:val="auto"/>
        </w:rPr>
      </w:pPr>
    </w:p>
    <w:p>
      <w:pPr>
        <w:ind w:left="-20" w:right="20" w:firstLine="408"/>
        <w:spacing w:after="0" w:line="261" w:lineRule="auto"/>
        <w:tabs>
          <w:tab w:leader="none" w:pos="68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issued shares of capital stock or membership interests, as applicable, of each Guarantor have been duly and validly authorized and issued, are fully paid and non-assessable (with respect to such shares of capital stock), and (except for directors’ qualifying shares and except as otherwise set forth in the Disclosure Package) are owned directly or indirectly by the Company, free and clear of all liens, encumbrances, equities or claims;</w:t>
      </w:r>
    </w:p>
    <w:p>
      <w:pPr>
        <w:spacing w:after="0" w:line="71" w:lineRule="exact"/>
        <w:rPr>
          <w:rFonts w:ascii="Times New Roman" w:cs="Times New Roman" w:eastAsia="Times New Roman" w:hAnsi="Times New Roman"/>
          <w:sz w:val="18"/>
          <w:szCs w:val="18"/>
          <w:color w:val="auto"/>
        </w:rPr>
      </w:pPr>
    </w:p>
    <w:p>
      <w:pPr>
        <w:ind w:left="-20" w:right="140" w:firstLine="408"/>
        <w:spacing w:after="0" w:line="282" w:lineRule="auto"/>
        <w:tabs>
          <w:tab w:leader="none" w:pos="63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an authorized capitalization as set forth in the Disclosure Package, and all of the issued shares of capital stock of the Company have been duly and validly authorized and issued and are fully paid and non-assessable;</w:t>
      </w:r>
    </w:p>
    <w:p>
      <w:pPr>
        <w:spacing w:after="0" w:line="53" w:lineRule="exact"/>
        <w:rPr>
          <w:rFonts w:ascii="Times New Roman" w:cs="Times New Roman" w:eastAsia="Times New Roman" w:hAnsi="Times New Roman"/>
          <w:sz w:val="18"/>
          <w:szCs w:val="18"/>
          <w:color w:val="auto"/>
        </w:rPr>
      </w:pPr>
    </w:p>
    <w:p>
      <w:pPr>
        <w:ind w:left="700" w:hanging="312"/>
        <w:spacing w:after="0"/>
        <w:tabs>
          <w:tab w:leader="none" w:pos="7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Offered Securities to be offered by the Company have been duly authorized by the Company;</w:t>
      </w:r>
    </w:p>
    <w:p>
      <w:pPr>
        <w:spacing w:after="0" w:line="117" w:lineRule="exact"/>
        <w:rPr>
          <w:rFonts w:ascii="Times New Roman" w:cs="Times New Roman" w:eastAsia="Times New Roman" w:hAnsi="Times New Roman"/>
          <w:sz w:val="18"/>
          <w:szCs w:val="18"/>
          <w:color w:val="auto"/>
        </w:rPr>
      </w:pPr>
    </w:p>
    <w:p>
      <w:pPr>
        <w:ind w:left="-20" w:firstLine="408"/>
        <w:spacing w:after="0" w:line="254" w:lineRule="auto"/>
        <w:tabs>
          <w:tab w:leader="none" w:pos="73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rights to indemnity and contribution under this Agreement may be limited under applicable law, the execution and delivery by each Issuer of, and the performance by each Issuer of its obligations under, each indenture under which the Offered Securities are to be issued, the Offered Securities and this Agreement will not contravene (A) any provision of the laws of the Commonwealth of Pennsylvania or any federal law of the United States of America that in such counsel’s experience is normally applicable to general business corporations in relation to transactions of the type contemplated by each indenture under which the Offered Securities are to be issued, the Offered Securities and this Agreement (except with respect to federal, state or foreign securities laws or to laws relating specifically to the cable communications industry, as to which such counsel is not called upon to express any opinion), (B) the articles of incorporation or bylaws or equivalent organizational documents of any Issuer, or (C) to the best of such counsel’s knowledge, any material agreement or other material instrument binding upon such Issuer;</w:t>
      </w:r>
    </w:p>
    <w:p>
      <w:pPr>
        <w:spacing w:after="0" w:line="80" w:lineRule="exact"/>
        <w:rPr>
          <w:rFonts w:ascii="Times New Roman" w:cs="Times New Roman" w:eastAsia="Times New Roman" w:hAnsi="Times New Roman"/>
          <w:sz w:val="18"/>
          <w:szCs w:val="18"/>
          <w:color w:val="auto"/>
        </w:rPr>
      </w:pPr>
    </w:p>
    <w:p>
      <w:pPr>
        <w:ind w:left="-20" w:right="80" w:firstLine="408"/>
        <w:spacing w:after="0" w:line="261" w:lineRule="auto"/>
        <w:tabs>
          <w:tab w:leader="none" w:pos="78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authorization, or order of, or qualification with any state governmental body or agency under the laws of the Commonwealth of Pennsylvania, any federal law of the United States of America, or to the best of such counsel’s knowledge, any other state or jurisdiction of the United States, that in such counsel’s experience is normally applicable to general business corporations in relation to transactions of the type contemplated by each indenture</w:t>
      </w:r>
    </w:p>
    <w:p>
      <w:pPr>
        <w:spacing w:after="0" w:line="11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9980"/>
          </w:cols>
          <w:pgMar w:left="1440" w:top="270" w:right="479" w:bottom="1440" w:gutter="0" w:footer="0" w:header="0"/>
        </w:sectPr>
      </w:pPr>
    </w:p>
    <w:bookmarkStart w:id="50" w:name="page51"/>
    <w:bookmarkEnd w:id="50"/>
    <w:p>
      <w:pPr>
        <w:ind w:left="984" w:right="4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under which the Offered Securities are to be issued, the Offered Securities and this Agreement is required for the performance by any Issuer of its obligations under each indenture under which the Offered Securities are to be issued, the Offered Securities and this Agreement (except such as may be required under federal, state or foreign securities or Blue Sky laws and with respect to consents, approvals and authorizations relating specifically to the cable communications industry as to which such counsel is not called upon to express any opinion);</w:t>
      </w:r>
    </w:p>
    <w:p>
      <w:pPr>
        <w:spacing w:after="0" w:line="75" w:lineRule="exact"/>
        <w:rPr>
          <w:sz w:val="20"/>
          <w:szCs w:val="20"/>
          <w:color w:val="auto"/>
        </w:rPr>
      </w:pPr>
    </w:p>
    <w:p>
      <w:pPr>
        <w:ind w:left="984" w:right="120" w:firstLine="408"/>
        <w:spacing w:after="0" w:line="255" w:lineRule="auto"/>
        <w:tabs>
          <w:tab w:leader="none" w:pos="169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such qualification as may be set forth in the Disclosure Package, the Company and its subsidiaries have, and are in material compliance with, such franchises, and to the best knowledge of such counsel after reasonable investigation, such licenses and authorizations, as are necessary to own their properties and to conduct their business in the manner described in the Disclosure Package, except where the failure to have, or comply with, such franchises, licenses and authorizations would not have a material adverse effect on the business or financial condition of the Company and its subsidiaries, as a whole, and such franchises, licenses and authorizations contain no materially burdensome restrictions not adequately described in the Disclosure Package, which restrictions would have a material adverse effect on the business or financial condition of the Company and its subsidiaries, as a whole;</w:t>
      </w:r>
    </w:p>
    <w:p>
      <w:pPr>
        <w:spacing w:after="0" w:line="80" w:lineRule="exact"/>
        <w:rPr>
          <w:rFonts w:ascii="Times New Roman" w:cs="Times New Roman" w:eastAsia="Times New Roman" w:hAnsi="Times New Roman"/>
          <w:sz w:val="18"/>
          <w:szCs w:val="18"/>
          <w:color w:val="auto"/>
        </w:rPr>
      </w:pPr>
    </w:p>
    <w:p>
      <w:pPr>
        <w:ind w:left="984" w:firstLine="408"/>
        <w:spacing w:after="0" w:line="272" w:lineRule="auto"/>
        <w:tabs>
          <w:tab w:leader="none" w:pos="1640"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statements included in (A) Item 3 of the Company’s and NBCUniversal Media, LLC’s most recent Annual Report on Form 10-K incorporated by reference in the Disclosure Package, (B) Part II, Item 1 under the caption “Legal Proceedings” of the Company’s and NBCUniversal Media, LLC’s most recent Quarterly Report on Form 10-Q, if any, incorporated by reference in the Disclosure Package,</w:t>
      </w:r>
    </w:p>
    <w:p>
      <w:pPr>
        <w:spacing w:after="0" w:line="1" w:lineRule="exact"/>
        <w:rPr>
          <w:rFonts w:ascii="Times New Roman" w:cs="Times New Roman" w:eastAsia="Times New Roman" w:hAnsi="Times New Roman"/>
          <w:sz w:val="17"/>
          <w:szCs w:val="17"/>
          <w:color w:val="auto"/>
        </w:rPr>
      </w:pPr>
    </w:p>
    <w:p>
      <w:pPr>
        <w:ind w:left="984" w:right="300" w:firstLine="7"/>
        <w:spacing w:after="0" w:line="218" w:lineRule="auto"/>
        <w:tabs>
          <w:tab w:leader="none" w:pos="126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in Item 15 and (D) the Disclosure Package under the caption “Description of Capital Stock,”</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insofar as such statements summarize the legal matters, documents or proceedings referred to therein, fairly summarize such legal matters, documents and proceedings in all material respects;</w:t>
      </w:r>
    </w:p>
    <w:p>
      <w:pPr>
        <w:spacing w:after="0" w:line="90" w:lineRule="exact"/>
        <w:rPr>
          <w:rFonts w:ascii="Times New Roman" w:cs="Times New Roman" w:eastAsia="Times New Roman" w:hAnsi="Times New Roman"/>
          <w:sz w:val="18"/>
          <w:szCs w:val="18"/>
          <w:color w:val="auto"/>
        </w:rPr>
      </w:pPr>
    </w:p>
    <w:p>
      <w:pPr>
        <w:ind w:left="984" w:right="120" w:firstLine="408"/>
        <w:spacing w:after="0" w:line="258" w:lineRule="auto"/>
        <w:tabs>
          <w:tab w:leader="none" w:pos="169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counsel does not know of any legal or governmental proceeding pending or threatened to which the Company or any of its subsidiaries is a party or to which any of the properties of the Company or any of its subsidiaries is subject which is required to be described in the Registration Statement or the Disclosure Package and is not so described or of any contract or other document which is required to be described in the Registration Statement or the Disclosure Package or to be filed as an exhibit to the Registration Statement which is not described or filed as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85090</wp:posOffset>
            </wp:positionV>
            <wp:extent cx="7715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6" w:lineRule="exact"/>
        <w:rPr>
          <w:sz w:val="20"/>
          <w:szCs w:val="20"/>
          <w:color w:val="auto"/>
        </w:rPr>
      </w:pPr>
    </w:p>
    <w:p>
      <w:pPr>
        <w:ind w:left="5464" w:right="4620" w:hanging="5464"/>
        <w:spacing w:after="0" w:line="334" w:lineRule="auto"/>
        <w:tabs>
          <w:tab w:leader="none" w:pos="217" w:val="left"/>
        </w:tabs>
        <w:numPr>
          <w:ilvl w:val="0"/>
          <w:numId w:val="4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inclusion of Section 4(c)(x)(D) is only required for issuances of convertible debt. 6</w:t>
      </w:r>
    </w:p>
    <w:p>
      <w:pPr>
        <w:sectPr>
          <w:pgSz w:w="11900" w:h="16838" w:orient="portrait"/>
          <w:cols w:equalWidth="0" w:num="1">
            <w:col w:w="11004"/>
          </w:cols>
          <w:pgMar w:left="436" w:top="270" w:right="459" w:bottom="1440" w:gutter="0" w:footer="0" w:header="0"/>
        </w:sectPr>
      </w:pPr>
    </w:p>
    <w:bookmarkStart w:id="51" w:name="page52"/>
    <w:bookmarkEnd w:id="51"/>
    <w:p>
      <w:pPr>
        <w:ind w:left="980" w:right="200" w:firstLine="408"/>
        <w:spacing w:after="0" w:line="282" w:lineRule="auto"/>
        <w:tabs>
          <w:tab w:leader="none" w:pos="173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securities into which the Offered Securities are convertible, initially reserved for issuance upon conversion of the Offered Securities (the “</w:t>
      </w:r>
      <w:r>
        <w:rPr>
          <w:rFonts w:ascii="Times New Roman" w:cs="Times New Roman" w:eastAsia="Times New Roman" w:hAnsi="Times New Roman"/>
          <w:sz w:val="18"/>
          <w:szCs w:val="18"/>
          <w:b w:val="1"/>
          <w:bCs w:val="1"/>
          <w:color w:val="auto"/>
        </w:rPr>
        <w:t>Underlying Securities</w:t>
      </w:r>
      <w:r>
        <w:rPr>
          <w:rFonts w:ascii="Times New Roman" w:cs="Times New Roman" w:eastAsia="Times New Roman" w:hAnsi="Times New Roman"/>
          <w:sz w:val="18"/>
          <w:szCs w:val="18"/>
          <w:color w:val="auto"/>
        </w:rPr>
        <w:t>”), have been duly authorized and reserved for issuance; and</w:t>
      </w:r>
    </w:p>
    <w:p>
      <w:pPr>
        <w:spacing w:after="0" w:line="53" w:lineRule="exact"/>
        <w:rPr>
          <w:rFonts w:ascii="Times New Roman" w:cs="Times New Roman" w:eastAsia="Times New Roman" w:hAnsi="Times New Roman"/>
          <w:sz w:val="18"/>
          <w:szCs w:val="18"/>
          <w:color w:val="auto"/>
        </w:rPr>
      </w:pPr>
    </w:p>
    <w:p>
      <w:pPr>
        <w:ind w:left="980" w:right="480" w:firstLine="408"/>
        <w:spacing w:after="0" w:line="266" w:lineRule="auto"/>
        <w:tabs>
          <w:tab w:leader="none" w:pos="178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Underlying Securities are issued upon conversion of the Offered Securities in accordance with the terms of the Offered Securities, such Underlying Securities will be validly issued, fully paid and non-assessable and will not be subject to any preemptive or other right to subscribe for or purchase such Underlying Securities.</w:t>
      </w:r>
    </w:p>
    <w:p>
      <w:pPr>
        <w:spacing w:after="0" w:line="176"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Such counsel shall also state that nothing has come to her attention that causes her to believe that (1) on the date of this Agreement, the Registration Statement contained any untrue statement of a material fact or omitted to state a material fact required to be stated therein or necessary to make the statements therein not misleading; (2) at the Applicable Time, the Disclosure Package contained any untrue statement of a material fact or omitted to state a material fact necessary in order to make the statements therein, in the light of the circumstances under which they are made, not misleading; or (3) that the Prospectus as of the date of this Agreement or as of the Closing Date contained or contains an untrue statement of a material fact or omitted or omits to state a material fact necessary in order to make statements therein, in the light of the circumstances under which they are made, not misleading.</w:t>
      </w:r>
    </w:p>
    <w:p>
      <w:pPr>
        <w:spacing w:after="0" w:line="189" w:lineRule="exact"/>
        <w:rPr>
          <w:sz w:val="20"/>
          <w:szCs w:val="20"/>
          <w:color w:val="auto"/>
        </w:rPr>
      </w:pPr>
    </w:p>
    <w:p>
      <w:pPr>
        <w:ind w:firstLine="440"/>
        <w:spacing w:after="0" w:line="272" w:lineRule="auto"/>
        <w:rPr>
          <w:sz w:val="20"/>
          <w:szCs w:val="20"/>
          <w:color w:val="auto"/>
        </w:rPr>
      </w:pPr>
      <w:r>
        <w:rPr>
          <w:rFonts w:ascii="Times New Roman" w:cs="Times New Roman" w:eastAsia="Times New Roman" w:hAnsi="Times New Roman"/>
          <w:sz w:val="17"/>
          <w:szCs w:val="17"/>
          <w:color w:val="auto"/>
        </w:rPr>
        <w:t>With respect to the preceding paragraph, such counsel may state that her belief is based upon her participation in the preparation of the Registration Statement, Disclosure Package, Prospectus and the documents incorporated therein by reference and review and discussion of the contents thereof, but is without independent check or verification except as specified. Such counsel need not pass upon or assume responsibility for the accuracy, completeness or fairness of the statements contained in, and need not have checked the accuracy, completeness or fairness of, or otherwise verified, the information furnished in Registration Statement, Disclosure Package, and the Prospectus, except as specified. Such counsel is not called to pass upon, and need express no view regarding, the financial statements or financial schedules or other financial or accounting data included in the Registration Statement, the Disclosure Package, the Prospectus or the Statement of Eligibility of the Trustee on Form T-1. In addition, such counsel need not express a view as to the conveyance of the Disclosure Package or the information contained therein to the purchasers of the Offered Securities.</w:t>
      </w:r>
    </w:p>
    <w:p>
      <w:pPr>
        <w:spacing w:after="0" w:line="172" w:lineRule="exact"/>
        <w:rPr>
          <w:sz w:val="20"/>
          <w:szCs w:val="20"/>
          <w:color w:val="auto"/>
        </w:rPr>
      </w:pPr>
    </w:p>
    <w:p>
      <w:pPr>
        <w:jc w:val="both"/>
        <w:ind w:right="240" w:firstLine="440"/>
        <w:spacing w:after="0" w:line="266" w:lineRule="auto"/>
        <w:rPr>
          <w:sz w:val="20"/>
          <w:szCs w:val="20"/>
          <w:color w:val="auto"/>
        </w:rPr>
      </w:pPr>
      <w:r>
        <w:rPr>
          <w:rFonts w:ascii="Times New Roman" w:cs="Times New Roman" w:eastAsia="Times New Roman" w:hAnsi="Times New Roman"/>
          <w:sz w:val="18"/>
          <w:szCs w:val="18"/>
          <w:color w:val="auto"/>
        </w:rPr>
        <w:t>In expressing her opinion as to questions of the law of jurisdictions other than the Commonwealth of Pennsylvania and the United States, such counsel may rely to the extent reasonable on such counsel as may be reasonably acceptable to counsel to the Underwriters. In addition, such counsel may reasonably rely as to questions of fact on certificates of responsible officers of the Company.</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40"/>
          </w:cols>
          <w:pgMar w:left="440" w:top="270" w:right="519" w:bottom="1440" w:gutter="0" w:footer="0" w:header="0"/>
        </w:sectPr>
      </w:pPr>
    </w:p>
    <w:bookmarkStart w:id="52" w:name="page53"/>
    <w:bookmarkEnd w:id="52"/>
    <w:p>
      <w:pPr>
        <w:ind w:right="380" w:firstLine="419"/>
        <w:spacing w:after="0" w:line="282" w:lineRule="auto"/>
        <w:tabs>
          <w:tab w:leader="none" w:pos="67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Managers shall have received on the Closing Date an opinion of Davis Polk &amp; Wardwell LLP, special counsel for the Company, dated the Closing Date, to the effect that:</w:t>
      </w:r>
    </w:p>
    <w:p>
      <w:pPr>
        <w:spacing w:after="0" w:line="53" w:lineRule="exact"/>
        <w:rPr>
          <w:rFonts w:ascii="Times New Roman" w:cs="Times New Roman" w:eastAsia="Times New Roman" w:hAnsi="Times New Roman"/>
          <w:sz w:val="18"/>
          <w:szCs w:val="18"/>
          <w:color w:val="auto"/>
        </w:rPr>
      </w:pPr>
    </w:p>
    <w:p>
      <w:pPr>
        <w:ind w:left="1160" w:hanging="212"/>
        <w:spacing w:after="0"/>
        <w:tabs>
          <w:tab w:leader="none" w:pos="11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Guarantor is validly existing as a limited liability company in good standing under the laws of the State of Delaware;</w:t>
      </w:r>
    </w:p>
    <w:p>
      <w:pPr>
        <w:spacing w:after="0" w:line="117" w:lineRule="exact"/>
        <w:rPr>
          <w:rFonts w:ascii="Times New Roman" w:cs="Times New Roman" w:eastAsia="Times New Roman" w:hAnsi="Times New Roman"/>
          <w:sz w:val="18"/>
          <w:szCs w:val="18"/>
          <w:color w:val="auto"/>
        </w:rPr>
      </w:pPr>
    </w:p>
    <w:p>
      <w:pPr>
        <w:ind w:left="540" w:right="40" w:firstLine="408"/>
        <w:spacing w:after="0" w:line="254" w:lineRule="auto"/>
        <w:tabs>
          <w:tab w:leader="none" w:pos="1206"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indenture under which the Offered Securities are to be issued has been duly authorized, executed and delivered by each Guarantor and, assuming each indenture under which the Offered Securities are to be issued has been duly authorized, executed and delivered by the Company and duly executed and delivered by the respective trustee thereto, each indenture under which the Offered Securities are to be issued is a valid and binding agreement of each Issuer, enforceable against each Issuer in accordance with its terms, subject to applicable bankruptcy, insolvency and similar laws affecting creditors’ rights generally, concepts of reasonableness and equitable principles of general applicability (except with respect to the (A) enforceability of any waiver of rights under any usury or stay law, and (B) validity, legally binding effect or enforceability of any provision that permits holders to collect any portion of stated principal amount upon acceleration of the Offered Securities to the extent determined to constitute unearned interest, as to which such counsel is not called upon to express any opinion);</w:t>
      </w:r>
    </w:p>
    <w:p>
      <w:pPr>
        <w:spacing w:after="0" w:line="80" w:lineRule="exact"/>
        <w:rPr>
          <w:rFonts w:ascii="Times New Roman" w:cs="Times New Roman" w:eastAsia="Times New Roman" w:hAnsi="Times New Roman"/>
          <w:sz w:val="18"/>
          <w:szCs w:val="18"/>
          <w:color w:val="auto"/>
        </w:rPr>
      </w:pPr>
    </w:p>
    <w:p>
      <w:pPr>
        <w:ind w:left="540" w:firstLine="408"/>
        <w:spacing w:after="0" w:line="253" w:lineRule="auto"/>
        <w:tabs>
          <w:tab w:leader="none" w:pos="1256"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Guarantees have been duly authorized, and, assuming the Offered Securities have been authorized by the Company, when the Offered Securities have been duly executed and authenticated in accordance with the provisions of each relevant indenture under which the Offered Securities are to be issued and delivered to and paid for by the Underwriters pursuant to this Agreement, the Offered Securities will be valid and binding obligations of the Company and the Guarantees will be valid and binding obligations of the Guarantors, enforceable against them in accordance with their terms, subject to applicable bankruptcy, insolvency and similar laws affecting creditors’ rights generally, concepts of reasonableness and equitable principles of general applicability; and will be entitled to the benefits of each relevant indenture under which the Offered Securities are to be issued (except with respect to the (A) enforceability of any waiver of rights under any usury or stay law, and (B) validity, legally binding effect or enforceability of any provision that permits holders to collect any portion of stated principal amount upon acceleration of the Offered Securities to the extent determined to constitute unearned interest, as to which such counsel is not called upon to express any opinion);</w:t>
      </w:r>
    </w:p>
    <w:p>
      <w:pPr>
        <w:spacing w:after="0" w:line="86" w:lineRule="exact"/>
        <w:rPr>
          <w:rFonts w:ascii="Times New Roman" w:cs="Times New Roman" w:eastAsia="Times New Roman" w:hAnsi="Times New Roman"/>
          <w:sz w:val="18"/>
          <w:szCs w:val="18"/>
          <w:color w:val="auto"/>
        </w:rPr>
      </w:pPr>
    </w:p>
    <w:p>
      <w:pPr>
        <w:ind w:left="1260" w:hanging="312"/>
        <w:spacing w:after="0"/>
        <w:tabs>
          <w:tab w:leader="none" w:pos="12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authorized, executed and delivered by each Guarantor party hereto;</w:t>
      </w:r>
    </w:p>
    <w:p>
      <w:pPr>
        <w:spacing w:after="0" w:line="117" w:lineRule="exact"/>
        <w:rPr>
          <w:rFonts w:ascii="Times New Roman" w:cs="Times New Roman" w:eastAsia="Times New Roman" w:hAnsi="Times New Roman"/>
          <w:sz w:val="18"/>
          <w:szCs w:val="18"/>
          <w:color w:val="auto"/>
        </w:rPr>
      </w:pPr>
    </w:p>
    <w:p>
      <w:pPr>
        <w:ind w:left="540" w:right="40" w:firstLine="408"/>
        <w:spacing w:after="0" w:line="261" w:lineRule="auto"/>
        <w:tabs>
          <w:tab w:leader="none" w:pos="1196"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rights to indemnity and contribution under this Agreement may be limited under applicable law, the execution and delivery by each Issuer of, and the performance by each Issuer of its obligations under each indenture under which the Offered Securities are to be issued, the Offered Securities and this Agreement, will not contravene (A) any provision of the statutory laws of the State of New York or any federal law of the United States of America that</w:t>
      </w:r>
    </w:p>
    <w:p>
      <w:pPr>
        <w:spacing w:after="0" w:line="11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80"/>
          </w:cols>
          <w:pgMar w:left="880" w:top="270" w:right="439" w:bottom="1440" w:gutter="0" w:footer="0" w:header="0"/>
        </w:sectPr>
      </w:pPr>
    </w:p>
    <w:bookmarkStart w:id="53" w:name="page54"/>
    <w:bookmarkEnd w:id="53"/>
    <w:p>
      <w:pPr>
        <w:ind w:left="980"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such counsel’s experience is normally applicable to general business corporations in relation to transactions of the type contemplated by each indenture under which the Offered Securities are to be issued, the Offered Securities and this Agreement (except with respect to federal, state or foreign securities laws or to laws relating specifically to the cable communications industry, as to which such counsel is not called upon to express any opinion), or (B) the certificate of incorporation or bylaws or equivalent organizational documents of any Guarantor; and</w:t>
      </w:r>
    </w:p>
    <w:p>
      <w:pPr>
        <w:spacing w:after="0" w:line="75" w:lineRule="exact"/>
        <w:rPr>
          <w:sz w:val="20"/>
          <w:szCs w:val="20"/>
          <w:color w:val="auto"/>
        </w:rPr>
      </w:pPr>
    </w:p>
    <w:p>
      <w:pPr>
        <w:ind w:left="980" w:right="180" w:firstLine="408"/>
        <w:spacing w:after="0" w:line="256" w:lineRule="auto"/>
        <w:tabs>
          <w:tab w:leader="none" w:pos="168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authorization or order of, or qualification with, any governmental body or agency under the laws of the State of New York or any federal law of the United States of America that in such counsel’s experience is normally applicable to general business corporations in relation to transactions of the type contemplated by each indenture under which the Offered Securities are to be issued, the Offered Securities and this Agreement (except such as may be required under federal, state or foreign securities or Blue Sky laws and with respect to consents, approvals and authorizations relating specifically to the cable communications industry, as to which such counsel is not called upon to express any opinion).</w:t>
      </w:r>
    </w:p>
    <w:p>
      <w:pPr>
        <w:spacing w:after="0" w:line="18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Such counsel shall state that they have considered the statements included in the Prospectus Supplement under the caption “Description of the Notes” and in the Base Prospectus under the caption “Description of Debt Securities and Guarantees” insofar as they summarize provisions of each indenture under which the Offered Securities are to be issued and, the Offered Securities and that in their opinion such statements fairly summarize these provisions in all material respects. Such counsel shall also state that the statements included in the Prospectus Supplement under the caption “Material U.S. Federal Income Tax Consequences for Non-U.S. Holders” insofar as they purport to describe provisions of U.S. federal income tax laws or legal conclusions with respect thereto, fairly and accurately summarize the matters referred to therein in all material respects.</w:t>
      </w:r>
    </w:p>
    <w:p>
      <w:pPr>
        <w:spacing w:after="0" w:line="187"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Such counsel shall also state that (a) the Registration Statement and the Prospectus appear on their face to be appropriately responsive in all material respects to the requirements of the Securities Act and the applicable rules and regulations of the Commission thereunder, and (b) nothing has come to the attention of such counsel that causes them to believe that, insofar as relevant to the offering of the Offered Securities, (1) on the date of this Agreement, the Registration Statement contained any untrue statement of a material fact or omitted to state a material fact required to be stated therein or necessary to make the statements therein not misleading; (2) at the Applicable Time, the Disclosure Package contained any untrue statement of a material fact or omitted to state a material fact necessary in order to make the statements therein, in the light of the circumstances under which they are made, not misleading; or (3) the Prospectus as of the date of this Agreement or as of the Closing Date contained or contains any untrue statement of a material fact or omitted or omits to state a material fact necessary in order to make statements therein, in the light of the circumstances under which they are made, not misleading.</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54" w:name="page55"/>
    <w:bookmarkEnd w:id="54"/>
    <w:p>
      <w:pPr>
        <w:ind w:right="18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respect to the preceding paragraph, Davis Polk &amp; Wardwell LLP may state that their belief is based upon information gained in the performance of their services, but is without independent check or verification except as specified. Such counsel need not pass upon or assume responsibility for the accuracy, completeness or fairness of statements contained in, and need not have checked the accuracy, completeness or fairness of, or otherwise verified, the information furnished in, the Registration Statement, the Disclosure Package and the Prospectus, except as specified. In addition, such counsel is not called to pass upon, or express any view regarding, the financial statements or financial schedules or other financial or accounting data included in the Registration Statement, the Disclosure Package, the Prospectus or the Form T-1. Such counsel need not express a view as to the conveyance of the Disclosure Package of the information contained therein to investors.</w:t>
      </w:r>
    </w:p>
    <w:p>
      <w:pPr>
        <w:spacing w:after="0" w:line="81" w:lineRule="exact"/>
        <w:rPr>
          <w:sz w:val="20"/>
          <w:szCs w:val="20"/>
          <w:color w:val="auto"/>
        </w:rPr>
      </w:pPr>
    </w:p>
    <w:p>
      <w:pPr>
        <w:ind w:left="440" w:right="540" w:firstLine="419"/>
        <w:spacing w:after="0" w:line="282" w:lineRule="auto"/>
        <w:tabs>
          <w:tab w:leader="none" w:pos="110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Managers shall have received on the Closing Date an opinion of internal communications counsel for the Company, dated the Closing Date, to the effect that:</w:t>
      </w:r>
    </w:p>
    <w:p>
      <w:pPr>
        <w:spacing w:after="0" w:line="53" w:lineRule="exact"/>
        <w:rPr>
          <w:rFonts w:ascii="Times New Roman" w:cs="Times New Roman" w:eastAsia="Times New Roman" w:hAnsi="Times New Roman"/>
          <w:sz w:val="18"/>
          <w:szCs w:val="18"/>
          <w:color w:val="auto"/>
        </w:rPr>
      </w:pPr>
    </w:p>
    <w:p>
      <w:pPr>
        <w:ind w:left="980" w:right="140" w:firstLine="408"/>
        <w:spacing w:after="0" w:line="282" w:lineRule="auto"/>
        <w:tabs>
          <w:tab w:leader="none" w:pos="1596"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approval of the Federal Communications Commission (the “FCC”) is required in connection with the issuance and sale of the Offered Securities;</w:t>
      </w:r>
    </w:p>
    <w:p>
      <w:pPr>
        <w:spacing w:after="0" w:line="53" w:lineRule="exact"/>
        <w:rPr>
          <w:rFonts w:ascii="Times New Roman" w:cs="Times New Roman" w:eastAsia="Times New Roman" w:hAnsi="Times New Roman"/>
          <w:sz w:val="18"/>
          <w:szCs w:val="18"/>
          <w:color w:val="auto"/>
        </w:rPr>
      </w:pPr>
    </w:p>
    <w:p>
      <w:pPr>
        <w:ind w:left="980" w:right="80" w:firstLine="408"/>
        <w:spacing w:after="0" w:line="255" w:lineRule="auto"/>
        <w:tabs>
          <w:tab w:leader="none" w:pos="1646"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Agreement, each indenture under which the Offered Securities are to be issued, by each Issuer, the fulfillment of the terms set forth herein and therein by each Issuer and the consummation of the transactions contemplated hereby and thereby by each Issuer do not violate any statute, regulation or other law of the United States relating specifically to the cable communications industry (except as otherwise explicitly set forth in the Disclosure Package) or, to the knowledge of such counsel, any order, judgment or decree of any court or governmental body of the United States relating specifically to the cable communications industry and applicable to such Issuer or any subsidiary, and which violation would have a material adverse effect on the business or financial condition of such Issuer and its subsidiaries, as a whole;</w:t>
      </w:r>
    </w:p>
    <w:p>
      <w:pPr>
        <w:spacing w:after="0" w:line="80" w:lineRule="exact"/>
        <w:rPr>
          <w:rFonts w:ascii="Times New Roman" w:cs="Times New Roman" w:eastAsia="Times New Roman" w:hAnsi="Times New Roman"/>
          <w:sz w:val="18"/>
          <w:szCs w:val="18"/>
          <w:color w:val="auto"/>
        </w:rPr>
      </w:pPr>
    </w:p>
    <w:p>
      <w:pPr>
        <w:ind w:left="980" w:firstLine="408"/>
        <w:spacing w:after="0" w:line="256" w:lineRule="auto"/>
        <w:tabs>
          <w:tab w:leader="none" w:pos="1696"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statements in the Company’s and NBCUniversal Media, LLC’s most recent Annual Report on Form 10-K incorporated by reference in the Registration Statement, the Disclosure Package and Prospectus relating specifically to the cable communications industry, as updated by the Company’s and NBCUniversal Media, LLC’s most recent Quarterly Reports on Form 10-Q, if any, and Current Reports on Form 8-K, if any, incorporated in the Registration Statement, the Disclosure Package and the Prospectus and as updated by the Disclosure Package, insofar as they are, or refer to, statements of federal law or legal conclusions, have been reviewed by such counsel and present in all material respects the information called for with respect to such statements of federal law or legal conclusions; and</w:t>
      </w:r>
    </w:p>
    <w:p>
      <w:pPr>
        <w:spacing w:after="0" w:line="79" w:lineRule="exact"/>
        <w:rPr>
          <w:rFonts w:ascii="Times New Roman" w:cs="Times New Roman" w:eastAsia="Times New Roman" w:hAnsi="Times New Roman"/>
          <w:sz w:val="18"/>
          <w:szCs w:val="18"/>
          <w:color w:val="auto"/>
        </w:rPr>
      </w:pPr>
    </w:p>
    <w:p>
      <w:pPr>
        <w:ind w:left="980" w:right="320" w:firstLine="408"/>
        <w:spacing w:after="0" w:line="261" w:lineRule="auto"/>
        <w:tabs>
          <w:tab w:leader="none" w:pos="1686"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counsel does not know of any proceeding pending before the FCC to which the Company or any of its subsidiaries is a party or involving the cable communications properties, licenses or authorizations of the Company and its subsidiaries, or of any cable communications law or regulation relevant thereto required to be described in the Registration Statement or the Disclosure Package pursuant to Regulation S-K promulgated under the Securities Act, which is not described as required.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55" w:name="page56"/>
    <w:bookmarkEnd w:id="55"/>
    <w:p>
      <w:pPr>
        <w:ind w:left="4" w:right="100" w:firstLine="419"/>
        <w:spacing w:after="0" w:line="282" w:lineRule="auto"/>
        <w:tabs>
          <w:tab w:leader="none" w:pos="651"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Managers shall have received on the Closing Date an opinion of Cahill Gordon &amp; Reindel LLP, counsel for the Underwriters, dated the Closing Date, covering the matters requested by and in form and substance reasonably satisfactory to the Managers.</w:t>
      </w:r>
    </w:p>
    <w:p>
      <w:pPr>
        <w:spacing w:after="0" w:line="53" w:lineRule="exact"/>
        <w:rPr>
          <w:rFonts w:ascii="Times New Roman" w:cs="Times New Roman" w:eastAsia="Times New Roman" w:hAnsi="Times New Roman"/>
          <w:sz w:val="18"/>
          <w:szCs w:val="18"/>
          <w:color w:val="auto"/>
        </w:rPr>
      </w:pPr>
    </w:p>
    <w:p>
      <w:pPr>
        <w:ind w:left="4" w:right="40" w:firstLine="419"/>
        <w:spacing w:after="0" w:line="255" w:lineRule="auto"/>
        <w:tabs>
          <w:tab w:leader="none" w:pos="681"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Managers shall have received on the date hereof a letter dated such date and on the Closing Date a letter dated such date, in each case in form and substance satisfactory to the Managers, from Deloitte &amp; Touche LLP, independent public accountants, containing statements and information of the type ordinarily included in accountants’ “comfort letters” to underwriters with respect to the financial statements and certain financial information reviewed by them contained in or incorporated by reference in the Registration Statement, the Disclosure Package and the Prospectus and each other firm of independent accountants, if any, who audited or reviewed financial statements contained in or incorporated by reference in the Registration Statement, the Disclosure Package and the Prospectus, containing statements and information of the type ordinarily included in accountants’ “comfort letters” to underwriters with respect to such financial statements and financial information.</w:t>
      </w:r>
    </w:p>
    <w:p>
      <w:pPr>
        <w:spacing w:after="0" w:line="80" w:lineRule="exact"/>
        <w:rPr>
          <w:rFonts w:ascii="Times New Roman" w:cs="Times New Roman" w:eastAsia="Times New Roman" w:hAnsi="Times New Roman"/>
          <w:sz w:val="18"/>
          <w:szCs w:val="18"/>
          <w:color w:val="auto"/>
        </w:rPr>
      </w:pPr>
    </w:p>
    <w:p>
      <w:pPr>
        <w:ind w:left="4" w:right="140" w:firstLine="419"/>
        <w:spacing w:after="0" w:line="282" w:lineRule="auto"/>
        <w:tabs>
          <w:tab w:leader="none" w:pos="681"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Managers shall have received on the date hereof or on the Closing Date, as applicable, such additional documents as the Managers shall have reasonably requested to confirm compliance with the conditions to Closing listed herein.</w:t>
      </w:r>
    </w:p>
    <w:p>
      <w:pPr>
        <w:spacing w:after="0" w:line="159"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Covenants of the Company</w:t>
      </w:r>
      <w:r>
        <w:rPr>
          <w:rFonts w:ascii="Times New Roman" w:cs="Times New Roman" w:eastAsia="Times New Roman" w:hAnsi="Times New Roman"/>
          <w:sz w:val="18"/>
          <w:szCs w:val="18"/>
          <w:color w:val="auto"/>
        </w:rPr>
        <w:t>. In further consideration of the agreements of the Underwriters herein contained, the Issuers covenant as follows:</w:t>
      </w:r>
    </w:p>
    <w:p>
      <w:pPr>
        <w:spacing w:after="0" w:line="119" w:lineRule="exact"/>
        <w:rPr>
          <w:rFonts w:ascii="Times New Roman" w:cs="Times New Roman" w:eastAsia="Times New Roman" w:hAnsi="Times New Roman"/>
          <w:sz w:val="18"/>
          <w:szCs w:val="18"/>
          <w:color w:val="auto"/>
        </w:rPr>
      </w:pPr>
    </w:p>
    <w:p>
      <w:pPr>
        <w:ind w:left="4" w:firstLine="419"/>
        <w:spacing w:after="0" w:line="261" w:lineRule="auto"/>
        <w:tabs>
          <w:tab w:leader="none" w:pos="671"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furnish to the Managers, without charge, a copy of the Registration Statement and two signed copies of any post-effective amendment thereto specifically relating to the Offered Securities (including exhibits thereto and documents incorporated therein by reference) and, during the period mentioned in paragraph (f) below, as many copies of the Disclosure Package, the Prospectus, any documents incorporated therein by reference and any supplements and amendments thereto as the Managers may reasonably request.</w:t>
      </w:r>
    </w:p>
    <w:p>
      <w:pPr>
        <w:spacing w:after="0" w:line="71" w:lineRule="exact"/>
        <w:rPr>
          <w:rFonts w:ascii="Times New Roman" w:cs="Times New Roman" w:eastAsia="Times New Roman" w:hAnsi="Times New Roman"/>
          <w:sz w:val="18"/>
          <w:szCs w:val="18"/>
          <w:color w:val="auto"/>
        </w:rPr>
      </w:pPr>
    </w:p>
    <w:p>
      <w:pPr>
        <w:ind w:left="4" w:firstLine="419"/>
        <w:spacing w:after="0" w:line="282" w:lineRule="auto"/>
        <w:tabs>
          <w:tab w:leader="none" w:pos="681"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amending or supplementing the Registration Statement, the Disclosure Package or the Prospectus, to furnish the Managers a copy of each such proposed amendment or supplement.</w:t>
      </w:r>
    </w:p>
    <w:p>
      <w:pPr>
        <w:spacing w:after="0" w:line="53" w:lineRule="exact"/>
        <w:rPr>
          <w:rFonts w:ascii="Times New Roman" w:cs="Times New Roman" w:eastAsia="Times New Roman" w:hAnsi="Times New Roman"/>
          <w:sz w:val="18"/>
          <w:szCs w:val="18"/>
          <w:color w:val="auto"/>
        </w:rPr>
      </w:pPr>
    </w:p>
    <w:p>
      <w:pPr>
        <w:ind w:left="4" w:right="120" w:firstLine="419"/>
        <w:spacing w:after="0" w:line="282" w:lineRule="auto"/>
        <w:tabs>
          <w:tab w:leader="none" w:pos="671"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filing, using or referring to any free writing prospectus relating to the Offered Securities, to furnish the Managers a copy of each such free writing prospectus.</w:t>
      </w:r>
    </w:p>
    <w:p>
      <w:pPr>
        <w:spacing w:after="0" w:line="94"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44"/>
          </w:cols>
          <w:pgMar w:left="876" w:top="270" w:right="479" w:bottom="1440" w:gutter="0" w:footer="0" w:header="0"/>
        </w:sectPr>
      </w:pPr>
    </w:p>
    <w:bookmarkStart w:id="56" w:name="page57"/>
    <w:bookmarkEnd w:id="56"/>
    <w:p>
      <w:pPr>
        <w:jc w:val="both"/>
        <w:ind w:right="100" w:firstLine="419"/>
        <w:spacing w:after="0" w:line="266" w:lineRule="auto"/>
        <w:tabs>
          <w:tab w:leader="none" w:pos="67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 to take any action that would result in an Underwriter being required to file with the Commission pursuant to Rule 433(d) under the Securities Act a free writing prospectus prepared by or on behalf of the Underwriter that the Underwriter otherwise would not have been required to file thereunder.</w:t>
      </w:r>
    </w:p>
    <w:p>
      <w:pPr>
        <w:spacing w:after="0" w:line="67" w:lineRule="exact"/>
        <w:rPr>
          <w:rFonts w:ascii="Times New Roman" w:cs="Times New Roman" w:eastAsia="Times New Roman" w:hAnsi="Times New Roman"/>
          <w:sz w:val="18"/>
          <w:szCs w:val="18"/>
          <w:color w:val="auto"/>
        </w:rPr>
      </w:pPr>
    </w:p>
    <w:p>
      <w:pPr>
        <w:ind w:right="40" w:firstLine="419"/>
        <w:spacing w:after="0" w:line="254" w:lineRule="auto"/>
        <w:tabs>
          <w:tab w:leader="none" w:pos="66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Disclosure Package is being used to solicit offers to buy the Offered Securities at a time when the Prospectus is not yet available to prospective purchasers and any event shall occur as a result of which it is necessary to amend or supplement the Disclosure Package in order to make the statements therein, in the light of the circumstances existing at the time, not misleading, or if any event shall occur as a result of which any free writing prospectus included as part of the Disclosure Package conflicts with the information contained in the Registration Statement then on file, the Company shall forthwith prepare and furnish, at its expense, to the Underwriters and to the dealers (whose names and addresses the Managers will furnish to the Company), either amendments or supplements to the Disclosure Package so that the statements in the Disclosure Package as so amended or supplemented will not, in the light of the circumstances existing at the time, be misleading or so that any free writing prospectus which is included as part of the Disclosure Package, as amended or supplemented, will no longer conflict with the Registration Statement.</w:t>
      </w:r>
    </w:p>
    <w:p>
      <w:pPr>
        <w:spacing w:after="0" w:line="80" w:lineRule="exact"/>
        <w:rPr>
          <w:rFonts w:ascii="Times New Roman" w:cs="Times New Roman" w:eastAsia="Times New Roman" w:hAnsi="Times New Roman"/>
          <w:sz w:val="18"/>
          <w:szCs w:val="18"/>
          <w:color w:val="auto"/>
        </w:rPr>
      </w:pPr>
    </w:p>
    <w:p>
      <w:pPr>
        <w:ind w:firstLine="419"/>
        <w:spacing w:after="0" w:line="254" w:lineRule="auto"/>
        <w:tabs>
          <w:tab w:leader="none" w:pos="64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during such period after the first date of the public offering of the Offered Securities during which in the opinion of counsel to the Managers the Prospectus (or in lieu thereof the notice referred to in Rule 173(a) under the Securities Act) is required by law to be delivered in connection with sales by an Underwriter or dealer, any event shall occur as a result of which it is necessary to amend or supplement the Prospectus in order to make the statements therein, in the light of the circumstances existing at the time, not misleading, forthwith to prepare and furnish, at its expense, to the Underwriters and to the dealers (whose names and addresses the Managers will furnish to the Company) to which Offered Securities may have been sold by the Managers on behalf of the Underwriters and to any other dealers on request, either amendments or supplements to the Prospectus so that the statements in the Prospectus as so amended or supplemented will not, in the light of the circumstances existing at the time, be misleading.</w:t>
      </w:r>
    </w:p>
    <w:p>
      <w:pPr>
        <w:spacing w:after="0" w:line="83" w:lineRule="exact"/>
        <w:rPr>
          <w:rFonts w:ascii="Times New Roman" w:cs="Times New Roman" w:eastAsia="Times New Roman" w:hAnsi="Times New Roman"/>
          <w:sz w:val="18"/>
          <w:szCs w:val="18"/>
          <w:color w:val="auto"/>
        </w:rPr>
      </w:pPr>
    </w:p>
    <w:p>
      <w:pPr>
        <w:ind w:right="300" w:firstLine="419"/>
        <w:spacing w:after="0" w:line="282" w:lineRule="auto"/>
        <w:tabs>
          <w:tab w:leader="none" w:pos="67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endeavor to qualify the Offered Securities for offer and sale under the securities or Blue Sky laws of such U.S. jurisdictions as the Managers shall reasonably request.</w:t>
      </w:r>
    </w:p>
    <w:p>
      <w:pPr>
        <w:spacing w:after="0" w:line="53" w:lineRule="exact"/>
        <w:rPr>
          <w:rFonts w:ascii="Times New Roman" w:cs="Times New Roman" w:eastAsia="Times New Roman" w:hAnsi="Times New Roman"/>
          <w:sz w:val="18"/>
          <w:szCs w:val="18"/>
          <w:color w:val="auto"/>
        </w:rPr>
      </w:pPr>
    </w:p>
    <w:p>
      <w:pPr>
        <w:ind w:right="80" w:firstLine="419"/>
        <w:spacing w:after="0" w:line="261" w:lineRule="auto"/>
        <w:tabs>
          <w:tab w:leader="none" w:pos="67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generally available to the Company’s security holders as soon as practicable an earnings statement covering the twelve month period beginning on the first day of the first fiscal quarter commencing after the date hereof, which shall satisfy the provisions of Section 11(a) of the Securities Act and the rules and regulations of the Commission thereunder (which may be accomplished by making generally available the Company’s financial statements in the manner provided for by Rule 158 of the Securities Act).</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60"/>
          </w:cols>
          <w:pgMar w:left="880" w:top="270" w:right="459" w:bottom="1440" w:gutter="0" w:footer="0" w:header="0"/>
        </w:sectPr>
      </w:pPr>
    </w:p>
    <w:bookmarkStart w:id="57" w:name="page58"/>
    <w:bookmarkEnd w:id="57"/>
    <w:p>
      <w:pPr>
        <w:ind w:firstLine="436"/>
        <w:spacing w:after="0" w:line="284" w:lineRule="auto"/>
        <w:tabs>
          <w:tab w:leader="none" w:pos="6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Covenants of the Underwriters</w:t>
      </w:r>
      <w:r>
        <w:rPr>
          <w:rFonts w:ascii="Times New Roman" w:cs="Times New Roman" w:eastAsia="Times New Roman" w:hAnsi="Times New Roman"/>
          <w:sz w:val="18"/>
          <w:szCs w:val="18"/>
          <w:color w:val="auto"/>
        </w:rPr>
        <w:t>. In further consideration of the agreements of the Issuers herein contained, each Underwriter severally covenants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follows:</w:t>
      </w:r>
    </w:p>
    <w:p>
      <w:pPr>
        <w:spacing w:after="0" w:line="52" w:lineRule="exact"/>
        <w:rPr>
          <w:rFonts w:ascii="Times New Roman" w:cs="Times New Roman" w:eastAsia="Times New Roman" w:hAnsi="Times New Roman"/>
          <w:sz w:val="18"/>
          <w:szCs w:val="18"/>
          <w:color w:val="auto"/>
        </w:rPr>
      </w:pPr>
    </w:p>
    <w:p>
      <w:pPr>
        <w:ind w:left="440" w:right="140" w:firstLine="419"/>
        <w:spacing w:after="0" w:line="266" w:lineRule="auto"/>
        <w:tabs>
          <w:tab w:leader="none" w:pos="1108"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take any action that would result in the Company being required to file with the Commission under Rule 433(d) a free writing prospectus prepared by or on behalf of such Underwriter that otherwise would not be required to be filed by the Company thereunder, but for the action of the Underwriter.</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use, refer to or distribute any free writing prospectus except:</w:t>
      </w:r>
    </w:p>
    <w:p>
      <w:pPr>
        <w:spacing w:after="0" w:line="117" w:lineRule="exact"/>
        <w:rPr>
          <w:rFonts w:ascii="Times New Roman" w:cs="Times New Roman" w:eastAsia="Times New Roman" w:hAnsi="Times New Roman"/>
          <w:sz w:val="18"/>
          <w:szCs w:val="18"/>
          <w:color w:val="auto"/>
        </w:rPr>
      </w:pPr>
    </w:p>
    <w:p>
      <w:pPr>
        <w:ind w:left="980" w:right="240" w:firstLine="408"/>
        <w:spacing w:after="0" w:line="266" w:lineRule="auto"/>
        <w:tabs>
          <w:tab w:leader="none" w:pos="1596"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free writing prospectus that (A) is not an issuer free writing prospectus and (B) contains only information describing the preliminary terms of the Offered Securities or the offering thereof, which information is limited to the categories of terms referenced on Schedule II to this Agreement or otherwise permitted under Rule 134 of the Securities Act;</w:t>
      </w:r>
    </w:p>
    <w:p>
      <w:pPr>
        <w:spacing w:after="0" w:line="67" w:lineRule="exact"/>
        <w:rPr>
          <w:rFonts w:ascii="Times New Roman" w:cs="Times New Roman" w:eastAsia="Times New Roman" w:hAnsi="Times New Roman"/>
          <w:sz w:val="18"/>
          <w:szCs w:val="18"/>
          <w:color w:val="auto"/>
        </w:rPr>
      </w:pPr>
    </w:p>
    <w:p>
      <w:pPr>
        <w:ind w:left="980" w:right="240" w:firstLine="408"/>
        <w:spacing w:after="0" w:line="266" w:lineRule="auto"/>
        <w:tabs>
          <w:tab w:leader="none" w:pos="1646"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free writing prospectus as shall be agreed in writing with the Company that is not distributed, used or referred to by such Underwriter in a manner reasonably designed to lead to its broad unrestricted dissemination (unless the Company consents in writing to such dissemination); or</w:t>
      </w:r>
    </w:p>
    <w:p>
      <w:pPr>
        <w:spacing w:after="0" w:line="6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free writing prospectus identified in Schedule I to this Agreement as forming part of the Disclosure Package.</w:t>
      </w:r>
    </w:p>
    <w:p>
      <w:pPr>
        <w:spacing w:after="0" w:line="223" w:lineRule="exact"/>
        <w:rPr>
          <w:rFonts w:ascii="Times New Roman" w:cs="Times New Roman" w:eastAsia="Times New Roman" w:hAnsi="Times New Roman"/>
          <w:sz w:val="18"/>
          <w:szCs w:val="18"/>
          <w:color w:val="auto"/>
        </w:rPr>
      </w:pPr>
    </w:p>
    <w:p>
      <w:pPr>
        <w:ind w:firstLine="436"/>
        <w:spacing w:after="0" w:line="253" w:lineRule="auto"/>
        <w:tabs>
          <w:tab w:leader="none" w:pos="6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 and Contribution</w:t>
      </w:r>
      <w:r>
        <w:rPr>
          <w:rFonts w:ascii="Times New Roman" w:cs="Times New Roman" w:eastAsia="Times New Roman" w:hAnsi="Times New Roman"/>
          <w:sz w:val="18"/>
          <w:szCs w:val="18"/>
          <w:color w:val="auto"/>
        </w:rPr>
        <w:t>. The Issuers, jointly and severally, agree to indemnify and hold harmless each Underwriter and each person,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if any, who controls each Underwriter within the meaning of either Section 15 of the Securities Act or Section 20 of the Exchange Act from and against any and all losses, claims, damages and liabilities caused by any untrue statement or alleged untrue statement of a material fact contained in the Registration Statement, any preliminary prospectus, the Disclosure Package (as amended or supplemented), any issuer free writing prospectus as defined under Rule 433(d) under the Securities Act or the Prospectus (as amended or supplemented), or caused by any omission or alleged omission to state therein a material fact necessary to make the statements therein not misleading, except insofar as such losses, claims, damages or liabilities are caused by any such untrue statement or omission or alleged untrue statement or omission based upon information furnished to any Issuer in writing by such Underwriter through the Managers expressly for use therein; provided, however, that the foregoing indemnity with respect to any preliminary prospectus, any issuer free writing prospectus or the Disclosure Package shall not inure to the benefit of any Underwriter from whom the person asserting any such losses, claims, damages or liabilities purchased Offered Securities, or any person controlling any such Underwriter, if (a) the Issuers have notified such Underwriter that any preliminary prospectus, any issuer free writing prospectus or the Disclosure Package contains an untrue statement of a material fact or an omission to state a material fact necessary to make the statements therein not misleading, (b) the Issuers provided a copy of any such preliminary prospectus, issuer free writing prospectus or Disclosure Package (as then amended or supplemented if the Company shall have furnished any amendments or supplements thereto) or a separate free writing prospectus correcting such material misstatement or omission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68" w:right="459" w:bottom="1440" w:gutter="0" w:footer="0" w:header="0"/>
        </w:sectPr>
      </w:pPr>
    </w:p>
    <w:bookmarkStart w:id="58" w:name="page59"/>
    <w:bookmarkEnd w:id="58"/>
    <w:p>
      <w:pPr>
        <w:ind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contact of the Managers indicated in the notice provision contained in this Agreement sufficiently in advance of first entering into a contract of sale of Offered Securities with such person (the “</w:t>
      </w:r>
      <w:r>
        <w:rPr>
          <w:rFonts w:ascii="Times New Roman" w:cs="Times New Roman" w:eastAsia="Times New Roman" w:hAnsi="Times New Roman"/>
          <w:sz w:val="18"/>
          <w:szCs w:val="18"/>
          <w:b w:val="1"/>
          <w:bCs w:val="1"/>
          <w:color w:val="auto"/>
        </w:rPr>
        <w:t>Time of Sale</w:t>
      </w:r>
      <w:r>
        <w:rPr>
          <w:rFonts w:ascii="Times New Roman" w:cs="Times New Roman" w:eastAsia="Times New Roman" w:hAnsi="Times New Roman"/>
          <w:sz w:val="18"/>
          <w:szCs w:val="18"/>
          <w:color w:val="auto"/>
        </w:rPr>
        <w:t>”) so that such preliminary prospectus, issuer free writing prospectus or Disclosure Package (as so amended or supplemented but without reference to documents incorporated by reference therein) or separate free writing prospectus could have been conveyed to such person prior to the Applicable Time, and (c) the information contained in any such corrected preliminary prospectus, issuer free writing prospectus, Disclosure Package or separate free writing prospectus was not conveyed by or on behalf of such Underwriter to such person, if required by law so to have been conveyed, at or prior to the Time of Sale, and if such corrected preliminary prospectus, issuer free writing prospectus, or Disclosure Package (as so amended or supplemented but without reference to documents incorporated by reference therein) or separate free writing prospectus would have cured the defect giving rise to such loss, claim, damage or liability.</w:t>
      </w:r>
    </w:p>
    <w:p>
      <w:pPr>
        <w:spacing w:after="0" w:line="192" w:lineRule="exact"/>
        <w:rPr>
          <w:sz w:val="20"/>
          <w:szCs w:val="20"/>
          <w:color w:val="auto"/>
        </w:rPr>
      </w:pPr>
    </w:p>
    <w:p>
      <w:pPr>
        <w:ind w:right="40" w:firstLine="440"/>
        <w:spacing w:after="0" w:line="277" w:lineRule="auto"/>
        <w:rPr>
          <w:sz w:val="20"/>
          <w:szCs w:val="20"/>
          <w:color w:val="auto"/>
        </w:rPr>
      </w:pPr>
      <w:r>
        <w:rPr>
          <w:rFonts w:ascii="Times New Roman" w:cs="Times New Roman" w:eastAsia="Times New Roman" w:hAnsi="Times New Roman"/>
          <w:sz w:val="17"/>
          <w:szCs w:val="17"/>
          <w:color w:val="auto"/>
        </w:rPr>
        <w:t>Each Underwriter severally and not jointly agrees to indemnify and hold harmless each Issuer, their respective directors and officers who sign the Registration Statement and each person, if any, who controls an Issuer within the meaning of either Section 15 of the Securities Act or Section 20 of the Exchange Act to the same extent as the foregoing indemnity from the Issuers to such Underwriter, but only with reference to information relating to such Underwriter furnished to any Issuer in writing by such Underwriter through the Managers expressly for use in the Registration Statement, any preliminary prospectus, the Disclosure Package, any issuer free writing prospectus, the Prospectus or any amendment or supplement thereto.</w:t>
      </w:r>
    </w:p>
    <w:p>
      <w:pPr>
        <w:spacing w:after="0" w:line="168"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In case any proceeding (including any governmental investigation) shall be instituted involving any person in respect of which indemnity may be sought pursuant to either of the two preceding paragraphs, such person (hereinafter called the “indemnified party”) shall promptly notify the person against whom such indemnity may be sought (hereinafter called the “indemnifying party”) in writing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connection with any proceeding or related proceedings in the same jurisdiction, be liable for the reasonable fees and expenses of more than one separate firm (in addition to any local counsel) for all such indemnified parties and that all such fees and expenses shall be reimbursed as they are incurred. In the case of any such separate firm for the Underwriters and such control persons of the Underwriters, such firm shall be designated in writing by the Managers. In the case of any such separate firm for the Issuers and such directors, officers and controlling persons of the Issuers, such firm shall be designated in writing by the Issuers. The indemnifying party shall not be liable for any settlement of any proceeding effected without its written consent, but if settled with such consent or if there be a final judgment for the plaintiff, the indemnifying party agrees to indemnify, to the</w:t>
      </w:r>
    </w:p>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60"/>
          </w:cols>
          <w:pgMar w:left="440" w:top="270" w:right="499" w:bottom="1440" w:gutter="0" w:footer="0" w:header="0"/>
        </w:sectPr>
      </w:pPr>
    </w:p>
    <w:bookmarkStart w:id="59" w:name="page60"/>
    <w:bookmarkEnd w:id="59"/>
    <w:p>
      <w:pPr>
        <w:ind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extent provided in the two immediately preceding paragraphs, the indemnified party from and against any loss or liability by reason of such settlement or judgment.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183"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If the indemnification provided for in the first or second paragraph of this Section 7 is unavailable to an indemnified party in respect of any losses, claims, damages or liabilities for which indemnification is provided herein, then the indemnifying party, in lieu of indemnifying such indemnified party, shall contribute to the amount paid or payable by such indemnified party as a result of such losses, claims, damages or liabilities (i) in such proportion as is appropriate to reflect the relative benefits received by the Issuers on the one hand and the Underwriters on the other from the offering of the Offered Securities or (ii) if the allocation provided by clause (i) above is not permitted by applicable law, in such proportion as is appropriate to reflect not only the relative benefits referred to in clause (i) above but also the relative fault of the Issuers on the one hand and of the Underwriters on the other in connection with the statements or omissions which resulted in such losses, claims, damages or liabilities, as well as any other relevant equitable considerations. The relative benefits received by the Issuers and the Underwriters shall be deemed to be in the same respective proportions as the net proceeds from the offering (before deducting expenses) received by the Issuers bear to the total underwriting discounts and commissions received by the Underwriters in respect thereof. The relative fault of the Issuers and the Underwriters shall be determined by reference to, among other things, whether the untrue or alleged untrue statement of a material fact or the omission or alleged omission to state a material fact relates to information supplied by the Issuers or by the Underwriters and the parties’ relative intent, knowledge, access to information and opportunity to correct or prevent such statement or omission.</w:t>
      </w:r>
    </w:p>
    <w:p>
      <w:pPr>
        <w:spacing w:after="0" w:line="187"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The Issuers and the Underwriters agree that it would not be just and equitable if contribution pursuant to this Section 7 were determined by pro rata allocation (even if the Underwriters were treated as one entity for such purpose) or by any other method of allocation which does not take account of the equitable considerations referred to in the immediately preceding paragraph. The amount paid or payable by an indemnified party as a result of the losses, claims, damages and liabilities referred to in the immediately preceding paragraph shall be deemed to include, subject to the limitations set forth above, any legal or other expenses reasonably incurred by such indemnified party in connection with investigating or defending any such action or claim. Notwithstanding the provisions of this Section 7, the Underwriters shall not be required to contribute any amount in excess of the amount by which the total price at which the Offered Securities underwritten by them and distributed to the public were offered to the public exceeds the amount of any damages which the Underwriters have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60" w:name="page61"/>
    <w:bookmarkEnd w:id="60"/>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indemnity and contribution agreement contained in this Section 7 and the representations and warranties of the Company contained in this Agreement shall remain operative and in full force and effect regardless of (i) any termination of this Agreement, (ii) any investigation made by or on behalf of the Underwriters or any person controlling the Underwriters or by or on behalf of the Issuers, their respective officers or directors or any other person controlling an Issuer and (iii) acceptance of and payment for any of the Offered Securities.</w:t>
      </w:r>
    </w:p>
    <w:p>
      <w:pPr>
        <w:spacing w:after="0" w:line="178" w:lineRule="exact"/>
        <w:rPr>
          <w:sz w:val="20"/>
          <w:szCs w:val="20"/>
          <w:color w:val="auto"/>
        </w:rPr>
      </w:pPr>
    </w:p>
    <w:p>
      <w:pPr>
        <w:ind w:right="120" w:firstLine="436"/>
        <w:spacing w:after="0" w:line="255" w:lineRule="auto"/>
        <w:tabs>
          <w:tab w:leader="none" w:pos="6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This Agreement shall be subject to termination in the absolute discretion of the Managers by notice given by the Managers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Issuers, if (a) after the Applicable Time and prior to the Closing Date (i) trading generally shall have been suspended or materially limited on or by, as the case may be, the New York Stock Exchange, the American Stock Exchange, or the Financial Industry Regulatory Authority, (ii) trading of any securities of the Company shall have been suspended on the Nasdaq Global Select Market, (iii) a general moratorium on commercial banking activities in New York shall have been declared by either Federal or New York State authorities, or (iv) there shall have occurred any outbreak or escalation of hostilities or any change in financial markets or any calamity or crisis that, in the judgment of the Managers, is material and adverse and (b) in the case of any of the events specified in clauses (a)(i) through (iv), such event, singly or together with any other such event, makes it, in the judgment of the Managers, impracticable to market the Offered Securities on the terms and in the manner contemplated in the Disclosure Package.</w:t>
      </w:r>
    </w:p>
    <w:p>
      <w:pPr>
        <w:spacing w:after="0" w:line="187" w:lineRule="exact"/>
        <w:rPr>
          <w:sz w:val="20"/>
          <w:szCs w:val="20"/>
          <w:color w:val="auto"/>
        </w:rPr>
      </w:pPr>
    </w:p>
    <w:p>
      <w:pPr>
        <w:ind w:right="120" w:firstLine="440"/>
        <w:spacing w:after="0" w:line="253" w:lineRule="auto"/>
        <w:rPr>
          <w:sz w:val="20"/>
          <w:szCs w:val="20"/>
          <w:color w:val="auto"/>
        </w:rPr>
      </w:pPr>
      <w:r>
        <w:rPr>
          <w:rFonts w:ascii="Times New Roman" w:cs="Times New Roman" w:eastAsia="Times New Roman" w:hAnsi="Times New Roman"/>
          <w:sz w:val="18"/>
          <w:szCs w:val="18"/>
          <w:color w:val="auto"/>
        </w:rPr>
        <w:t>The Issuers will pay and bear all costs and expenses incident to the performance of their obligations under this Agreement, including (a) the preparation, printing and filing of the Registration Statement (including financial statements and exhibits), as originally filed and as amended, the preliminary prospectuses, the Disclosure Package, any free writing prospectus and the Prospectus and any amendments or supplements thereto, and the cost of furnishing copies thereto to the Underwriters, (b) the preparation, printing and distribution of this Agreement, each indenture under which the Offered Securities are to be issued and Blue Sky Memorandum, (c) the delivery of the Offered Securities to the Underwriters, (d) the fees and disbursements of the Issuers’ counsel and accountants, (e) the qualification of the Offered Securities under the applicable state securities or Blue Sky laws in accordance with Section 5, including filing fees and reasonable fees and disbursements of counsel for the Underwriters in connection therewith and in connection with any Blue Sky survey and any legal investment survey, (f) all fees payable to the Financial Industry Regulatory Authority in connection with the review, if any, of the offering of the Securities, (g) any fees charged by rating agencies for rating the Offered Securities and (h) the fees and expenses of the Trustee, including the fees and disbursements of counsel for the Trustee, in connection with each indenture under which the Offered Securities are to be issued and the Offered Securities. Except as specifically provided elsewhere herein, the Underwriters will pay all of their own costs and expenses, including without limitation the fees and expenses of their counsel and the expenses of selling presentations.</w:t>
      </w:r>
    </w:p>
    <w:p>
      <w:pPr>
        <w:spacing w:after="0" w:line="19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If this Agreement shall be terminated by the Underwriters because of any failure or refusal on the part of the Issuers to comply with the terms or to fulfill any of the conditions of this Agreement, or if for any reason the Issuers shall be unable to perform their obligations under this Agreement, the Company will reimburse the Underwriters for all out-of-pocket expenses (including the fees and disbursements of their counsel) reasonably incurred by the Underwriters in connection with this Agreement or the offering contemplated hereunder. This provision shall survive the termination or cancellation of this Agreement.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61" w:name="page62"/>
    <w:bookmarkEnd w:id="61"/>
    <w:p>
      <w:pPr>
        <w:ind w:firstLine="436"/>
        <w:spacing w:after="0" w:line="252" w:lineRule="auto"/>
        <w:tabs>
          <w:tab w:leader="none" w:pos="6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Defaulting Underwriters</w:t>
      </w:r>
      <w:r>
        <w:rPr>
          <w:rFonts w:ascii="Times New Roman" w:cs="Times New Roman" w:eastAsia="Times New Roman" w:hAnsi="Times New Roman"/>
          <w:sz w:val="18"/>
          <w:szCs w:val="18"/>
          <w:color w:val="auto"/>
        </w:rPr>
        <w:t>. If on the Closing Date any one or more of the Underwriters shall fail or refuse to purchase Offered Securities that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or they have agreed to purchase on such date, and the aggregate amount of Offered Securities which such defaulting Underwriter or Underwriters agreed but failed or refused to purchase is not more than one-tenth of the aggregate amount of the Offered Securities to be purchased on such date, the other Underwriters shall be obligated severally and not jointly in the proportions that the amount of Offered Securities set forth opposite their respective names bears to the aggregate amount of Offered Securities set forth opposite the names of all such non-defaulting Underwriters, or in such other proportions as the Managers may specify, to purchase the Offered Securities which such defaulting Underwriter or Underwriters agreed but failed or refused to purchase on such date; provided that in no event shall the amount of Offered Securities that any Underwriter has agreed to purchase pursuant to this Agreement be increased pursuant to this Section 9 by an amount in excess of one-ninth of such amount of Offered Securities without the written consent of such Underwriter. If on the Closing Date any Underwriter or Underwriters shall fail or refuse to purchase Offered Securities and the aggregate amount of Offered Securities with respect to which such default occurs is more than one-tenth of the aggregate amount of Offered Securities to be purchased on such date, and arrangements satisfactory to the Managers and the Issuers for the purchase of such Offered Securities are not made within 36 hours after such default, this Agreement shall terminate without liability on the part of any non-defaulting Underwriter or the Issuers. In any such case either the Managers or the Issuers shall have the right to postpone the Closing Date but in no event for longer than seven days, in order that the required changes, if any, in the Registration Statement and in the Prospectus or in any other documents or arrangements may be effected. Any action taken under this paragraph shall not relieve any defaulting Underwriter from liability in respect of any default of such Underwriter under this Agreement.</w:t>
      </w:r>
    </w:p>
    <w:p>
      <w:pPr>
        <w:spacing w:after="0" w:line="194" w:lineRule="exact"/>
        <w:rPr>
          <w:rFonts w:ascii="Times New Roman" w:cs="Times New Roman" w:eastAsia="Times New Roman" w:hAnsi="Times New Roman"/>
          <w:sz w:val="18"/>
          <w:szCs w:val="18"/>
          <w:color w:val="auto"/>
        </w:rPr>
      </w:pPr>
    </w:p>
    <w:p>
      <w:pPr>
        <w:ind w:right="80" w:firstLine="436"/>
        <w:spacing w:after="0" w:line="315" w:lineRule="auto"/>
        <w:tabs>
          <w:tab w:leader="none" w:pos="71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Counterparts</w:t>
      </w:r>
      <w:r>
        <w:rPr>
          <w:rFonts w:ascii="Times New Roman" w:cs="Times New Roman" w:eastAsia="Times New Roman" w:hAnsi="Times New Roman"/>
          <w:sz w:val="17"/>
          <w:szCs w:val="17"/>
          <w:color w:val="auto"/>
        </w:rPr>
        <w:t>. This Agreement may be signed in any number of counterparts (which may include counterparts delivered by any standard form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telecommunication), each of which shall be an original, with the same effect as if the signatures thereto and hereto were upon the same instrument.</w:t>
      </w:r>
    </w:p>
    <w:p>
      <w:pPr>
        <w:spacing w:after="0" w:line="134" w:lineRule="exact"/>
        <w:rPr>
          <w:rFonts w:ascii="Times New Roman" w:cs="Times New Roman" w:eastAsia="Times New Roman" w:hAnsi="Times New Roman"/>
          <w:sz w:val="17"/>
          <w:szCs w:val="17"/>
          <w:color w:val="auto"/>
        </w:rPr>
      </w:pPr>
    </w:p>
    <w:p>
      <w:pPr>
        <w:ind w:left="700" w:hanging="264"/>
        <w:spacing w:after="0"/>
        <w:tabs>
          <w:tab w:leader="none" w:pos="7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Applicable Law</w:t>
      </w:r>
      <w:r>
        <w:rPr>
          <w:rFonts w:ascii="Times New Roman" w:cs="Times New Roman" w:eastAsia="Times New Roman" w:hAnsi="Times New Roman"/>
          <w:sz w:val="18"/>
          <w:szCs w:val="18"/>
          <w:color w:val="auto"/>
        </w:rPr>
        <w:t>. This Agreement shall be governed by and construed in accordance with the internal laws of the State of New York.</w:t>
      </w:r>
    </w:p>
    <w:p>
      <w:pPr>
        <w:spacing w:after="0" w:line="225" w:lineRule="exact"/>
        <w:rPr>
          <w:rFonts w:ascii="Times New Roman" w:cs="Times New Roman" w:eastAsia="Times New Roman" w:hAnsi="Times New Roman"/>
          <w:sz w:val="18"/>
          <w:szCs w:val="18"/>
          <w:color w:val="auto"/>
        </w:rPr>
      </w:pPr>
    </w:p>
    <w:p>
      <w:pPr>
        <w:ind w:right="40" w:firstLine="436"/>
        <w:spacing w:after="0" w:line="284" w:lineRule="auto"/>
        <w:tabs>
          <w:tab w:leader="none" w:pos="71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Headings</w:t>
      </w:r>
      <w:r>
        <w:rPr>
          <w:rFonts w:ascii="Times New Roman" w:cs="Times New Roman" w:eastAsia="Times New Roman" w:hAnsi="Times New Roman"/>
          <w:sz w:val="18"/>
          <w:szCs w:val="18"/>
          <w:color w:val="auto"/>
        </w:rPr>
        <w:t>. The headings of the sections of this Agreement have been inserted for convenience of reference only and shall not be deemed a part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Agreement.</w:t>
      </w:r>
    </w:p>
    <w:p>
      <w:pPr>
        <w:spacing w:after="0" w:line="158" w:lineRule="exact"/>
        <w:rPr>
          <w:rFonts w:ascii="Times New Roman" w:cs="Times New Roman" w:eastAsia="Times New Roman" w:hAnsi="Times New Roman"/>
          <w:sz w:val="18"/>
          <w:szCs w:val="18"/>
          <w:color w:val="auto"/>
        </w:rPr>
      </w:pPr>
    </w:p>
    <w:p>
      <w:pPr>
        <w:jc w:val="both"/>
        <w:ind w:right="80" w:firstLine="436"/>
        <w:spacing w:after="0" w:line="261" w:lineRule="auto"/>
        <w:tabs>
          <w:tab w:leader="none" w:pos="71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USA Patriot Act. </w:t>
      </w:r>
      <w:r>
        <w:rPr>
          <w:rFonts w:ascii="Times New Roman" w:cs="Times New Roman" w:eastAsia="Times New Roman" w:hAnsi="Times New Roman"/>
          <w:sz w:val="18"/>
          <w:szCs w:val="18"/>
          <w:color w:val="auto"/>
        </w:rPr>
        <w:t>In accordance with the requirements of the USA Patriot Act (Title III of Pub. L. 107-56 (signed into law October 26, 2001)),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179"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Recognition of the U.S. Special Resolution Regimes</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jc w:val="both"/>
        <w:ind w:left="440" w:right="80" w:firstLine="419"/>
        <w:spacing w:after="0" w:line="261" w:lineRule="auto"/>
        <w:tabs>
          <w:tab w:leader="none" w:pos="1108"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71" w:lineRule="exact"/>
        <w:rPr>
          <w:rFonts w:ascii="Times New Roman" w:cs="Times New Roman" w:eastAsia="Times New Roman" w:hAnsi="Times New Roman"/>
          <w:sz w:val="18"/>
          <w:szCs w:val="18"/>
          <w:color w:val="auto"/>
        </w:rPr>
      </w:pPr>
    </w:p>
    <w:p>
      <w:pPr>
        <w:ind w:left="440" w:right="60" w:firstLine="419"/>
        <w:spacing w:after="0" w:line="261" w:lineRule="auto"/>
        <w:tabs>
          <w:tab w:leader="none" w:pos="1118"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0"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color w:val="auto"/>
        </w:rPr>
        <w:t>For purposes of this Section 14, a “BHC Act Affiliate” has the meaning assigned to the term “affiliate” in, and shall be interpreted in accordance with, 12 U.S.C. § 1841(k).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“Default Right” has the meaning assigned to that term in, and shall be interpreted in accordance with, 12 C.F.R. §§ 252.81, 47.2 or 382.1, as applicable. “U.S.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68" w:right="45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4.4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SUPPLEMENTAL INDENTURE</w:t>
      </w:r>
    </w:p>
    <w:p>
      <w:pPr>
        <w:spacing w:after="0" w:line="225" w:lineRule="exact"/>
        <w:rPr>
          <w:sz w:val="20"/>
          <w:szCs w:val="20"/>
          <w:color w:val="auto"/>
        </w:rPr>
      </w:pPr>
    </w:p>
    <w:p>
      <w:pPr>
        <w:ind w:right="500" w:firstLine="440"/>
        <w:spacing w:after="0" w:line="262" w:lineRule="auto"/>
        <w:rPr>
          <w:sz w:val="20"/>
          <w:szCs w:val="20"/>
          <w:color w:val="auto"/>
        </w:rPr>
      </w:pPr>
      <w:r>
        <w:rPr>
          <w:rFonts w:ascii="Times New Roman" w:cs="Times New Roman" w:eastAsia="Times New Roman" w:hAnsi="Times New Roman"/>
          <w:sz w:val="18"/>
          <w:szCs w:val="18"/>
          <w:color w:val="auto"/>
        </w:rPr>
        <w:t>SECOND SUPPLEMENTAL INDENTURE dated as of July 29, 2022 (this “</w:t>
      </w:r>
      <w:r>
        <w:rPr>
          <w:rFonts w:ascii="Times New Roman" w:cs="Times New Roman" w:eastAsia="Times New Roman" w:hAnsi="Times New Roman"/>
          <w:sz w:val="18"/>
          <w:szCs w:val="18"/>
          <w:b w:val="1"/>
          <w:bCs w:val="1"/>
          <w:color w:val="auto"/>
        </w:rPr>
        <w:t>Supplemental Indenture</w:t>
      </w:r>
      <w:r>
        <w:rPr>
          <w:rFonts w:ascii="Times New Roman" w:cs="Times New Roman" w:eastAsia="Times New Roman" w:hAnsi="Times New Roman"/>
          <w:sz w:val="18"/>
          <w:szCs w:val="18"/>
          <w:color w:val="auto"/>
        </w:rPr>
        <w:t>”), among Comcast Corporation, a Pennsylvania corporation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Comcast Cable Communications, LLC, a Delaware limited liability company (“</w:t>
      </w:r>
      <w:r>
        <w:rPr>
          <w:rFonts w:ascii="Times New Roman" w:cs="Times New Roman" w:eastAsia="Times New Roman" w:hAnsi="Times New Roman"/>
          <w:sz w:val="18"/>
          <w:szCs w:val="18"/>
          <w:b w:val="1"/>
          <w:bCs w:val="1"/>
          <w:color w:val="auto"/>
        </w:rPr>
        <w:t>Comcast Cable</w:t>
      </w:r>
      <w:r>
        <w:rPr>
          <w:rFonts w:ascii="Times New Roman" w:cs="Times New Roman" w:eastAsia="Times New Roman" w:hAnsi="Times New Roman"/>
          <w:sz w:val="18"/>
          <w:szCs w:val="18"/>
          <w:color w:val="auto"/>
        </w:rPr>
        <w:t>”), NBCUniversal Media, LLC, a Delaware limited liability company (together with Comcast Cable, the “</w:t>
      </w:r>
      <w:r>
        <w:rPr>
          <w:rFonts w:ascii="Times New Roman" w:cs="Times New Roman" w:eastAsia="Times New Roman" w:hAnsi="Times New Roman"/>
          <w:sz w:val="18"/>
          <w:szCs w:val="18"/>
          <w:b w:val="1"/>
          <w:bCs w:val="1"/>
          <w:color w:val="auto"/>
        </w:rPr>
        <w:t>Guarantors</w:t>
      </w:r>
      <w:r>
        <w:rPr>
          <w:rFonts w:ascii="Times New Roman" w:cs="Times New Roman" w:eastAsia="Times New Roman" w:hAnsi="Times New Roman"/>
          <w:sz w:val="18"/>
          <w:szCs w:val="18"/>
          <w:color w:val="auto"/>
        </w:rPr>
        <w:t>”), and The Bank of New York Mellon,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300" w:firstLine="440"/>
        <w:spacing w:after="0" w:line="259" w:lineRule="auto"/>
        <w:rPr>
          <w:sz w:val="20"/>
          <w:szCs w:val="20"/>
          <w:color w:val="auto"/>
        </w:rPr>
      </w:pPr>
      <w:r>
        <w:rPr>
          <w:rFonts w:ascii="Times New Roman" w:cs="Times New Roman" w:eastAsia="Times New Roman" w:hAnsi="Times New Roman"/>
          <w:sz w:val="18"/>
          <w:szCs w:val="18"/>
          <w:color w:val="auto"/>
        </w:rPr>
        <w:t>WHEREAS, the Issuer is the issuer under the Indenture, dated as of September 18, 2013 (the “</w:t>
      </w:r>
      <w:r>
        <w:rPr>
          <w:rFonts w:ascii="Times New Roman" w:cs="Times New Roman" w:eastAsia="Times New Roman" w:hAnsi="Times New Roman"/>
          <w:sz w:val="18"/>
          <w:szCs w:val="18"/>
          <w:b w:val="1"/>
          <w:bCs w:val="1"/>
          <w:color w:val="auto"/>
        </w:rPr>
        <w:t>Base Indenture</w:t>
      </w:r>
      <w:r>
        <w:rPr>
          <w:rFonts w:ascii="Times New Roman" w:cs="Times New Roman" w:eastAsia="Times New Roman" w:hAnsi="Times New Roman"/>
          <w:sz w:val="18"/>
          <w:szCs w:val="18"/>
          <w:color w:val="auto"/>
        </w:rPr>
        <w:t>”), as supplemented by a First Supplemental Indenture, dated as of November 17, 2015 (the “</w:t>
      </w:r>
      <w:r>
        <w:rPr>
          <w:rFonts w:ascii="Times New Roman" w:cs="Times New Roman" w:eastAsia="Times New Roman" w:hAnsi="Times New Roman"/>
          <w:sz w:val="18"/>
          <w:szCs w:val="18"/>
          <w:b w:val="1"/>
          <w:bCs w:val="1"/>
          <w:color w:val="auto"/>
        </w:rPr>
        <w:t>First Supplemental Indenture</w:t>
      </w:r>
      <w:r>
        <w:rPr>
          <w:rFonts w:ascii="Times New Roman" w:cs="Times New Roman" w:eastAsia="Times New Roman" w:hAnsi="Times New Roman"/>
          <w:sz w:val="18"/>
          <w:szCs w:val="18"/>
          <w:color w:val="auto"/>
        </w:rPr>
        <w:t>” and, together with the Base Indenture, the “</w:t>
      </w:r>
      <w:r>
        <w:rPr>
          <w:rFonts w:ascii="Times New Roman" w:cs="Times New Roman" w:eastAsia="Times New Roman" w:hAnsi="Times New Roman"/>
          <w:sz w:val="18"/>
          <w:szCs w:val="18"/>
          <w:b w:val="1"/>
          <w:bCs w:val="1"/>
          <w:color w:val="auto"/>
        </w:rPr>
        <w:t>Original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and, together with this Supplemental Indenture,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pursuant to which the Issuer issued, and the Trustee authenticated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delivered certain securities which are, as of the date hereof, outstanding (the “</w:t>
      </w:r>
      <w:r>
        <w:rPr>
          <w:rFonts w:ascii="Times New Roman" w:cs="Times New Roman" w:eastAsia="Times New Roman" w:hAnsi="Times New Roman"/>
          <w:sz w:val="18"/>
          <w:szCs w:val="18"/>
          <w:b w:val="1"/>
          <w:bCs w:val="1"/>
          <w:color w:val="auto"/>
        </w:rPr>
        <w:t>Outstanding Securities</w:t>
      </w:r>
      <w:r>
        <w:rPr>
          <w:rFonts w:ascii="Times New Roman" w:cs="Times New Roman" w:eastAsia="Times New Roman" w:hAnsi="Times New Roman"/>
          <w:sz w:val="18"/>
          <w:szCs w:val="18"/>
          <w:color w:val="auto"/>
        </w:rPr>
        <w:t>”) and pursuant to which the Issuer may issue securities in the future (the “</w:t>
      </w:r>
      <w:r>
        <w:rPr>
          <w:rFonts w:ascii="Times New Roman" w:cs="Times New Roman" w:eastAsia="Times New Roman" w:hAnsi="Times New Roman"/>
          <w:sz w:val="18"/>
          <w:szCs w:val="18"/>
          <w:b w:val="1"/>
          <w:bCs w:val="1"/>
          <w:color w:val="auto"/>
        </w:rPr>
        <w:t>New Securities</w:t>
      </w:r>
      <w:r>
        <w:rPr>
          <w:rFonts w:ascii="Times New Roman" w:cs="Times New Roman" w:eastAsia="Times New Roman" w:hAnsi="Times New Roman"/>
          <w:sz w:val="18"/>
          <w:szCs w:val="18"/>
          <w:color w:val="auto"/>
        </w:rPr>
        <w:t>” and, together with the Outstanding Securities,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and</w:t>
      </w:r>
    </w:p>
    <w:p>
      <w:pPr>
        <w:spacing w:after="0" w:line="183"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WHEREAS, pursuant to Section 7.01(k) of the Base Indenture, the Issuer and the Trustee may, without consent of the Holders, when so authorized by the Board of Directors of the Issuer, enter into a supplement to the Indenture to make any change that does not adversely affect the rights of any Holder in any material respect, and the Board of Directors of the Issuer has determined that the changes to the Indenture effected by this Supplemental Indenture do not adversely affect the rights of any Holder in any material respect; and</w:t>
      </w:r>
    </w:p>
    <w:p>
      <w:pPr>
        <w:spacing w:after="0" w:line="180" w:lineRule="exact"/>
        <w:rPr>
          <w:sz w:val="20"/>
          <w:szCs w:val="20"/>
          <w:color w:val="auto"/>
        </w:rPr>
      </w:pPr>
    </w:p>
    <w:p>
      <w:pPr>
        <w:ind w:right="680" w:firstLine="440"/>
        <w:spacing w:after="0" w:line="282" w:lineRule="auto"/>
        <w:rPr>
          <w:sz w:val="20"/>
          <w:szCs w:val="20"/>
          <w:color w:val="auto"/>
        </w:rPr>
      </w:pPr>
      <w:r>
        <w:rPr>
          <w:rFonts w:ascii="Times New Roman" w:cs="Times New Roman" w:eastAsia="Times New Roman" w:hAnsi="Times New Roman"/>
          <w:sz w:val="18"/>
          <w:szCs w:val="18"/>
          <w:color w:val="auto"/>
        </w:rPr>
        <w:t>WHEREAS, the entry into this Supplemental Indenture by the parties hereto is in all respects authorized by the provisions of the Original Indenture; and</w:t>
      </w:r>
    </w:p>
    <w:p>
      <w:pPr>
        <w:spacing w:after="0" w:line="162"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WHEREAS, all conditions necessary to authorize the execution and delivery of this Supplemental Indenture and to make it a valid and binding obligation of the Issuer and the Guarantors have been satisfied;</w:t>
      </w:r>
    </w:p>
    <w:p>
      <w:pPr>
        <w:spacing w:after="0" w:line="162"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promises and the purchases of the New Securities by the Holders thereof, the Issuer, the Guarantors and the Trustee mutually covenant and agree for the equal and proportionate benefit of the respective Holders from time to time of the New Securities, and do hereby supplement and amend the Original Indenture pursuant to Section 7.01 without notice to or consent of any Holder as follows:</w:t>
      </w:r>
    </w:p>
    <w:p>
      <w:pPr>
        <w:sectPr>
          <w:pgSz w:w="11900" w:h="16838" w:orient="portrait"/>
          <w:cols w:equalWidth="0" w:num="1">
            <w:col w:w="11020"/>
          </w:cols>
          <w:pgMar w:left="440" w:top="117" w:right="4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4"/>
          <w:szCs w:val="14"/>
          <w:color w:val="auto"/>
        </w:rPr>
        <w:t>EFINITIONS</w:t>
      </w:r>
    </w:p>
    <w:p>
      <w:pPr>
        <w:spacing w:after="0" w:line="205" w:lineRule="exact"/>
        <w:rPr>
          <w:sz w:val="20"/>
          <w:szCs w:val="20"/>
          <w:color w:val="auto"/>
        </w:rPr>
      </w:pPr>
    </w:p>
    <w:p>
      <w:pPr>
        <w:ind w:right="300" w:firstLine="440"/>
        <w:spacing w:after="0" w:line="261" w:lineRule="auto"/>
        <w:rPr>
          <w:sz w:val="20"/>
          <w:szCs w:val="20"/>
          <w:color w:val="auto"/>
        </w:rPr>
      </w:pPr>
      <w:r>
        <w:rPr>
          <w:rFonts w:ascii="Times New Roman" w:cs="Times New Roman" w:eastAsia="Times New Roman" w:hAnsi="Times New Roman"/>
          <w:sz w:val="18"/>
          <w:szCs w:val="18"/>
          <w:color w:val="auto"/>
        </w:rPr>
        <w:t>Section 1.01</w:t>
      </w:r>
      <w:r>
        <w:rPr>
          <w:rFonts w:ascii="Times New Roman" w:cs="Times New Roman" w:eastAsia="Times New Roman" w:hAnsi="Times New Roman"/>
          <w:sz w:val="18"/>
          <w:szCs w:val="18"/>
          <w:i w:val="1"/>
          <w:iCs w:val="1"/>
          <w:color w:val="auto"/>
        </w:rPr>
        <w:t>. Definitions.</w:t>
      </w:r>
      <w:r>
        <w:rPr>
          <w:rFonts w:ascii="Times New Roman" w:cs="Times New Roman" w:eastAsia="Times New Roman" w:hAnsi="Times New Roman"/>
          <w:sz w:val="18"/>
          <w:szCs w:val="18"/>
          <w:color w:val="auto"/>
        </w:rPr>
        <w:t xml:space="preserve"> Capitalized terms that are defined in the preamble or the recitals hereto shall have such meanings throughout this Supplemental Indenture. Capitalized terms used but not defined in this Supplemental Indenture have the meanings assigned thereto in the Base Indenture. The meanings assigned to all defined terms used in this Supplemental Indenture shall be equally applicable to both the singular and plural forms of such defined terms.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MENDMENTS</w:t>
      </w:r>
    </w:p>
    <w:p>
      <w:pPr>
        <w:spacing w:after="0" w:line="205" w:lineRule="exact"/>
        <w:rPr>
          <w:sz w:val="20"/>
          <w:szCs w:val="20"/>
          <w:color w:val="auto"/>
        </w:rPr>
      </w:pPr>
    </w:p>
    <w:p>
      <w:pPr>
        <w:ind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i w:val="1"/>
          <w:iCs w:val="1"/>
          <w:color w:val="auto"/>
        </w:rPr>
        <w:t>First Amendment</w:t>
      </w:r>
      <w:r>
        <w:rPr>
          <w:rFonts w:ascii="Times New Roman" w:cs="Times New Roman" w:eastAsia="Times New Roman" w:hAnsi="Times New Roman"/>
          <w:sz w:val="18"/>
          <w:szCs w:val="18"/>
          <w:color w:val="auto"/>
        </w:rPr>
        <w:t>. The Base Indenture is hereby amended solely with respect to any and all New Securities by replacing Section 2.05 with the following:</w:t>
      </w:r>
    </w:p>
    <w:p>
      <w:pPr>
        <w:spacing w:after="0" w:line="50" w:lineRule="exact"/>
        <w:rPr>
          <w:sz w:val="20"/>
          <w:szCs w:val="20"/>
          <w:color w:val="auto"/>
        </w:rPr>
      </w:pPr>
    </w:p>
    <w:p>
      <w:pPr>
        <w:ind w:left="440"/>
        <w:spacing w:after="0" w:line="281" w:lineRule="auto"/>
        <w:rPr>
          <w:sz w:val="20"/>
          <w:szCs w:val="20"/>
          <w:color w:val="auto"/>
        </w:rPr>
      </w:pPr>
      <w:r>
        <w:rPr>
          <w:rFonts w:ascii="Times New Roman" w:cs="Times New Roman" w:eastAsia="Times New Roman" w:hAnsi="Times New Roman"/>
          <w:sz w:val="17"/>
          <w:szCs w:val="17"/>
          <w:color w:val="auto"/>
        </w:rPr>
        <w:t xml:space="preserve">Section 2.05. </w:t>
      </w:r>
      <w:r>
        <w:rPr>
          <w:rFonts w:ascii="Times New Roman" w:cs="Times New Roman" w:eastAsia="Times New Roman" w:hAnsi="Times New Roman"/>
          <w:sz w:val="17"/>
          <w:szCs w:val="17"/>
          <w:i w:val="1"/>
          <w:iCs w:val="1"/>
          <w:color w:val="auto"/>
        </w:rPr>
        <w:t>Execution of Securities</w:t>
      </w:r>
      <w:r>
        <w:rPr>
          <w:rFonts w:ascii="Times New Roman" w:cs="Times New Roman" w:eastAsia="Times New Roman" w:hAnsi="Times New Roman"/>
          <w:sz w:val="17"/>
          <w:szCs w:val="17"/>
          <w:color w:val="auto"/>
        </w:rPr>
        <w:t>. The Securities shall be signed in the name of the Issuer by any one of its chairman of the Board of Directors, chief executive officer, chief financial officer, principal accounting officer, treasurer, president, vice presidents or general counsel. Such signature may be the electronic, manual or facsimile signature of the present or any future such officer. Typographical and other minor errors or defects in any such signature shall not affect the validity or enforceability of any Security that has been duly authenticated and delivered by the Trustee.</w:t>
      </w:r>
    </w:p>
    <w:p>
      <w:pPr>
        <w:spacing w:after="0" w:line="58" w:lineRule="exact"/>
        <w:rPr>
          <w:sz w:val="20"/>
          <w:szCs w:val="20"/>
          <w:color w:val="auto"/>
        </w:rPr>
      </w:pPr>
    </w:p>
    <w:p>
      <w:pPr>
        <w:ind w:left="440" w:right="40"/>
        <w:spacing w:after="0" w:line="258" w:lineRule="auto"/>
        <w:rPr>
          <w:sz w:val="20"/>
          <w:szCs w:val="20"/>
          <w:color w:val="auto"/>
        </w:rPr>
      </w:pPr>
      <w:r>
        <w:rPr>
          <w:rFonts w:ascii="Times New Roman" w:cs="Times New Roman" w:eastAsia="Times New Roman" w:hAnsi="Times New Roman"/>
          <w:sz w:val="18"/>
          <w:szCs w:val="18"/>
          <w:color w:val="auto"/>
        </w:rPr>
        <w:t>In case any officer of the Issuer who shall have signed any of the Securities shall cease to be such officer before the Security so signed shall be authenticated and delivered by the Trustee or disposed of by the Issuer, such Security nevertheless may be authenticated and delivered or disposed of as though the person who signed such Security had not ceased to be such officer of the Issuer; and any Security may be signed on behalf of the Issuer by such person as, at the actual date of the execution of such Security, shall be the proper officer of the Issuer, although at the date of the execution and delivery of the Indenture any such person was not such an officer.</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i w:val="1"/>
          <w:iCs w:val="1"/>
          <w:color w:val="auto"/>
        </w:rPr>
        <w:t>Second Amendment</w:t>
      </w:r>
      <w:r>
        <w:rPr>
          <w:rFonts w:ascii="Times New Roman" w:cs="Times New Roman" w:eastAsia="Times New Roman" w:hAnsi="Times New Roman"/>
          <w:sz w:val="18"/>
          <w:szCs w:val="18"/>
          <w:color w:val="auto"/>
        </w:rPr>
        <w:t>. The Base Indenture is hereby amended solely with respect to any and all New Securities by replacing</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2.06 with the following:</w:t>
      </w:r>
    </w:p>
    <w:p>
      <w:pPr>
        <w:spacing w:after="0" w:line="97" w:lineRule="exact"/>
        <w:rPr>
          <w:sz w:val="20"/>
          <w:szCs w:val="20"/>
          <w:color w:val="auto"/>
        </w:rPr>
      </w:pPr>
    </w:p>
    <w:p>
      <w:pPr>
        <w:ind w:left="440" w:right="40"/>
        <w:spacing w:after="0" w:line="258" w:lineRule="auto"/>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i w:val="1"/>
          <w:iCs w:val="1"/>
          <w:color w:val="auto"/>
        </w:rPr>
        <w:t>Certificate of Authentication</w:t>
      </w:r>
      <w:r>
        <w:rPr>
          <w:rFonts w:ascii="Times New Roman" w:cs="Times New Roman" w:eastAsia="Times New Roman" w:hAnsi="Times New Roman"/>
          <w:sz w:val="18"/>
          <w:szCs w:val="18"/>
          <w:color w:val="auto"/>
        </w:rPr>
        <w:t>. Only such Securities as shall bear thereon a certificate of authentication substantially in the form recited herein, executed by the Trustee by the electronic or manual signature of one of its authorized signatories, shall be entitled to the benefits of the Indenture or be valid or obligatory for any purpose. Such certificate by the Trustee upon any Security executed by the Issuer shall be conclusive evidence that the Security so authenticated has been duly authenticated and delivered hereunder and that the Holder is entitled to the benefits of the Indenture.</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64" w:name="page65"/>
    <w:bookmarkEnd w:id="6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2.03. </w:t>
      </w:r>
      <w:r>
        <w:rPr>
          <w:rFonts w:ascii="Times New Roman" w:cs="Times New Roman" w:eastAsia="Times New Roman" w:hAnsi="Times New Roman"/>
          <w:sz w:val="18"/>
          <w:szCs w:val="18"/>
          <w:i w:val="1"/>
          <w:iCs w:val="1"/>
          <w:color w:val="auto"/>
        </w:rPr>
        <w:t>Third Amendment</w:t>
      </w:r>
      <w:r>
        <w:rPr>
          <w:rFonts w:ascii="Times New Roman" w:cs="Times New Roman" w:eastAsia="Times New Roman" w:hAnsi="Times New Roman"/>
          <w:sz w:val="18"/>
          <w:szCs w:val="18"/>
          <w:color w:val="auto"/>
        </w:rPr>
        <w:t>. The Base Indenture is hereby amended solely with respect to any and all New Securities by replacing</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10.09 with the following:</w:t>
      </w:r>
    </w:p>
    <w:p>
      <w:pPr>
        <w:spacing w:after="0" w:line="97" w:lineRule="exact"/>
        <w:rPr>
          <w:sz w:val="20"/>
          <w:szCs w:val="20"/>
          <w:color w:val="auto"/>
        </w:rPr>
      </w:pPr>
    </w:p>
    <w:p>
      <w:pPr>
        <w:ind w:left="440" w:right="60"/>
        <w:spacing w:after="0" w:line="254" w:lineRule="auto"/>
        <w:rPr>
          <w:sz w:val="20"/>
          <w:szCs w:val="20"/>
          <w:color w:val="auto"/>
        </w:rPr>
      </w:pPr>
      <w:r>
        <w:rPr>
          <w:rFonts w:ascii="Times New Roman" w:cs="Times New Roman" w:eastAsia="Times New Roman" w:hAnsi="Times New Roman"/>
          <w:sz w:val="18"/>
          <w:szCs w:val="18"/>
          <w:color w:val="auto"/>
        </w:rPr>
        <w:t xml:space="preserve">Section 10.09. </w:t>
      </w:r>
      <w:r>
        <w:rPr>
          <w:rFonts w:ascii="Times New Roman" w:cs="Times New Roman" w:eastAsia="Times New Roman" w:hAnsi="Times New Roman"/>
          <w:sz w:val="18"/>
          <w:szCs w:val="18"/>
          <w:i w:val="1"/>
          <w:iCs w:val="1"/>
          <w:color w:val="auto"/>
        </w:rPr>
        <w:t>Counterparts; Execution</w:t>
      </w:r>
      <w:r>
        <w:rPr>
          <w:rFonts w:ascii="Times New Roman" w:cs="Times New Roman" w:eastAsia="Times New Roman" w:hAnsi="Times New Roman"/>
          <w:sz w:val="18"/>
          <w:szCs w:val="18"/>
          <w:color w:val="auto"/>
        </w:rPr>
        <w:t>. The Indenture may be executed in any number of counterparts, each of which shall be an original, but such counterparts shall together constitute but one and the same instrument. The words “executed,” “signed,” “signature,” and words of like import in this Indenture or in any other certificate, supplement, agreement or document related to this Indenture shall include images of manually executed signatures transmitted by facsimile or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i w:val="1"/>
          <w:iCs w:val="1"/>
          <w:color w:val="auto"/>
        </w:rPr>
        <w:t>Fourth Amendment</w:t>
      </w:r>
      <w:r>
        <w:rPr>
          <w:rFonts w:ascii="Times New Roman" w:cs="Times New Roman" w:eastAsia="Times New Roman" w:hAnsi="Times New Roman"/>
          <w:sz w:val="18"/>
          <w:szCs w:val="18"/>
          <w:color w:val="auto"/>
        </w:rPr>
        <w:t>. The Base Indenture is hereby amended solely with respect to any and all New Securities by replacing</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11.02 with the following:</w:t>
      </w:r>
    </w:p>
    <w:p>
      <w:pPr>
        <w:spacing w:after="0" w:line="97" w:lineRule="exact"/>
        <w:rPr>
          <w:sz w:val="20"/>
          <w:szCs w:val="20"/>
          <w:color w:val="auto"/>
        </w:rPr>
      </w:pPr>
    </w:p>
    <w:p>
      <w:pPr>
        <w:ind w:left="440" w:right="20"/>
        <w:spacing w:after="0" w:line="255" w:lineRule="auto"/>
        <w:rPr>
          <w:sz w:val="20"/>
          <w:szCs w:val="20"/>
          <w:color w:val="auto"/>
        </w:rPr>
      </w:pPr>
      <w:r>
        <w:rPr>
          <w:rFonts w:ascii="Times New Roman" w:cs="Times New Roman" w:eastAsia="Times New Roman" w:hAnsi="Times New Roman"/>
          <w:sz w:val="18"/>
          <w:szCs w:val="18"/>
          <w:color w:val="auto"/>
        </w:rPr>
        <w:t xml:space="preserve">Section 11.02. </w:t>
      </w:r>
      <w:r>
        <w:rPr>
          <w:rFonts w:ascii="Times New Roman" w:cs="Times New Roman" w:eastAsia="Times New Roman" w:hAnsi="Times New Roman"/>
          <w:sz w:val="18"/>
          <w:szCs w:val="18"/>
          <w:i w:val="1"/>
          <w:iCs w:val="1"/>
          <w:color w:val="auto"/>
        </w:rPr>
        <w:t>Notice of Redemption; Partial Redemptions.</w:t>
      </w:r>
      <w:r>
        <w:rPr>
          <w:rFonts w:ascii="Times New Roman" w:cs="Times New Roman" w:eastAsia="Times New Roman" w:hAnsi="Times New Roman"/>
          <w:sz w:val="18"/>
          <w:szCs w:val="18"/>
          <w:color w:val="auto"/>
        </w:rPr>
        <w:t xml:space="preserve"> Notice of redemption to the Holders of Securities of any series to be redeemed as a whole or in part at the option of the Issuer or otherwise shall be mailed or electronically delivered (or otherwise transmitted in accordance with the Depositary’s procedures), at least 10 days but not more than 60 days prior to the date fixed for redemption to such Holders of such series at their last addresses as they shall appear upon the Register, unless another redemption notice period shall be established with respect to the Securities of a series as contemplated by Section 2.03. Any notice which is mailed, electronically delivered or otherwise transmitted in the manner herein provided shall be conclusively presumed to have been duly given, whether or not the Holder receives the notice. Failure to give notice in the manner herein provided, or any defect in the notice, to the Holder of any Security of a series designated for redemption as a whole or in part shall not affect the validity of the proceedings for the redemption of any other Security of such series.</w:t>
      </w:r>
    </w:p>
    <w:p>
      <w:pPr>
        <w:spacing w:after="0" w:line="79" w:lineRule="exact"/>
        <w:rPr>
          <w:sz w:val="20"/>
          <w:szCs w:val="20"/>
          <w:color w:val="auto"/>
        </w:rPr>
      </w:pPr>
    </w:p>
    <w:p>
      <w:pPr>
        <w:ind w:left="440"/>
        <w:spacing w:after="0" w:line="255" w:lineRule="auto"/>
        <w:rPr>
          <w:sz w:val="20"/>
          <w:szCs w:val="20"/>
          <w:color w:val="auto"/>
        </w:rPr>
      </w:pPr>
      <w:r>
        <w:rPr>
          <w:rFonts w:ascii="Times New Roman" w:cs="Times New Roman" w:eastAsia="Times New Roman" w:hAnsi="Times New Roman"/>
          <w:sz w:val="18"/>
          <w:szCs w:val="18"/>
          <w:color w:val="auto"/>
        </w:rPr>
        <w:t>The notice of redemption to each such Holder shall identify the Securities to be redeemed (including CUSIP numbers, if available) and shall specify the principal amount of each Security of such series held by such Holder to be redeemed, the date fixed for redemption, the redemption price (or if not then ascertainable, the manner of calculation thereby), the place or places of payment, that payment will be made upon presentation and surrender of such Securities, that such redemption is pursuant to the mandatory or optional sinking fund, or both, if such be the case, that interest accrued to the date fixed for redemption will be paid as specified in such notice and that unless the Issuer defaults in payment of the redemption price, on and after said date interest will cease to accrue thereon or on the portions thereof called for redemption. The Issuer’s actions and determinations in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8" w:right="459" w:bottom="1440" w:gutter="0" w:footer="0" w:header="0"/>
        </w:sectPr>
      </w:pPr>
    </w:p>
    <w:bookmarkStart w:id="65" w:name="page66"/>
    <w:bookmarkEnd w:id="65"/>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determining the redemption price shall be conclusive and binding for all purposes, absent manifest error. In case any Security of a series not represented by one or more Global Securities is to be redeemed in part only the notice of redemption shall state the portion of the principal amount thereof to be redeemed and shall state that on and after the date fixed for redemption, upon surrender of such Security, a new Security or Securities of such series in principal amount equal to the unredeemed portion thereof will be issued.</w:t>
      </w:r>
    </w:p>
    <w:p>
      <w:pPr>
        <w:spacing w:after="0" w:line="7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notice of redemption of Securities of any series to be redeemed shall be prepared and given by the Issuer or, at the Issuer’s written request, prepared by the Issuer and given by the Trustee in the name and at the expense of the Issuer.</w:t>
      </w:r>
    </w:p>
    <w:p>
      <w:pPr>
        <w:spacing w:after="0" w:line="5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election of the Issuer to redeem any Securities shall be evidenced by a Resolution of the Board of Directors or in another manner specified as contemplated by Section 2.03 for such Securities. In case of any redemption at the election of the Issuer or in the case of a mandatory redemption (other than a mandatory redemption scheduled to occur on fixed dates), the Issuer shall, at least 45 days (30 days if the Securities to be redeemed are Global Securities, the redemption is in whole and the Issuer prepares the notice of redemption) prior to the redemption date fixed by the Issuer (unless a shorter notice shall be satisfactory to the Trustee or unless otherwise provided pursuant to Section 2.03), notify the Trustee in writing of such redemption date, of the principal amount of Securities of such series to be redeemed and of the provision of the Securities of such series pursuant to which the redemption is to be made. The Trustee shall receive such notice at least three Business Days prior to the date notice of such redemption is to be sent to the Holders, unless a shorter period is satisfactory to the Trustee. In the case of any redemption of Securities (a) prior to the expiration of any restriction on such redemption provided in the terms of such Securities or elsewhere in this Indenture, or (b) pursuant to an election or an obligation of the Issuer which is subject to a condition specified in the terms of such Securities or elsewhere in this Indenture, the Issuer shall furnish the Trustee with an Officer’s Certificate evidencing compliance with such restriction or condition.</w:t>
      </w:r>
    </w:p>
    <w:p>
      <w:pPr>
        <w:spacing w:after="0" w:line="84" w:lineRule="exact"/>
        <w:rPr>
          <w:sz w:val="20"/>
          <w:szCs w:val="20"/>
          <w:color w:val="auto"/>
        </w:rPr>
      </w:pPr>
    </w:p>
    <w:p>
      <w:pPr>
        <w:ind w:right="200"/>
        <w:spacing w:after="0" w:line="274" w:lineRule="auto"/>
        <w:rPr>
          <w:sz w:val="20"/>
          <w:szCs w:val="20"/>
          <w:color w:val="auto"/>
        </w:rPr>
      </w:pPr>
      <w:r>
        <w:rPr>
          <w:rFonts w:ascii="Times New Roman" w:cs="Times New Roman" w:eastAsia="Times New Roman" w:hAnsi="Times New Roman"/>
          <w:sz w:val="17"/>
          <w:szCs w:val="17"/>
          <w:color w:val="auto"/>
        </w:rPr>
        <w:t>If less than all the Securities of a series in the form of one or more Global Securities are to be redeemed, the Securities to be redeemed shall be selected in accordance with the procedures of the Depositary. If less than all the Securities of a series not in the form of one or more Global Securities are to be redeemed, the Securities to be redeemed shall be selected by the Trustee by lot. Securities may be redeemed in part in multiples equal to the minimum authorized denomination for Securities of such series or any multiple thereof. For all purposes of the Indenture, unless the context otherwise requires, all provisions relating to the redemption of Securities of any series shall relate, in the case of any Security redeemed or to be redeemed only in part, to the portion of the principal amount of such Security which has been or is to be redeemed.</w:t>
      </w:r>
    </w:p>
    <w:p>
      <w:pPr>
        <w:spacing w:after="0" w:line="105"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60"/>
          </w:cols>
          <w:pgMar w:left="880" w:top="270" w:right="459" w:bottom="1440" w:gutter="0" w:footer="0" w:header="0"/>
        </w:sectPr>
      </w:pPr>
    </w:p>
    <w:bookmarkStart w:id="66" w:name="page67"/>
    <w:bookmarkEnd w:id="66"/>
    <w:p>
      <w:pPr>
        <w:jc w:val="both"/>
        <w:ind w:left="440" w:right="1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 later than 10:00 A.M. (New York City time) on the redemption date specified in the notice of redemption given as provided in this Section, the Issuer will deposit with the Trustee or with one or more paying agents (or, if the Issuer is acting as its own paying agent, set aside, segregate and hold in trust as provided in Section 3.03) an amount of money sufficient to redeem on the redemption date all the Securities of such series so called for redemption at the appropriate redemption price, together with accrued interest to the date fixed for redemption.</w:t>
      </w:r>
    </w:p>
    <w:p>
      <w:pPr>
        <w:spacing w:after="0" w:line="72" w:lineRule="exact"/>
        <w:rPr>
          <w:sz w:val="20"/>
          <w:szCs w:val="20"/>
          <w:color w:val="auto"/>
        </w:rPr>
      </w:pPr>
    </w:p>
    <w:p>
      <w:pPr>
        <w:ind w:left="440" w:right="40"/>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in this Section 11.02, for so long as the Securities of a series are registered in global form in the name of the Depositary or its nominee, the redemption of Securities of such series shall be done in accordance with the policies and procedures of the Depositary.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3</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ISCELLANEOUS</w:t>
      </w:r>
    </w:p>
    <w:p>
      <w:pPr>
        <w:spacing w:after="0" w:line="205" w:lineRule="exact"/>
        <w:rPr>
          <w:sz w:val="20"/>
          <w:szCs w:val="20"/>
          <w:color w:val="auto"/>
        </w:rPr>
      </w:pPr>
    </w:p>
    <w:p>
      <w:pPr>
        <w:ind w:firstLine="440"/>
        <w:spacing w:after="0" w:line="284" w:lineRule="auto"/>
        <w:rPr>
          <w:sz w:val="20"/>
          <w:szCs w:val="20"/>
          <w:color w:val="auto"/>
        </w:rPr>
      </w:pPr>
      <w:r>
        <w:rPr>
          <w:rFonts w:ascii="Times New Roman" w:cs="Times New Roman" w:eastAsia="Times New Roman" w:hAnsi="Times New Roman"/>
          <w:sz w:val="18"/>
          <w:szCs w:val="18"/>
          <w:color w:val="auto"/>
        </w:rPr>
        <w:t>Section 3.01</w:t>
      </w:r>
      <w:r>
        <w:rPr>
          <w:rFonts w:ascii="Times New Roman" w:cs="Times New Roman" w:eastAsia="Times New Roman" w:hAnsi="Times New Roman"/>
          <w:sz w:val="18"/>
          <w:szCs w:val="18"/>
          <w:i w:val="1"/>
          <w:iCs w:val="1"/>
          <w:color w:val="auto"/>
        </w:rPr>
        <w:t>. Date and Time of Effectiveness.</w:t>
      </w:r>
      <w:r>
        <w:rPr>
          <w:rFonts w:ascii="Times New Roman" w:cs="Times New Roman" w:eastAsia="Times New Roman" w:hAnsi="Times New Roman"/>
          <w:sz w:val="18"/>
          <w:szCs w:val="18"/>
          <w:color w:val="auto"/>
        </w:rPr>
        <w:t xml:space="preserve"> This Supplemental Indenture shall become a legally effective and binding instrument at and as of the date hereof.</w:t>
      </w:r>
    </w:p>
    <w:p>
      <w:pPr>
        <w:spacing w:after="0" w:line="158" w:lineRule="exact"/>
        <w:rPr>
          <w:sz w:val="20"/>
          <w:szCs w:val="20"/>
          <w:color w:val="auto"/>
        </w:rPr>
      </w:pPr>
    </w:p>
    <w:p>
      <w:pPr>
        <w:ind w:firstLine="440"/>
        <w:spacing w:after="0" w:line="267" w:lineRule="auto"/>
        <w:rPr>
          <w:sz w:val="20"/>
          <w:szCs w:val="20"/>
          <w:color w:val="auto"/>
        </w:rPr>
      </w:pPr>
      <w:r>
        <w:rPr>
          <w:rFonts w:ascii="Times New Roman" w:cs="Times New Roman" w:eastAsia="Times New Roman" w:hAnsi="Times New Roman"/>
          <w:sz w:val="18"/>
          <w:szCs w:val="18"/>
          <w:color w:val="auto"/>
        </w:rPr>
        <w:t>Section 3.02</w:t>
      </w:r>
      <w:r>
        <w:rPr>
          <w:rFonts w:ascii="Times New Roman" w:cs="Times New Roman" w:eastAsia="Times New Roman" w:hAnsi="Times New Roman"/>
          <w:sz w:val="18"/>
          <w:szCs w:val="18"/>
          <w:i w:val="1"/>
          <w:iCs w:val="1"/>
          <w:color w:val="auto"/>
        </w:rPr>
        <w:t>. Supplemental Indenture Incorporated Into Indenture.</w:t>
      </w:r>
      <w:r>
        <w:rPr>
          <w:rFonts w:ascii="Times New Roman" w:cs="Times New Roman" w:eastAsia="Times New Roman" w:hAnsi="Times New Roman"/>
          <w:sz w:val="18"/>
          <w:szCs w:val="18"/>
          <w:color w:val="auto"/>
        </w:rPr>
        <w:t xml:space="preserve"> The terms and conditions of this Supplemental Indenture shall be deemed to be part of the Indenture for all purposes relating to the New Securities. The Original Indenture is hereby incorporated by reference herein and the Original Indenture, as supplemented by this Supplemental Indenture, is in all respects adopted, ratified and confirmed.</w:t>
      </w:r>
    </w:p>
    <w:p>
      <w:pPr>
        <w:spacing w:after="0" w:line="173" w:lineRule="exact"/>
        <w:rPr>
          <w:sz w:val="20"/>
          <w:szCs w:val="20"/>
          <w:color w:val="auto"/>
        </w:rPr>
      </w:pPr>
    </w:p>
    <w:p>
      <w:pPr>
        <w:ind w:right="100" w:firstLine="440"/>
        <w:spacing w:after="0" w:line="267" w:lineRule="auto"/>
        <w:rPr>
          <w:sz w:val="20"/>
          <w:szCs w:val="20"/>
          <w:color w:val="auto"/>
        </w:rPr>
      </w:pPr>
      <w:r>
        <w:rPr>
          <w:rFonts w:ascii="Times New Roman" w:cs="Times New Roman" w:eastAsia="Times New Roman" w:hAnsi="Times New Roman"/>
          <w:sz w:val="18"/>
          <w:szCs w:val="18"/>
          <w:color w:val="auto"/>
        </w:rPr>
        <w:t>Section 3.03</w:t>
      </w:r>
      <w:r>
        <w:rPr>
          <w:rFonts w:ascii="Times New Roman" w:cs="Times New Roman" w:eastAsia="Times New Roman" w:hAnsi="Times New Roman"/>
          <w:sz w:val="18"/>
          <w:szCs w:val="18"/>
          <w:i w:val="1"/>
          <w:iCs w:val="1"/>
          <w:color w:val="auto"/>
        </w:rPr>
        <w:t>. Separability.</w:t>
      </w:r>
      <w:r>
        <w:rPr>
          <w:rFonts w:ascii="Times New Roman" w:cs="Times New Roman" w:eastAsia="Times New Roman" w:hAnsi="Times New Roman"/>
          <w:sz w:val="18"/>
          <w:szCs w:val="18"/>
          <w:color w:val="auto"/>
        </w:rPr>
        <w:t xml:space="preserve"> In case any provision in this Supplemental Indenture, or in the Indenture, shall be invalid, illegal or unenforceable, the validity, legality and enforceability of the remaining provisions shall not in any way be affected or impaired thereby, it being intended that all of the provisions hereof shall be enforceable to the full extent permitted by law.</w:t>
      </w:r>
    </w:p>
    <w:p>
      <w:pPr>
        <w:spacing w:after="0" w:line="173" w:lineRule="exact"/>
        <w:rPr>
          <w:sz w:val="20"/>
          <w:szCs w:val="20"/>
          <w:color w:val="auto"/>
        </w:rPr>
      </w:pPr>
    </w:p>
    <w:p>
      <w:pPr>
        <w:jc w:val="both"/>
        <w:ind w:right="40" w:firstLine="440"/>
        <w:spacing w:after="0" w:line="267" w:lineRule="auto"/>
        <w:rPr>
          <w:sz w:val="20"/>
          <w:szCs w:val="20"/>
          <w:color w:val="auto"/>
        </w:rPr>
      </w:pPr>
      <w:r>
        <w:rPr>
          <w:rFonts w:ascii="Times New Roman" w:cs="Times New Roman" w:eastAsia="Times New Roman" w:hAnsi="Times New Roman"/>
          <w:sz w:val="18"/>
          <w:szCs w:val="18"/>
          <w:color w:val="auto"/>
        </w:rPr>
        <w:t>Section 3.04</w:t>
      </w:r>
      <w:r>
        <w:rPr>
          <w:rFonts w:ascii="Times New Roman" w:cs="Times New Roman" w:eastAsia="Times New Roman" w:hAnsi="Times New Roman"/>
          <w:sz w:val="18"/>
          <w:szCs w:val="18"/>
          <w:i w:val="1"/>
          <w:iCs w:val="1"/>
          <w:color w:val="auto"/>
        </w:rPr>
        <w:t>. Benefits of Supplemental Indenture.</w:t>
      </w:r>
      <w:r>
        <w:rPr>
          <w:rFonts w:ascii="Times New Roman" w:cs="Times New Roman" w:eastAsia="Times New Roman" w:hAnsi="Times New Roman"/>
          <w:sz w:val="18"/>
          <w:szCs w:val="18"/>
          <w:color w:val="auto"/>
        </w:rPr>
        <w:t xml:space="preserve"> Nothing in this Supplemental Indenture, expressed or implied, shall give or be construed to give to any person, firm or corporation, other than the parties hereto and the holders of New Securities, any benefit or any legal or equitable right, remedy or claim under this Supplemental Indenture or the Indenture.</w:t>
      </w:r>
    </w:p>
    <w:p>
      <w:pPr>
        <w:spacing w:after="0" w:line="173" w:lineRule="exact"/>
        <w:rPr>
          <w:sz w:val="20"/>
          <w:szCs w:val="20"/>
          <w:color w:val="auto"/>
        </w:rPr>
      </w:pPr>
    </w:p>
    <w:p>
      <w:pPr>
        <w:ind w:right="500" w:firstLine="440"/>
        <w:spacing w:after="0" w:line="284" w:lineRule="auto"/>
        <w:rPr>
          <w:sz w:val="20"/>
          <w:szCs w:val="20"/>
          <w:color w:val="auto"/>
        </w:rPr>
      </w:pPr>
      <w:r>
        <w:rPr>
          <w:rFonts w:ascii="Times New Roman" w:cs="Times New Roman" w:eastAsia="Times New Roman" w:hAnsi="Times New Roman"/>
          <w:sz w:val="18"/>
          <w:szCs w:val="18"/>
          <w:color w:val="auto"/>
        </w:rPr>
        <w:t>Section 3.05</w:t>
      </w:r>
      <w:r>
        <w:rPr>
          <w:rFonts w:ascii="Times New Roman" w:cs="Times New Roman" w:eastAsia="Times New Roman" w:hAnsi="Times New Roman"/>
          <w:sz w:val="18"/>
          <w:szCs w:val="18"/>
          <w:i w:val="1"/>
          <w:iCs w:val="1"/>
          <w:color w:val="auto"/>
        </w:rPr>
        <w:t>. Successors.</w:t>
      </w:r>
      <w:r>
        <w:rPr>
          <w:rFonts w:ascii="Times New Roman" w:cs="Times New Roman" w:eastAsia="Times New Roman" w:hAnsi="Times New Roman"/>
          <w:sz w:val="18"/>
          <w:szCs w:val="18"/>
          <w:color w:val="auto"/>
        </w:rPr>
        <w:t xml:space="preserve"> Subject to Section 12.09 of the Base Indenture, all agreements of the Issuer, the Guarantors and the Trustee in this Supplemental Indenture and in the Indenture shall bind their respective successors.</w:t>
      </w:r>
    </w:p>
    <w:p>
      <w:pPr>
        <w:spacing w:after="0" w:line="156" w:lineRule="exact"/>
        <w:rPr>
          <w:sz w:val="20"/>
          <w:szCs w:val="20"/>
          <w:color w:val="auto"/>
        </w:rPr>
      </w:pPr>
    </w:p>
    <w:p>
      <w:pPr>
        <w:ind w:right="200" w:firstLine="440"/>
        <w:spacing w:after="0" w:line="286" w:lineRule="auto"/>
        <w:rPr>
          <w:sz w:val="20"/>
          <w:szCs w:val="20"/>
          <w:color w:val="auto"/>
        </w:rPr>
      </w:pPr>
      <w:r>
        <w:rPr>
          <w:rFonts w:ascii="Times New Roman" w:cs="Times New Roman" w:eastAsia="Times New Roman" w:hAnsi="Times New Roman"/>
          <w:sz w:val="18"/>
          <w:szCs w:val="18"/>
          <w:color w:val="auto"/>
        </w:rPr>
        <w:t>Section 3.06</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New York Law to Govern.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This Supplemental Indenture shall be deemed to be a contract under the laws of the State of 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York, and for all purposes shall be construed in accordance with the laws of such State.</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67" w:name="page68"/>
    <w:bookmarkEnd w:id="67"/>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3.07</w:t>
      </w:r>
      <w:r>
        <w:rPr>
          <w:rFonts w:ascii="Times New Roman" w:cs="Times New Roman" w:eastAsia="Times New Roman" w:hAnsi="Times New Roman"/>
          <w:sz w:val="18"/>
          <w:szCs w:val="18"/>
          <w:i w:val="1"/>
          <w:iCs w:val="1"/>
          <w:color w:val="auto"/>
        </w:rPr>
        <w:t>. Counterparts.</w:t>
      </w:r>
      <w:r>
        <w:rPr>
          <w:rFonts w:ascii="Times New Roman" w:cs="Times New Roman" w:eastAsia="Times New Roman" w:hAnsi="Times New Roman"/>
          <w:sz w:val="18"/>
          <w:szCs w:val="18"/>
          <w:color w:val="auto"/>
        </w:rPr>
        <w:t xml:space="preserve"> This Supplemental Indenture may be executed in any number of counterparts, each of which shall be an original; but such counterparts shall together constitute but one and the same instrument. The words “executed,” “signed,” “signature,” and words of like import in this Supplemental Indenture or in any other certificate, agreement or document related to this Supplemental Indenture shall include images of manually executed signatures transmitted by facsimile or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3.08</w:t>
      </w:r>
      <w:r>
        <w:rPr>
          <w:rFonts w:ascii="Times New Roman" w:cs="Times New Roman" w:eastAsia="Times New Roman" w:hAnsi="Times New Roman"/>
          <w:sz w:val="18"/>
          <w:szCs w:val="18"/>
          <w:i w:val="1"/>
          <w:iCs w:val="1"/>
          <w:color w:val="auto"/>
        </w:rPr>
        <w:t>. Effect of Headings.</w:t>
      </w:r>
      <w:r>
        <w:rPr>
          <w:rFonts w:ascii="Times New Roman" w:cs="Times New Roman" w:eastAsia="Times New Roman" w:hAnsi="Times New Roman"/>
          <w:sz w:val="18"/>
          <w:szCs w:val="18"/>
          <w:color w:val="auto"/>
        </w:rPr>
        <w:t xml:space="preserve"> The Article and Section headings herein are for convenience only and shall not affect the construction hereof.</w:t>
      </w:r>
    </w:p>
    <w:p>
      <w:pPr>
        <w:spacing w:after="0" w:line="225" w:lineRule="exact"/>
        <w:rPr>
          <w:sz w:val="20"/>
          <w:szCs w:val="20"/>
          <w:color w:val="auto"/>
        </w:rPr>
      </w:pPr>
    </w:p>
    <w:p>
      <w:pPr>
        <w:ind w:right="460" w:firstLine="440"/>
        <w:spacing w:after="0" w:line="284" w:lineRule="auto"/>
        <w:rPr>
          <w:sz w:val="20"/>
          <w:szCs w:val="20"/>
          <w:color w:val="auto"/>
        </w:rPr>
      </w:pPr>
      <w:r>
        <w:rPr>
          <w:rFonts w:ascii="Times New Roman" w:cs="Times New Roman" w:eastAsia="Times New Roman" w:hAnsi="Times New Roman"/>
          <w:sz w:val="18"/>
          <w:szCs w:val="18"/>
          <w:color w:val="auto"/>
        </w:rPr>
        <w:t>Section 3.09</w:t>
      </w:r>
      <w:r>
        <w:rPr>
          <w:rFonts w:ascii="Times New Roman" w:cs="Times New Roman" w:eastAsia="Times New Roman" w:hAnsi="Times New Roman"/>
          <w:sz w:val="18"/>
          <w:szCs w:val="18"/>
          <w:i w:val="1"/>
          <w:iCs w:val="1"/>
          <w:color w:val="auto"/>
        </w:rPr>
        <w:t>. Trustee.</w:t>
      </w:r>
      <w:r>
        <w:rPr>
          <w:rFonts w:ascii="Times New Roman" w:cs="Times New Roman" w:eastAsia="Times New Roman" w:hAnsi="Times New Roman"/>
          <w:sz w:val="18"/>
          <w:szCs w:val="18"/>
          <w:color w:val="auto"/>
        </w:rPr>
        <w:t xml:space="preserve"> The Trustee makes no representations as to the validity or sufficiency of this Supplemental Indenture. The recitals and statements herein are deemed to be those of the Issuer and the Guarantors and not of the Trustee.</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8" w:right="459" w:bottom="1440" w:gutter="0" w:footer="0" w:header="0"/>
        </w:sectPr>
      </w:pPr>
    </w:p>
    <w:bookmarkStart w:id="68" w:name="page69"/>
    <w:bookmarkEnd w:id="68"/>
    <w:p>
      <w:pPr>
        <w:ind w:left="4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each of the parties has caused this Supplemental Indenture to be duly executed, all as of the first date written above.</w:t>
      </w:r>
    </w:p>
    <w:p>
      <w:pPr>
        <w:spacing w:after="0" w:line="26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Jason S.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Jason S. Armstrong</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Deputy Chief Financial Officer, Executive</w:t>
      </w:r>
    </w:p>
    <w:p>
      <w:pPr>
        <w:spacing w:after="0" w:line="9"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color w:val="auto"/>
        </w:rPr>
        <w:t>Vice President and Treasurer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SEAL]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Attest: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Elizabeth Wideman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5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COMCAST CABLE</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COMMUNICATIONS, LLC</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Jason S.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Jason S. Armstrong</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Executive Vice President and Treasurer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SEAL]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Attest: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Elizabeth Wideman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25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NBCUNIVERSAL MEDIA, LLC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Jason S.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Jason S. Armstrong</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Executive Vice President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SEAL]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Attest: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Elizabeth Wideman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[Signature Page – Supplemental Indenture]</w:t>
      </w:r>
    </w:p>
    <w:p>
      <w:pPr>
        <w:sectPr>
          <w:pgSz w:w="11900" w:h="16838" w:orient="portrait"/>
          <w:cols w:equalWidth="0" w:num="1">
            <w:col w:w="10780"/>
          </w:cols>
          <w:pgMar w:left="440" w:top="270" w:right="679" w:bottom="1440" w:gutter="0" w:footer="0" w:header="0"/>
        </w:sectPr>
      </w:pPr>
    </w:p>
    <w:bookmarkStart w:id="69" w:name="page70"/>
    <w:bookmarkEnd w:id="69"/>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BANK OF NEW YORK MELLON,</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Trustee</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Francine Kincaid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Francine Kincaid</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[Signature Page – Supplemental Indenture]</w:t>
      </w:r>
    </w:p>
    <w:p>
      <w:pPr>
        <w:sectPr>
          <w:pgSz w:w="11900" w:h="16838" w:orient="portrait"/>
          <w:cols w:equalWidth="0" w:num="1">
            <w:col w:w="9019"/>
          </w:cols>
          <w:pgMar w:left="1440" w:top="270" w:right="1440"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4.5</w:t>
      </w:r>
    </w:p>
    <w:p>
      <w:pPr>
        <w:spacing w:after="0" w:line="229"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w:t>
      </w:r>
      <w:r>
        <w:rPr>
          <w:rFonts w:ascii="Times New Roman" w:cs="Times New Roman" w:eastAsia="Times New Roman" w:hAnsi="Times New Roman"/>
          <w:sz w:val="17"/>
          <w:szCs w:val="17"/>
          <w:b w:val="1"/>
          <w:bCs w:val="1"/>
          <w:color w:val="auto"/>
        </w:rPr>
        <w:t>DTC</w:t>
      </w:r>
      <w:r>
        <w:rPr>
          <w:rFonts w:ascii="Times New Roman" w:cs="Times New Roman" w:eastAsia="Times New Roman" w:hAnsi="Times New Roman"/>
          <w:sz w:val="17"/>
          <w:szCs w:val="17"/>
          <w:color w:val="auto"/>
        </w:rPr>
        <w:t>”),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ectPr>
          <w:pgSz w:w="11900" w:h="16838" w:orient="portrait"/>
          <w:cols w:equalWidth="0" w:num="1">
            <w:col w:w="11020"/>
          </w:cols>
          <w:pgMar w:left="440" w:top="117" w:right="439" w:bottom="1440" w:gutter="0" w:footer="0" w:header="0"/>
        </w:sectPr>
      </w:pPr>
    </w:p>
    <w:bookmarkStart w:id="71" w:name="page72"/>
    <w:bookmarkEnd w:id="71"/>
    <w:p>
      <w:pPr>
        <w:ind w:left="43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COMCAST CORPORATION</w:t>
      </w:r>
    </w:p>
    <w:p>
      <w:pPr>
        <w:spacing w:after="0" w:line="225" w:lineRule="exact"/>
        <w:rPr>
          <w:sz w:val="20"/>
          <w:szCs w:val="20"/>
          <w:color w:val="auto"/>
        </w:rPr>
      </w:pPr>
    </w:p>
    <w:p>
      <w:pPr>
        <w:ind w:left="4320"/>
        <w:spacing w:after="0"/>
        <w:tabs>
          <w:tab w:leader="none" w:pos="4540" w:val="left"/>
          <w:tab w:leader="none" w:pos="6620" w:val="left"/>
        </w:tabs>
        <w:rPr>
          <w:sz w:val="20"/>
          <w:szCs w:val="20"/>
          <w:color w:val="auto"/>
        </w:rPr>
      </w:pPr>
      <w:r>
        <w:rPr>
          <w:rFonts w:ascii="Times New Roman" w:cs="Times New Roman" w:eastAsia="Times New Roman" w:hAnsi="Times New Roman"/>
          <w:sz w:val="18"/>
          <w:szCs w:val="18"/>
          <w:b w:val="1"/>
          <w:bCs w:val="1"/>
          <w:color w:val="auto"/>
        </w:rPr>
        <w:t>[</w:t>
        <w:tab/>
        <w:t>]% Senior Notes Due 20[</w:t>
        <w:tab/>
        <w:t>]</w:t>
      </w:r>
    </w:p>
    <w:p>
      <w:pPr>
        <w:sectPr>
          <w:pgSz w:w="11900" w:h="16838" w:orient="portrait"/>
          <w:cols w:equalWidth="0" w:num="1">
            <w:col w:w="11020"/>
          </w:cols>
          <w:pgMar w:left="440" w:top="266" w:right="439" w:bottom="1440" w:gutter="0" w:footer="0" w:header="0"/>
        </w:sect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CUSIP No.: [</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ISIN No.: [</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4">
            <w:col w:w="360" w:space="180"/>
            <w:col w:w="8180" w:space="720"/>
            <w:col w:w="980" w:space="540"/>
            <w:col w:w="60"/>
          </w:cols>
          <w:pgMar w:left="440" w:top="266" w:right="439" w:bottom="1440" w:gutter="0" w:footer="0" w:header="0"/>
          <w:type w:val="continuous"/>
        </w:sectPr>
      </w:pPr>
    </w:p>
    <w:p>
      <w:pPr>
        <w:spacing w:after="0" w:line="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COMCAST CORPORATION, a Pennsylvania corporation (the “</w:t>
      </w:r>
      <w:r>
        <w:rPr>
          <w:rFonts w:ascii="Times New Roman" w:cs="Times New Roman" w:eastAsia="Times New Roman" w:hAnsi="Times New Roman"/>
          <w:sz w:val="17"/>
          <w:szCs w:val="17"/>
          <w:b w:val="1"/>
          <w:bCs w:val="1"/>
          <w:color w:val="auto"/>
        </w:rPr>
        <w:t>Issuer</w:t>
      </w:r>
      <w:r>
        <w:rPr>
          <w:rFonts w:ascii="Times New Roman" w:cs="Times New Roman" w:eastAsia="Times New Roman" w:hAnsi="Times New Roman"/>
          <w:sz w:val="17"/>
          <w:szCs w:val="17"/>
          <w:color w:val="auto"/>
        </w:rPr>
        <w:t>”, which term includes any successor corporation), for value received</w:t>
      </w:r>
    </w:p>
    <w:p>
      <w:pPr>
        <w:spacing w:after="0" w:line="43" w:lineRule="exact"/>
        <w:rPr>
          <w:sz w:val="20"/>
          <w:szCs w:val="20"/>
          <w:color w:val="auto"/>
        </w:rPr>
      </w:pPr>
    </w:p>
    <w:p>
      <w:pPr>
        <w:spacing w:after="0"/>
        <w:tabs>
          <w:tab w:leader="none" w:pos="6120" w:val="left"/>
          <w:tab w:leader="none" w:pos="6880" w:val="left"/>
          <w:tab w:leader="none" w:pos="8460" w:val="left"/>
        </w:tabs>
        <w:rPr>
          <w:sz w:val="20"/>
          <w:szCs w:val="20"/>
          <w:color w:val="auto"/>
        </w:rPr>
      </w:pPr>
      <w:r>
        <w:rPr>
          <w:rFonts w:ascii="Times New Roman" w:cs="Times New Roman" w:eastAsia="Times New Roman" w:hAnsi="Times New Roman"/>
          <w:sz w:val="18"/>
          <w:szCs w:val="18"/>
          <w:color w:val="auto"/>
        </w:rPr>
        <w:t>promises to pay to CEDE &amp; CO. or registered assigns, the principal sum of $[</w:t>
      </w:r>
      <w:r>
        <w:rPr>
          <w:sz w:val="20"/>
          <w:szCs w:val="20"/>
          <w:color w:val="auto"/>
        </w:rPr>
        <w:tab/>
      </w: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 Dollars) on [</w:t>
      </w:r>
      <w:r>
        <w:rPr>
          <w:sz w:val="20"/>
          <w:szCs w:val="20"/>
          <w:color w:val="auto"/>
        </w:rPr>
        <w:tab/>
      </w:r>
      <w:r>
        <w:rPr>
          <w:rFonts w:ascii="Times New Roman" w:cs="Times New Roman" w:eastAsia="Times New Roman" w:hAnsi="Times New Roman"/>
          <w:sz w:val="17"/>
          <w:szCs w:val="17"/>
          <w:color w:val="auto"/>
        </w:rPr>
        <w:t>].</w:t>
      </w:r>
    </w:p>
    <w:p>
      <w:pPr>
        <w:sectPr>
          <w:pgSz w:w="11900" w:h="16838" w:orient="portrait"/>
          <w:cols w:equalWidth="0" w:num="1">
            <w:col w:w="11020"/>
          </w:cols>
          <w:pgMar w:left="440" w:top="266" w:right="439" w:bottom="1440" w:gutter="0" w:footer="0" w:header="0"/>
          <w:type w:val="continuous"/>
        </w:sectPr>
      </w:pP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Interest Payment Dates: [</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and [</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(each, an “</w:t>
      </w:r>
      <w:r>
        <w:rPr>
          <w:rFonts w:ascii="Times New Roman" w:cs="Times New Roman" w:eastAsia="Times New Roman" w:hAnsi="Times New Roman"/>
          <w:sz w:val="18"/>
          <w:szCs w:val="18"/>
          <w:b w:val="1"/>
          <w:bCs w:val="1"/>
          <w:color w:val="auto"/>
        </w:rPr>
        <w:t>Interest Payment Date</w:t>
      </w:r>
      <w:r>
        <w:rPr>
          <w:rFonts w:ascii="Times New Roman" w:cs="Times New Roman" w:eastAsia="Times New Roman" w:hAnsi="Times New Roman"/>
          <w:sz w:val="18"/>
          <w:szCs w:val="18"/>
          <w:color w:val="auto"/>
        </w:rPr>
        <w:t>”), commencing on [</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07" w:lineRule="exact"/>
        <w:rPr>
          <w:sz w:val="20"/>
          <w:szCs w:val="20"/>
          <w:color w:val="auto"/>
        </w:rPr>
      </w:pPr>
    </w:p>
    <w:p>
      <w:pPr>
        <w:sectPr>
          <w:pgSz w:w="11900" w:h="16838" w:orient="portrait"/>
          <w:cols w:equalWidth="0" w:num="4">
            <w:col w:w="2260" w:space="540"/>
            <w:col w:w="460" w:space="540"/>
            <w:col w:w="4100" w:space="540"/>
            <w:col w:w="2580"/>
          </w:cols>
          <w:pgMar w:left="440" w:top="266" w:right="439" w:bottom="1440" w:gutter="0" w:footer="0" w:header="0"/>
          <w:type w:val="continuous"/>
        </w:sectPr>
      </w:pPr>
    </w:p>
    <w:p>
      <w:pPr>
        <w:spacing w:after="0" w:line="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Interest Record Dates: [</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and [</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(each, an “</w:t>
      </w:r>
      <w:r>
        <w:rPr>
          <w:rFonts w:ascii="Times New Roman" w:cs="Times New Roman" w:eastAsia="Times New Roman" w:hAnsi="Times New Roman"/>
          <w:sz w:val="17"/>
          <w:szCs w:val="17"/>
          <w:b w:val="1"/>
          <w:bCs w:val="1"/>
          <w:color w:val="auto"/>
        </w:rPr>
        <w:t>Interest Record Date</w:t>
      </w:r>
      <w:r>
        <w:rPr>
          <w:rFonts w:ascii="Times New Roman" w:cs="Times New Roman" w:eastAsia="Times New Roman" w:hAnsi="Times New Roman"/>
          <w:sz w:val="17"/>
          <w:szCs w:val="17"/>
          <w:color w:val="auto"/>
        </w:rPr>
        <w:t>”).</w:t>
      </w:r>
    </w:p>
    <w:p>
      <w:pPr>
        <w:spacing w:after="0" w:line="215" w:lineRule="exact"/>
        <w:rPr>
          <w:sz w:val="20"/>
          <w:szCs w:val="20"/>
          <w:color w:val="auto"/>
        </w:rPr>
      </w:pPr>
    </w:p>
    <w:p>
      <w:pPr>
        <w:sectPr>
          <w:pgSz w:w="11900" w:h="16838" w:orient="portrait"/>
          <w:cols w:equalWidth="0" w:num="3">
            <w:col w:w="2160" w:space="520"/>
            <w:col w:w="480" w:space="540"/>
            <w:col w:w="7320"/>
          </w:cols>
          <w:pgMar w:left="440" w:top="266" w:right="439" w:bottom="1440" w:gutter="0" w:footer="0" w:header="0"/>
          <w:type w:val="continuous"/>
        </w:sectPr>
      </w:pPr>
    </w:p>
    <w:p>
      <w:pPr>
        <w:spacing w:after="0" w:line="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Reference is made to the further provisions of this Security contained herein, which will for all purposes have the same effect as if set forth at this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w:t>
      </w:r>
    </w:p>
    <w:p>
      <w:pPr>
        <w:sectPr>
          <w:pgSz w:w="11900" w:h="16838" w:orient="portrait"/>
          <w:cols w:equalWidth="0" w:num="1">
            <w:col w:w="11020"/>
          </w:cols>
          <w:pgMar w:left="440" w:top="266" w:right="439" w:bottom="1440" w:gutter="0" w:footer="0" w:header="0"/>
          <w:type w:val="continuous"/>
        </w:sectPr>
      </w:pPr>
    </w:p>
    <w:bookmarkStart w:id="72" w:name="page73"/>
    <w:bookmarkEnd w:id="72"/>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Issuer has caused this Security to be signed manually or by facsimile by its duly authorized officer under its corporate seal.</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 of Comcast Corporation]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Attest: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460"/>
          </w:cols>
          <w:pgMar w:left="440" w:top="270" w:right="999" w:bottom="1440" w:gutter="0" w:footer="0" w:header="0"/>
        </w:sectPr>
      </w:pPr>
    </w:p>
    <w:bookmarkStart w:id="73" w:name="page74"/>
    <w:bookmarkEnd w:id="7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is one of the series designated herein and referred to in the within-mentioned Indenture.</w:t>
      </w:r>
    </w:p>
    <w:p>
      <w:pPr>
        <w:spacing w:after="0" w:line="225"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color w:val="auto"/>
        </w:rPr>
        <w:t>Dated: [</w:t>
      </w:r>
      <w:r>
        <w:rPr>
          <w:sz w:val="20"/>
          <w:szCs w:val="20"/>
          <w:color w:val="auto"/>
        </w:rPr>
        <w:tab/>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THE BANK OF NEW YORK MELLON,</w:t>
      </w:r>
    </w:p>
    <w:p>
      <w:pPr>
        <w:spacing w:after="0" w:line="39"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as Trustee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Authorized Signatory</w:t>
      </w:r>
    </w:p>
    <w:p>
      <w:pPr>
        <w:sectPr>
          <w:pgSz w:w="11900" w:h="16838" w:orient="portrait"/>
          <w:cols w:equalWidth="0" w:num="1">
            <w:col w:w="10019"/>
          </w:cols>
          <w:pgMar w:left="440" w:top="270" w:right="1440" w:bottom="1440" w:gutter="0" w:footer="0" w:header="0"/>
        </w:sectPr>
      </w:pPr>
    </w:p>
    <w:bookmarkStart w:id="74" w:name="page75"/>
    <w:bookmarkEnd w:id="74"/>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(REVERSE OF SECURITY)</w:t>
      </w:r>
    </w:p>
    <w:p>
      <w:pPr>
        <w:spacing w:after="0" w:line="22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225" w:lineRule="exact"/>
        <w:rPr>
          <w:sz w:val="20"/>
          <w:szCs w:val="20"/>
          <w:color w:val="auto"/>
        </w:rPr>
      </w:pPr>
    </w:p>
    <w:p>
      <w:pPr>
        <w:ind w:left="4400"/>
        <w:spacing w:after="0"/>
        <w:tabs>
          <w:tab w:leader="none" w:pos="4620" w:val="left"/>
          <w:tab w:leader="none" w:pos="6520" w:val="left"/>
        </w:tabs>
        <w:rPr>
          <w:sz w:val="20"/>
          <w:szCs w:val="20"/>
          <w:color w:val="auto"/>
        </w:rPr>
      </w:pPr>
      <w:r>
        <w:rPr>
          <w:rFonts w:ascii="Times New Roman" w:cs="Times New Roman" w:eastAsia="Times New Roman" w:hAnsi="Times New Roman"/>
          <w:sz w:val="18"/>
          <w:szCs w:val="18"/>
          <w:b w:val="1"/>
          <w:bCs w:val="1"/>
          <w:color w:val="auto"/>
        </w:rPr>
        <w:t>[</w:t>
        <w:tab/>
        <w:t>]% Senior Notes Due [</w:t>
        <w:tab/>
        <w:t>]</w:t>
      </w:r>
    </w:p>
    <w:p>
      <w:pPr>
        <w:spacing w:after="0" w:line="135" w:lineRule="exact"/>
        <w:rPr>
          <w:sz w:val="20"/>
          <w:szCs w:val="20"/>
          <w:color w:val="auto"/>
        </w:rPr>
      </w:pPr>
    </w:p>
    <w:p>
      <w:pPr>
        <w:ind w:left="960" w:hanging="532"/>
        <w:spacing w:after="0"/>
        <w:tabs>
          <w:tab w:leader="none" w:pos="9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w:t>
      </w:r>
    </w:p>
    <w:p>
      <w:pPr>
        <w:spacing w:after="0" w:line="221" w:lineRule="exact"/>
        <w:rPr>
          <w:sz w:val="20"/>
          <w:szCs w:val="20"/>
          <w:color w:val="auto"/>
        </w:rPr>
      </w:pPr>
    </w:p>
    <w:p>
      <w:pPr>
        <w:ind w:right="140" w:firstLine="440"/>
        <w:spacing w:after="0" w:line="278" w:lineRule="auto"/>
        <w:rPr>
          <w:sz w:val="20"/>
          <w:szCs w:val="20"/>
          <w:color w:val="auto"/>
        </w:rPr>
      </w:pPr>
      <w:r>
        <w:rPr>
          <w:rFonts w:ascii="Times New Roman" w:cs="Times New Roman" w:eastAsia="Times New Roman" w:hAnsi="Times New Roman"/>
          <w:sz w:val="17"/>
          <w:szCs w:val="17"/>
          <w:color w:val="auto"/>
        </w:rPr>
        <w:t>COMCAST CORPORATION, a Pennsylvania corporation (the “</w:t>
      </w:r>
      <w:r>
        <w:rPr>
          <w:rFonts w:ascii="Times New Roman" w:cs="Times New Roman" w:eastAsia="Times New Roman" w:hAnsi="Times New Roman"/>
          <w:sz w:val="17"/>
          <w:szCs w:val="17"/>
          <w:b w:val="1"/>
          <w:bCs w:val="1"/>
          <w:color w:val="auto"/>
        </w:rPr>
        <w:t>Issuer</w:t>
      </w:r>
      <w:r>
        <w:rPr>
          <w:rFonts w:ascii="Times New Roman" w:cs="Times New Roman" w:eastAsia="Times New Roman" w:hAnsi="Times New Roman"/>
          <w:sz w:val="17"/>
          <w:szCs w:val="17"/>
          <w:color w:val="auto"/>
        </w:rPr>
        <w:t>”), promises to pay interest on the principal amount of this Security at the rate per annum shown above. Cash interest on the Securities will accrue from the most recent date to which interest has been paid or, if no interest has</w:t>
      </w:r>
    </w:p>
    <w:p>
      <w:pPr>
        <w:spacing w:after="0" w:line="1"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been paid, from [ ]. The Issuer will pay interest semi-annually in arrears on each Interest Payment Date, commencing [ ]. Interest will be computed on the basis of a 360-day year of twelve 30-day months.</w:t>
      </w:r>
    </w:p>
    <w:p>
      <w:pPr>
        <w:spacing w:after="0" w:line="181"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The Issuer shall pay interest on overdue principal from time to time on demand at the rate borne by the Securities and on overdue installments of interest (without regard to any applicable grace periods) to the extent lawful.</w:t>
      </w:r>
    </w:p>
    <w:p>
      <w:pPr>
        <w:spacing w:after="0" w:line="189" w:lineRule="exact"/>
        <w:rPr>
          <w:sz w:val="20"/>
          <w:szCs w:val="20"/>
          <w:color w:val="auto"/>
        </w:rPr>
      </w:pPr>
    </w:p>
    <w:p>
      <w:pPr>
        <w:ind w:left="960" w:hanging="532"/>
        <w:spacing w:after="0"/>
        <w:tabs>
          <w:tab w:leader="none" w:pos="9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Method of Payment.</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Bank of New York Mellon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to collect principal payments. The Issuer shall pay principal and interest in money of the United States that at the time of payment is legal tender for payment of public and private debts (“</w:t>
      </w:r>
      <w:r>
        <w:rPr>
          <w:rFonts w:ascii="Times New Roman" w:cs="Times New Roman" w:eastAsia="Times New Roman" w:hAnsi="Times New Roman"/>
          <w:sz w:val="18"/>
          <w:szCs w:val="18"/>
          <w:b w:val="1"/>
          <w:bCs w:val="1"/>
          <w:color w:val="auto"/>
        </w:rPr>
        <w:t>U.S. Legal Tender</w:t>
      </w:r>
      <w:r>
        <w:rPr>
          <w:rFonts w:ascii="Times New Roman" w:cs="Times New Roman" w:eastAsia="Times New Roman" w:hAnsi="Times New Roman"/>
          <w:sz w:val="18"/>
          <w:szCs w:val="18"/>
          <w:color w:val="auto"/>
        </w:rPr>
        <w:t>”). However, the payments of interest, and any portion of the principal (other than interest payable at maturity or on any redemption or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R-1</w:t>
      </w:r>
    </w:p>
    <w:p>
      <w:pPr>
        <w:sectPr>
          <w:pgSz w:w="11900" w:h="16838" w:orient="portrait"/>
          <w:cols w:equalWidth="0" w:num="1">
            <w:col w:w="11000"/>
          </w:cols>
          <w:pgMar w:left="440" w:top="270" w:right="459" w:bottom="1440" w:gutter="0" w:footer="0" w:header="0"/>
        </w:sectPr>
      </w:pPr>
    </w:p>
    <w:bookmarkStart w:id="75" w:name="page76"/>
    <w:bookmarkEnd w:id="75"/>
    <w:p>
      <w:pPr>
        <w:ind w:left="960" w:hanging="532"/>
        <w:spacing w:after="0"/>
        <w:tabs>
          <w:tab w:leader="none" w:pos="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Paying Agent.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Initially, the Trustee will act as Paying Agent. The Issuer may change any Paying Agent without notice to the Holders.</w:t>
      </w:r>
    </w:p>
    <w:p>
      <w:pPr>
        <w:spacing w:after="0" w:line="252" w:lineRule="exact"/>
        <w:rPr>
          <w:sz w:val="20"/>
          <w:szCs w:val="20"/>
          <w:color w:val="auto"/>
        </w:rPr>
      </w:pPr>
    </w:p>
    <w:p>
      <w:pPr>
        <w:ind w:left="960" w:hanging="532"/>
        <w:spacing w:after="0"/>
        <w:tabs>
          <w:tab w:leader="none" w:pos="9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Indenture.</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The Issuer issued the Securities under an Indenture dated as of September 18, 2013, by and among the Issuer, the guarantors named therein and the Trustee, as amended by the First Supplemental Indenture dated as of November 17, 2015, by and among the Issuer, the guarantors named therein (the “</w:t>
      </w:r>
      <w:r>
        <w:rPr>
          <w:rFonts w:ascii="Times New Roman" w:cs="Times New Roman" w:eastAsia="Times New Roman" w:hAnsi="Times New Roman"/>
          <w:sz w:val="18"/>
          <w:szCs w:val="18"/>
          <w:b w:val="1"/>
          <w:bCs w:val="1"/>
          <w:color w:val="auto"/>
        </w:rPr>
        <w:t>Guarantors</w:t>
      </w:r>
      <w:r>
        <w:rPr>
          <w:rFonts w:ascii="Times New Roman" w:cs="Times New Roman" w:eastAsia="Times New Roman" w:hAnsi="Times New Roman"/>
          <w:sz w:val="18"/>
          <w:szCs w:val="18"/>
          <w:color w:val="auto"/>
        </w:rPr>
        <w:t>”) and the Trustee (as amended,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Capitalized terms herein are used as defined in the Indenture unless otherwise defined herein. The terms of the Securities include those stated in the Indenture and those made part of the Indenture by reference to the Trust Indenture Act of 1939 (15 U.S.C. Sections 77aaa-77bbbb) (the “</w:t>
      </w:r>
      <w:r>
        <w:rPr>
          <w:rFonts w:ascii="Times New Roman" w:cs="Times New Roman" w:eastAsia="Times New Roman" w:hAnsi="Times New Roman"/>
          <w:sz w:val="18"/>
          <w:szCs w:val="18"/>
          <w:b w:val="1"/>
          <w:bCs w:val="1"/>
          <w:color w:val="auto"/>
        </w:rPr>
        <w:t>TIA</w:t>
      </w:r>
      <w:r>
        <w:rPr>
          <w:rFonts w:ascii="Times New Roman" w:cs="Times New Roman" w:eastAsia="Times New Roman" w:hAnsi="Times New Roman"/>
          <w:sz w:val="18"/>
          <w:szCs w:val="18"/>
          <w:color w:val="auto"/>
        </w:rPr>
        <w:t>”), as is in effect on the date of the Indenture until such time as the Indenture is qualified under the TIA, and thereafter as in effect on the date on which the Indenture is qualified under the TIA. Notwithstanding anything to the contrary herein, the Securities are subject to all such terms, and Holders of Securities are referred to the Indenture and the TIA for a statement of them. To the extent the terms of the Indenture and this Security are inconsistent, the terms of the Indenture shall govern. This note is a “Security” and the notes are “Securities” under the Indenture.</w:t>
      </w:r>
    </w:p>
    <w:p>
      <w:pPr>
        <w:spacing w:after="0" w:line="215" w:lineRule="exact"/>
        <w:rPr>
          <w:sz w:val="20"/>
          <w:szCs w:val="20"/>
          <w:color w:val="auto"/>
        </w:rPr>
      </w:pPr>
    </w:p>
    <w:p>
      <w:pPr>
        <w:ind w:left="960" w:hanging="532"/>
        <w:spacing w:after="0"/>
        <w:tabs>
          <w:tab w:leader="none" w:pos="9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w:t>
      </w:r>
    </w:p>
    <w:p>
      <w:pPr>
        <w:spacing w:after="0" w:line="225" w:lineRule="exact"/>
        <w:rPr>
          <w:sz w:val="20"/>
          <w:szCs w:val="20"/>
          <w:color w:val="auto"/>
        </w:rPr>
      </w:pPr>
    </w:p>
    <w:p>
      <w:pPr>
        <w:jc w:val="both"/>
        <w:ind w:right="80" w:firstLine="440"/>
        <w:spacing w:after="0" w:line="289" w:lineRule="auto"/>
        <w:rPr>
          <w:sz w:val="20"/>
          <w:szCs w:val="20"/>
          <w:color w:val="auto"/>
        </w:rPr>
      </w:pPr>
      <w:r>
        <w:rPr>
          <w:rFonts w:ascii="Times New Roman" w:cs="Times New Roman" w:eastAsia="Times New Roman" w:hAnsi="Times New Roman"/>
          <w:sz w:val="17"/>
          <w:szCs w:val="17"/>
          <w:color w:val="auto"/>
        </w:rPr>
        <w:t>Each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ectPr>
          <w:pgSz w:w="11900" w:h="16838" w:orient="portrait"/>
          <w:cols w:equalWidth="0" w:num="1">
            <w:col w:w="10980"/>
          </w:cols>
          <w:pgMar w:left="440" w:top="270" w:right="479" w:bottom="1440" w:gutter="0" w:footer="0" w:header="0"/>
        </w:sectPr>
      </w:pPr>
    </w:p>
    <w:p>
      <w:pPr>
        <w:spacing w:after="0" w:line="185"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Denominations; Transfer; Exchange.</w:t>
      </w:r>
    </w:p>
    <w:p>
      <w:pPr>
        <w:spacing w:after="0" w:line="200" w:lineRule="exact"/>
        <w:rPr>
          <w:sz w:val="20"/>
          <w:szCs w:val="20"/>
          <w:color w:val="auto"/>
        </w:rPr>
      </w:pPr>
    </w:p>
    <w:p>
      <w:pPr>
        <w:sectPr>
          <w:pgSz w:w="11900" w:h="16838" w:orient="portrait"/>
          <w:cols w:equalWidth="0" w:num="2">
            <w:col w:w="560" w:space="400"/>
            <w:col w:w="10020"/>
          </w:cols>
          <w:pgMar w:left="440" w:top="270" w:right="479" w:bottom="1440" w:gutter="0" w:footer="0" w:header="0"/>
          <w:type w:val="continuous"/>
        </w:sectPr>
      </w:pPr>
    </w:p>
    <w:p>
      <w:pPr>
        <w:spacing w:after="0" w:line="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Securities are in registered form, without coupons, in denominations of $[</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and multiples of $[</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 excess thereof. A Holder</w:t>
      </w:r>
    </w:p>
    <w:p>
      <w:pPr>
        <w:spacing w:after="0" w:line="27" w:lineRule="exact"/>
        <w:rPr>
          <w:sz w:val="20"/>
          <w:szCs w:val="20"/>
          <w:color w:val="auto"/>
        </w:rPr>
      </w:pPr>
    </w:p>
    <w:p>
      <w:pPr>
        <w:sectPr>
          <w:pgSz w:w="11900" w:h="16838" w:orient="portrait"/>
          <w:cols w:equalWidth="0" w:num="3">
            <w:col w:w="6080" w:space="540"/>
            <w:col w:w="1460" w:space="540"/>
            <w:col w:w="2360"/>
          </w:cols>
          <w:pgMar w:left="440" w:top="270"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shall register the transfer of or exchange Securities in accordance with the Indenture.</w:t>
      </w:r>
    </w:p>
    <w:p>
      <w:pPr>
        <w:spacing w:after="0" w:line="20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the mailing of a notice of redemption, nor need the Issuer register the transfer of or exchange any security selected for redemption in whole or in part.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R-2</w:t>
      </w:r>
    </w:p>
    <w:p>
      <w:pPr>
        <w:sectPr>
          <w:pgSz w:w="11900" w:h="16838" w:orient="portrait"/>
          <w:cols w:equalWidth="0" w:num="1">
            <w:col w:w="10980"/>
          </w:cols>
          <w:pgMar w:left="440" w:top="270" w:right="479" w:bottom="1440" w:gutter="0" w:footer="0" w:header="0"/>
          <w:type w:val="continuous"/>
        </w:sectPr>
      </w:pPr>
    </w:p>
    <w:bookmarkStart w:id="76" w:name="page77"/>
    <w:bookmarkEnd w:id="76"/>
    <w:p>
      <w:pPr>
        <w:ind w:left="960" w:hanging="532"/>
        <w:spacing w:after="0"/>
        <w:tabs>
          <w:tab w:leader="none" w:pos="9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Persons Deemed Owners.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registered Holder of a Security shall be treated as the owner of it for all purposes.</w:t>
      </w:r>
    </w:p>
    <w:p>
      <w:pPr>
        <w:spacing w:after="0" w:line="252" w:lineRule="exact"/>
        <w:rPr>
          <w:sz w:val="20"/>
          <w:szCs w:val="20"/>
          <w:color w:val="auto"/>
        </w:rPr>
      </w:pPr>
    </w:p>
    <w:p>
      <w:pPr>
        <w:ind w:left="960" w:hanging="532"/>
        <w:spacing w:after="0"/>
        <w:tabs>
          <w:tab w:leader="none" w:pos="9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Unclaimed Funds.</w:t>
      </w:r>
    </w:p>
    <w:p>
      <w:pPr>
        <w:spacing w:after="0" w:line="225"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If funds for the payment of principal or interest remain unclaimed for two years, the Trustee and the Paying Agent will repay the funds to the Issuer at its written request. After that, all liability of the Trustee and such Paying Agent with respect to such funds shall cease.</w:t>
      </w:r>
    </w:p>
    <w:p>
      <w:pPr>
        <w:spacing w:after="0" w:line="189" w:lineRule="exact"/>
        <w:rPr>
          <w:sz w:val="20"/>
          <w:szCs w:val="20"/>
          <w:color w:val="auto"/>
        </w:rPr>
      </w:pPr>
    </w:p>
    <w:p>
      <w:pPr>
        <w:ind w:left="960" w:hanging="532"/>
        <w:spacing w:after="0"/>
        <w:tabs>
          <w:tab w:leader="none" w:pos="9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Defeasance and Covenant Defeasance.</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Issuer and the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203" w:lineRule="exact"/>
        <w:rPr>
          <w:sz w:val="20"/>
          <w:szCs w:val="20"/>
          <w:color w:val="auto"/>
        </w:rPr>
      </w:pPr>
    </w:p>
    <w:p>
      <w:pPr>
        <w:ind w:left="960" w:hanging="532"/>
        <w:spacing w:after="0"/>
        <w:tabs>
          <w:tab w:leader="none" w:pos="9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Supplement; Waiver.</w:t>
      </w:r>
    </w:p>
    <w:p>
      <w:pPr>
        <w:spacing w:after="0" w:line="225"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R-3</w:t>
      </w:r>
    </w:p>
    <w:p>
      <w:pPr>
        <w:sectPr>
          <w:pgSz w:w="11900" w:h="16838" w:orient="portrait"/>
          <w:cols w:equalWidth="0" w:num="1">
            <w:col w:w="10980"/>
          </w:cols>
          <w:pgMar w:left="440" w:top="270" w:right="479" w:bottom="1440" w:gutter="0" w:footer="0" w:header="0"/>
        </w:sectPr>
      </w:pPr>
    </w:p>
    <w:bookmarkStart w:id="77" w:name="page78"/>
    <w:bookmarkEnd w:id="77"/>
    <w:p>
      <w:pPr>
        <w:ind w:left="960" w:hanging="532"/>
        <w:spacing w:after="0"/>
        <w:tabs>
          <w:tab w:leader="none" w:pos="9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Restrictive Covenants.</w:t>
      </w:r>
    </w:p>
    <w:p>
      <w:pPr>
        <w:spacing w:after="0" w:line="225" w:lineRule="exact"/>
        <w:rPr>
          <w:sz w:val="20"/>
          <w:szCs w:val="20"/>
          <w:color w:val="auto"/>
        </w:rPr>
      </w:pPr>
    </w:p>
    <w:p>
      <w:pPr>
        <w:ind w:right="240" w:firstLine="440"/>
        <w:spacing w:after="0" w:line="289" w:lineRule="auto"/>
        <w:rPr>
          <w:sz w:val="20"/>
          <w:szCs w:val="20"/>
          <w:color w:val="auto"/>
        </w:rPr>
      </w:pPr>
      <w:r>
        <w:rPr>
          <w:rFonts w:ascii="Times New Roman" w:cs="Times New Roman" w:eastAsia="Times New Roman" w:hAnsi="Times New Roman"/>
          <w:sz w:val="17"/>
          <w:szCs w:val="17"/>
          <w:color w:val="auto"/>
        </w:rPr>
        <w:t>The Indenture contains certain covenants that, among other things, limit the ability of the Issuer and the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185" w:lineRule="exact"/>
        <w:rPr>
          <w:sz w:val="20"/>
          <w:szCs w:val="20"/>
          <w:color w:val="auto"/>
        </w:rPr>
      </w:pPr>
    </w:p>
    <w:p>
      <w:pPr>
        <w:ind w:left="960" w:hanging="532"/>
        <w:spacing w:after="0"/>
        <w:tabs>
          <w:tab w:leader="none" w:pos="9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w:t>
      </w:r>
    </w:p>
    <w:p>
      <w:pPr>
        <w:spacing w:after="0" w:line="221" w:lineRule="exact"/>
        <w:rPr>
          <w:sz w:val="20"/>
          <w:szCs w:val="20"/>
          <w:color w:val="auto"/>
        </w:rPr>
      </w:pPr>
    </w:p>
    <w:p>
      <w:pPr>
        <w:jc w:val="both"/>
        <w:ind w:right="180" w:firstLine="440"/>
        <w:spacing w:after="0" w:line="268" w:lineRule="auto"/>
        <w:rPr>
          <w:sz w:val="20"/>
          <w:szCs w:val="20"/>
          <w:color w:val="auto"/>
        </w:rPr>
      </w:pPr>
      <w:r>
        <w:rPr>
          <w:rFonts w:ascii="Times New Roman" w:cs="Times New Roman" w:eastAsia="Times New Roman" w:hAnsi="Times New Roman"/>
          <w:sz w:val="18"/>
          <w:szCs w:val="18"/>
          <w:color w:val="auto"/>
        </w:rPr>
        <w:t>Prior to [●], 20[●] ([●] ([●]) month[s] prior to the maturity date of the Securities) (the “</w:t>
      </w:r>
      <w:r>
        <w:rPr>
          <w:rFonts w:ascii="Times New Roman" w:cs="Times New Roman" w:eastAsia="Times New Roman" w:hAnsi="Times New Roman"/>
          <w:sz w:val="18"/>
          <w:szCs w:val="18"/>
          <w:b w:val="1"/>
          <w:bCs w:val="1"/>
          <w:color w:val="auto"/>
        </w:rPr>
        <w:t>Par Call Date</w:t>
      </w:r>
      <w:r>
        <w:rPr>
          <w:rFonts w:ascii="Times New Roman" w:cs="Times New Roman" w:eastAsia="Times New Roman" w:hAnsi="Times New Roman"/>
          <w:sz w:val="18"/>
          <w:szCs w:val="18"/>
          <w:color w:val="auto"/>
        </w:rPr>
        <w:t>”), the Issuer may redeem Securities at its option, in whole or in part, at any time and from time to time, at a redemption price (expressed as a percentage of the principal amount and rounded to three decimal places) equal to the greater of:</w:t>
      </w:r>
    </w:p>
    <w:p>
      <w:pPr>
        <w:spacing w:after="0" w:line="67" w:lineRule="exact"/>
        <w:rPr>
          <w:sz w:val="20"/>
          <w:szCs w:val="20"/>
          <w:color w:val="auto"/>
        </w:rPr>
      </w:pPr>
    </w:p>
    <w:p>
      <w:pPr>
        <w:ind w:right="100" w:firstLine="436"/>
        <w:spacing w:after="0" w:line="266" w:lineRule="auto"/>
        <w:tabs>
          <w:tab w:leader="none" w:pos="69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sum of the present values of the remaining scheduled payments of principal and interest thereon discounted to the redemption date (assuming, for this purpose, that the Securities matured on the Par Call Date) on a semi-annual basis (assuming a 360-day year consisting of twelve 30-day months) at the Treasury Rate plus [●] basis points, less (b) interest accrued to the date of redemption, and</w:t>
      </w:r>
    </w:p>
    <w:p>
      <w:pPr>
        <w:spacing w:after="0" w:line="6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Securities to be redeemed,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to the redemption date.</w:t>
      </w:r>
    </w:p>
    <w:p>
      <w:pPr>
        <w:spacing w:after="0" w:line="225"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On or after the Par Call Date, the Issuer may redeem the Securities, in whole or in part, at any time and from time to time, at a redemption price equal to 100% of the principal amount of the Securities being redeemed plus accrued and unpaid interest thereon to the redemption date.</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Treasury Rate</w:t>
      </w:r>
      <w:r>
        <w:rPr>
          <w:rFonts w:ascii="Times New Roman" w:cs="Times New Roman" w:eastAsia="Times New Roman" w:hAnsi="Times New Roman"/>
          <w:sz w:val="18"/>
          <w:szCs w:val="18"/>
          <w:color w:val="auto"/>
        </w:rPr>
        <w:t>” means, with respect to any redemption date, the yield determined by the Issuer in accordance with the following two paragraphs.</w:t>
      </w:r>
    </w:p>
    <w:p>
      <w:pPr>
        <w:spacing w:after="0" w:line="22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The Treasury Rate shall be determined by the Issuer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w:t>
      </w:r>
      <w:r>
        <w:rPr>
          <w:rFonts w:ascii="Times New Roman" w:cs="Times New Roman" w:eastAsia="Times New Roman" w:hAnsi="Times New Roman"/>
          <w:sz w:val="18"/>
          <w:szCs w:val="18"/>
          <w:b w:val="1"/>
          <w:bCs w:val="1"/>
          <w:color w:val="auto"/>
        </w:rPr>
        <w:t>H.15</w:t>
      </w:r>
      <w:r>
        <w:rPr>
          <w:rFonts w:ascii="Times New Roman" w:cs="Times New Roman" w:eastAsia="Times New Roman" w:hAnsi="Times New Roman"/>
          <w:sz w:val="18"/>
          <w:szCs w:val="18"/>
          <w:color w:val="auto"/>
        </w:rPr>
        <w:t>”) under the caption “U.S. government securities-Treasury constant maturities-Nominal” (or any successor caption or heading) (“</w:t>
      </w:r>
      <w:r>
        <w:rPr>
          <w:rFonts w:ascii="Times New Roman" w:cs="Times New Roman" w:eastAsia="Times New Roman" w:hAnsi="Times New Roman"/>
          <w:sz w:val="18"/>
          <w:szCs w:val="18"/>
          <w:b w:val="1"/>
          <w:bCs w:val="1"/>
          <w:color w:val="auto"/>
        </w:rPr>
        <w:t>H.15 TCM</w:t>
      </w:r>
      <w:r>
        <w:rPr>
          <w:rFonts w:ascii="Times New Roman" w:cs="Times New Roman" w:eastAsia="Times New Roman" w:hAnsi="Times New Roman"/>
          <w:sz w:val="18"/>
          <w:szCs w:val="18"/>
          <w:color w:val="auto"/>
        </w:rPr>
        <w:t>”). In determining the Treasury Rate, the Issuer shall select, as applicable: (1) the yield for the Treasury constant maturity on H.15 exactly equal to the period from the redemption date to the applicable Par Call Date (the “</w:t>
      </w:r>
      <w:r>
        <w:rPr>
          <w:rFonts w:ascii="Times New Roman" w:cs="Times New Roman" w:eastAsia="Times New Roman" w:hAnsi="Times New Roman"/>
          <w:sz w:val="18"/>
          <w:szCs w:val="18"/>
          <w:b w:val="1"/>
          <w:bCs w:val="1"/>
          <w:color w:val="auto"/>
        </w:rPr>
        <w:t>Remaining Life</w:t>
      </w:r>
      <w:r>
        <w:rPr>
          <w:rFonts w:ascii="Times New Roman" w:cs="Times New Roman" w:eastAsia="Times New Roman" w:hAnsi="Times New Roman"/>
          <w:sz w:val="18"/>
          <w:szCs w:val="18"/>
          <w:color w:val="auto"/>
        </w:rPr>
        <w:t>”);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8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TCM is no longer published, the Issuer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If there is no United States Treasury security maturing on the Par Call Date but there are two or more United States Treasury securities with a maturity date equally distant from the applicable Par Call Date, one with a maturity date preceding the Par Call Date and one with a maturity date following the Par Call Date, the Issuer shall select the United States Treasury security with a maturity date preceding the Par Call Date. If there are two or more United States Treasury securities maturing on the applicable Par Call Date or two or more United States Treasury securities meeting the criteria of the preceding sentence, the Issuer shall select from among these two or more United States Treasury securities the United States Treasury security that is</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R-4</w:t>
      </w:r>
    </w:p>
    <w:p>
      <w:pPr>
        <w:sectPr>
          <w:pgSz w:w="11900" w:h="16838" w:orient="portrait"/>
          <w:cols w:equalWidth="0" w:num="1">
            <w:col w:w="10980"/>
          </w:cols>
          <w:pgMar w:left="440" w:top="270" w:right="479" w:bottom="1440" w:gutter="0" w:footer="0" w:header="0"/>
        </w:sectPr>
      </w:pPr>
    </w:p>
    <w:bookmarkStart w:id="78" w:name="page79"/>
    <w:bookmarkEnd w:id="78"/>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the principal amount) at 11:00 a.m., New York City time, of such United States Treasury security, and rounded to three decimal places.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Issuer’s actions and determinations in determining the redemption price shall be conclusive and binding for all purposes, absent manifest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error.</w:t>
      </w:r>
    </w:p>
    <w:p>
      <w:pPr>
        <w:spacing w:after="0" w:line="207"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Notice of any redemption will be mailed or electronically delivered (or otherwise transmitted in accordance with the Depositary’s procedures) at least 10 days but not more than 60 days before the redemption date to each holder of the Securities to be redeemed.</w:t>
      </w:r>
    </w:p>
    <w:p>
      <w:pPr>
        <w:spacing w:after="0" w:line="162" w:lineRule="exact"/>
        <w:rPr>
          <w:sz w:val="20"/>
          <w:szCs w:val="20"/>
          <w:color w:val="auto"/>
        </w:rPr>
      </w:pPr>
    </w:p>
    <w:p>
      <w:pPr>
        <w:ind w:right="140" w:firstLine="440"/>
        <w:spacing w:after="0" w:line="256" w:lineRule="auto"/>
        <w:rPr>
          <w:sz w:val="20"/>
          <w:szCs w:val="20"/>
          <w:color w:val="auto"/>
        </w:rPr>
      </w:pPr>
      <w:r>
        <w:rPr>
          <w:rFonts w:ascii="Times New Roman" w:cs="Times New Roman" w:eastAsia="Times New Roman" w:hAnsi="Times New Roman"/>
          <w:sz w:val="18"/>
          <w:szCs w:val="18"/>
          <w:color w:val="auto"/>
        </w:rPr>
        <w:t>In the case of a partial redemption, selection of the Securities for redemption will be made in accordance with the procedures of the Depositary. No Securities of a principal amount of $2,000 or less will be redeemed in part. If the Security is to be redeemed in part only, the notice of redemption will state the portion of the principal amount of the Security to be redeemed. A new Security in a principal amount equal to the unredeemed portion of the Security will be issued in the name of the holder of such Security upon surrender for cancellation of such original Security. For so long as any Security is registered in the name of the Depositary, the redemption of any Security shall be done in accordance with the policies and procedures of the Depositary.</w:t>
      </w:r>
    </w:p>
    <w:p>
      <w:pPr>
        <w:spacing w:after="0" w:line="187"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Unless the Issuer defaults in payment of the redemption price, on and after the redemption date, interest will cease to accrue on the Securities or portions thereof called for redemption.</w:t>
      </w:r>
    </w:p>
    <w:p>
      <w:pPr>
        <w:spacing w:after="0" w:line="189" w:lineRule="exact"/>
        <w:rPr>
          <w:sz w:val="20"/>
          <w:szCs w:val="20"/>
          <w:color w:val="auto"/>
        </w:rPr>
      </w:pPr>
    </w:p>
    <w:p>
      <w:pPr>
        <w:ind w:left="960" w:hanging="532"/>
        <w:spacing w:after="0"/>
        <w:tabs>
          <w:tab w:leader="none" w:pos="9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Defaults and Remedies.</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If an Event of Default (other than certain bankruptcy Events of Default with respect to the Issuer or any of the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Guarantees except as provided in the Indenture. The Trustee is not obligated to enforce the Indenture, the Securities or the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R-5</w:t>
      </w:r>
    </w:p>
    <w:p>
      <w:pPr>
        <w:sectPr>
          <w:pgSz w:w="11900" w:h="16838" w:orient="portrait"/>
          <w:cols w:equalWidth="0" w:num="1">
            <w:col w:w="11000"/>
          </w:cols>
          <w:pgMar w:left="440" w:top="270" w:right="459" w:bottom="1440" w:gutter="0" w:footer="0" w:header="0"/>
        </w:sectPr>
      </w:pPr>
    </w:p>
    <w:bookmarkStart w:id="79" w:name="page80"/>
    <w:bookmarkEnd w:id="79"/>
    <w:p>
      <w:pPr>
        <w:ind w:left="960" w:hanging="532"/>
        <w:spacing w:after="0"/>
        <w:tabs>
          <w:tab w:leader="none" w:pos="9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Trustee Dealings with Issuer.</w:t>
      </w:r>
    </w:p>
    <w:p>
      <w:pPr>
        <w:spacing w:after="0" w:line="225"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The Trustee under the Indenture, in its individual or any other capacity, may become the owner or pledgee of Securities and may otherwise deal with the Issuer as if it were not the Trustee.</w:t>
      </w:r>
    </w:p>
    <w:p>
      <w:pPr>
        <w:spacing w:after="0" w:line="189" w:lineRule="exact"/>
        <w:rPr>
          <w:sz w:val="20"/>
          <w:szCs w:val="20"/>
          <w:color w:val="auto"/>
        </w:rPr>
      </w:pPr>
    </w:p>
    <w:p>
      <w:pPr>
        <w:ind w:left="960" w:hanging="532"/>
        <w:spacing w:after="0"/>
        <w:tabs>
          <w:tab w:leader="none" w:pos="9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Recourse Against Others.</w:t>
      </w:r>
    </w:p>
    <w:p>
      <w:pPr>
        <w:spacing w:after="0" w:line="225"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No stockholder, director, officer, employee or incorporator, as such, of the Issuer, any Guarantor or any successor Person thereof shall have any liability for any obligation under the Securities, the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207" w:lineRule="exact"/>
        <w:rPr>
          <w:sz w:val="20"/>
          <w:szCs w:val="20"/>
          <w:color w:val="auto"/>
        </w:rPr>
      </w:pPr>
    </w:p>
    <w:p>
      <w:pPr>
        <w:ind w:left="960" w:hanging="532"/>
        <w:spacing w:after="0"/>
        <w:tabs>
          <w:tab w:leader="none" w:pos="9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Authentication.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Security shall not be valid until the Trustee manually signs the certificate of authentication on this Security.</w:t>
      </w:r>
    </w:p>
    <w:p>
      <w:pPr>
        <w:spacing w:after="0" w:line="252" w:lineRule="exact"/>
        <w:rPr>
          <w:sz w:val="20"/>
          <w:szCs w:val="20"/>
          <w:color w:val="auto"/>
        </w:rPr>
      </w:pPr>
    </w:p>
    <w:p>
      <w:pPr>
        <w:ind w:left="960" w:hanging="532"/>
        <w:spacing w:after="0"/>
        <w:tabs>
          <w:tab w:leader="none" w:pos="9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Abbreviations and Defined Terms.</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203" w:lineRule="exact"/>
        <w:rPr>
          <w:sz w:val="20"/>
          <w:szCs w:val="20"/>
          <w:color w:val="auto"/>
        </w:rPr>
      </w:pPr>
    </w:p>
    <w:p>
      <w:pPr>
        <w:ind w:left="960" w:hanging="532"/>
        <w:spacing w:after="0"/>
        <w:tabs>
          <w:tab w:leader="none" w:pos="9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CUSIP Numbers.</w:t>
      </w:r>
    </w:p>
    <w:p>
      <w:pPr>
        <w:spacing w:after="0" w:line="225"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203" w:lineRule="exact"/>
        <w:rPr>
          <w:sz w:val="20"/>
          <w:szCs w:val="20"/>
          <w:color w:val="auto"/>
        </w:rPr>
      </w:pPr>
    </w:p>
    <w:p>
      <w:pPr>
        <w:ind w:left="960" w:hanging="532"/>
        <w:spacing w:after="0"/>
        <w:tabs>
          <w:tab w:leader="none" w:pos="9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Governing Law.</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laws of the State of New York shall govern the Indenture and this Security issued thereunder.</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R-6</w:t>
      </w:r>
    </w:p>
    <w:p>
      <w:pPr>
        <w:sectPr>
          <w:pgSz w:w="11900" w:h="16838" w:orient="portrait"/>
          <w:cols w:equalWidth="0" w:num="1">
            <w:col w:w="11000"/>
          </w:cols>
          <w:pgMar w:left="440" w:top="270" w:right="459" w:bottom="1440" w:gutter="0" w:footer="0" w:header="0"/>
        </w:sectPr>
      </w:pPr>
    </w:p>
    <w:bookmarkStart w:id="80" w:name="page81"/>
    <w:bookmarkEnd w:id="80"/>
    <w:p>
      <w:pPr>
        <w:jc w:val="center"/>
        <w:ind w:right="-1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ASSIGNMENT FORM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or we assign and transfer this Security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308610</wp:posOffset>
            </wp:positionV>
            <wp:extent cx="69951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(Print or type name, address and zip code of assignee or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291465</wp:posOffset>
            </wp:positionV>
            <wp:extent cx="699516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(Insert Social Security or other identifying number of assignee or transferee)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and irrevocably appoint</w:t>
            </w:r>
          </w:p>
        </w:tc>
        <w:tc>
          <w:tcPr>
            <w:tcW w:w="5320" w:type="dxa"/>
            <w:vAlign w:val="bottom"/>
            <w:tcBorders>
              <w:bottom w:val="single" w:sz="8" w:color="auto"/>
            </w:tcBorders>
          </w:tcPr>
          <w:p>
            <w:pPr>
              <w:spacing w:after="0"/>
              <w:rPr>
                <w:sz w:val="17"/>
                <w:szCs w:val="17"/>
                <w:color w:val="auto"/>
              </w:rPr>
            </w:pPr>
          </w:p>
        </w:tc>
        <w:tc>
          <w:tcPr>
            <w:tcW w:w="358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agent to transfer this Security on the books of the</w:t>
            </w:r>
          </w:p>
        </w:tc>
      </w:tr>
      <w:tr>
        <w:trPr>
          <w:trHeight w:val="237"/>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Issuer. The agent may substitute another to act for him.</w:t>
            </w:r>
          </w:p>
        </w:tc>
        <w:tc>
          <w:tcPr>
            <w:tcW w:w="3580" w:type="dxa"/>
            <w:vAlign w:val="bottom"/>
          </w:tcPr>
          <w:p>
            <w:pPr>
              <w:spacing w:after="0"/>
              <w:rPr>
                <w:sz w:val="20"/>
                <w:szCs w:val="20"/>
                <w:color w:val="auto"/>
              </w:rPr>
            </w:pPr>
          </w:p>
        </w:tc>
      </w:tr>
      <w:tr>
        <w:trPr>
          <w:trHeight w:val="432"/>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Dated:</w:t>
            </w:r>
          </w:p>
        </w:tc>
        <w:tc>
          <w:tcPr>
            <w:tcW w:w="3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Signed: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0</wp:posOffset>
            </wp:positionV>
            <wp:extent cx="186880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1">
                      <a:extLst>
                        <a:ext uri="{28A0092B-C50C-407E-A947-70E740481C1C}"/>
                      </a:extLst>
                    </a:blip>
                    <a:srcRect/>
                    <a:stretch>
                      <a:fillRect/>
                    </a:stretch>
                  </pic:blipFill>
                  <pic:spPr bwMode="auto">
                    <a:xfrm>
                      <a:off x="0" y="0"/>
                      <a:ext cx="1868805" cy="8890"/>
                    </a:xfrm>
                    <a:prstGeom prst="rect">
                      <a:avLst/>
                    </a:prstGeom>
                    <a:noFill/>
                  </pic:spPr>
                </pic:pic>
              </a:graphicData>
            </a:graphic>
          </wp:anchor>
        </w:drawing>
        <w:drawing>
          <wp:anchor simplePos="0" relativeHeight="251657728" behindDoc="1" locked="0" layoutInCell="0" allowOverlap="1">
            <wp:simplePos x="0" y="0"/>
            <wp:positionH relativeFrom="column">
              <wp:posOffset>5183505</wp:posOffset>
            </wp:positionH>
            <wp:positionV relativeFrom="paragraph">
              <wp:posOffset>0</wp:posOffset>
            </wp:positionV>
            <wp:extent cx="18084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2">
                      <a:extLst>
                        <a:ext uri="{28A0092B-C50C-407E-A947-70E740481C1C}"/>
                      </a:extLst>
                    </a:blip>
                    <a:srcRect/>
                    <a:stretch>
                      <a:fillRect/>
                    </a:stretch>
                  </pic:blipFill>
                  <pic:spPr bwMode="auto">
                    <a:xfrm>
                      <a:off x="0" y="0"/>
                      <a:ext cx="1808480" cy="8890"/>
                    </a:xfrm>
                    <a:prstGeom prst="rect">
                      <a:avLst/>
                    </a:prstGeom>
                    <a:noFill/>
                  </pic:spPr>
                </pic:pic>
              </a:graphicData>
            </a:graphic>
          </wp:anchor>
        </w:drawing>
      </w:r>
    </w:p>
    <w:p>
      <w:pPr>
        <w:ind w:left="8160"/>
        <w:spacing w:after="0"/>
        <w:rPr>
          <w:sz w:val="20"/>
          <w:szCs w:val="20"/>
          <w:color w:val="auto"/>
        </w:rPr>
      </w:pPr>
      <w:r>
        <w:rPr>
          <w:rFonts w:ascii="Times New Roman" w:cs="Times New Roman" w:eastAsia="Times New Roman" w:hAnsi="Times New Roman"/>
          <w:sz w:val="18"/>
          <w:szCs w:val="18"/>
          <w:color w:val="auto"/>
        </w:rPr>
        <w:t>(Signed exactly as name appears</w:t>
      </w:r>
    </w:p>
    <w:p>
      <w:pPr>
        <w:spacing w:after="0" w:line="27"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8"/>
          <w:szCs w:val="18"/>
          <w:color w:val="auto"/>
        </w:rPr>
        <w:t>on the other side of this Security)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2045970</wp:posOffset>
            </wp:positionH>
            <wp:positionV relativeFrom="paragraph">
              <wp:posOffset>17145</wp:posOffset>
            </wp:positionV>
            <wp:extent cx="494601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3">
                      <a:extLst>
                        <a:ext uri="{28A0092B-C50C-407E-A947-70E740481C1C}"/>
                      </a:extLst>
                    </a:blip>
                    <a:srcRect/>
                    <a:stretch>
                      <a:fillRect/>
                    </a:stretch>
                  </pic:blipFill>
                  <pic:spPr bwMode="auto">
                    <a:xfrm>
                      <a:off x="0" y="0"/>
                      <a:ext cx="4946015" cy="8255"/>
                    </a:xfrm>
                    <a:prstGeom prst="rect">
                      <a:avLst/>
                    </a:prstGeom>
                    <a:noFill/>
                  </pic:spPr>
                </pic:pic>
              </a:graphicData>
            </a:graphic>
          </wp:anchor>
        </w:drawing>
      </w:r>
    </w:p>
    <w:p>
      <w:pPr>
        <w:spacing w:after="0" w:line="16" w:lineRule="exact"/>
        <w:rPr>
          <w:sz w:val="20"/>
          <w:szCs w:val="20"/>
          <w:color w:val="auto"/>
        </w:rPr>
      </w:pPr>
    </w:p>
    <w:p>
      <w:pPr>
        <w:ind w:left="3220"/>
        <w:spacing w:after="0" w:line="282" w:lineRule="auto"/>
        <w:rPr>
          <w:sz w:val="20"/>
          <w:szCs w:val="20"/>
          <w:color w:val="auto"/>
        </w:rPr>
      </w:pPr>
      <w:r>
        <w:rPr>
          <w:rFonts w:ascii="Times New Roman" w:cs="Times New Roman" w:eastAsia="Times New Roman" w:hAnsi="Times New Roman"/>
          <w:sz w:val="18"/>
          <w:szCs w:val="18"/>
          <w:color w:val="auto"/>
        </w:rPr>
        <w:t>Participant in a recognized Signature Guarantee Medallion Program (or other signature guarantor program reasonably acceptable to the Trustee)</w:t>
      </w:r>
    </w:p>
    <w:p>
      <w:pPr>
        <w:sectPr>
          <w:pgSz w:w="11900" w:h="16838" w:orient="portrait"/>
          <w:cols w:equalWidth="0" w:num="1">
            <w:col w:w="10880"/>
          </w:cols>
          <w:pgMar w:left="440" w:top="270" w:right="579" w:bottom="1440" w:gutter="0" w:footer="0" w:header="0"/>
        </w:sectPr>
      </w:pPr>
    </w:p>
    <w:bookmarkStart w:id="81" w:name="page82"/>
    <w:bookmarkEnd w:id="81"/>
    <w:p>
      <w:pPr>
        <w:jc w:val="center"/>
        <w:ind w:right="1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OF INCREASES OR DECREASES IN GLOBAL SECURITY</w:t>
      </w:r>
    </w:p>
    <w:p>
      <w:pPr>
        <w:spacing w:after="0" w:line="225" w:lineRule="exact"/>
        <w:rPr>
          <w:sz w:val="20"/>
          <w:szCs w:val="20"/>
          <w:color w:val="auto"/>
        </w:rPr>
      </w:pPr>
    </w:p>
    <w:p>
      <w:pPr>
        <w:spacing w:after="0"/>
        <w:tabs>
          <w:tab w:leader="none" w:pos="4560" w:val="left"/>
        </w:tabs>
        <w:rPr>
          <w:sz w:val="20"/>
          <w:szCs w:val="20"/>
          <w:color w:val="auto"/>
        </w:rPr>
      </w:pPr>
      <w:r>
        <w:rPr>
          <w:rFonts w:ascii="Times New Roman" w:cs="Times New Roman" w:eastAsia="Times New Roman" w:hAnsi="Times New Roman"/>
          <w:sz w:val="18"/>
          <w:szCs w:val="18"/>
          <w:color w:val="auto"/>
        </w:rPr>
        <w:t>The initial principal amount of this Global Security is $[</w:t>
      </w:r>
      <w:r>
        <w:rPr>
          <w:sz w:val="20"/>
          <w:szCs w:val="20"/>
          <w:color w:val="auto"/>
        </w:rPr>
        <w:tab/>
      </w:r>
      <w:r>
        <w:rPr>
          <w:rFonts w:ascii="Times New Roman" w:cs="Times New Roman" w:eastAsia="Times New Roman" w:hAnsi="Times New Roman"/>
          <w:sz w:val="18"/>
          <w:szCs w:val="18"/>
          <w:color w:val="auto"/>
        </w:rPr>
        <w:t>]. The following increases or decreases in this Global Security have been made: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700" w:type="dxa"/>
            <w:vAlign w:val="bottom"/>
            <w:gridSpan w:val="2"/>
            <w:vMerge w:val="restart"/>
          </w:tcPr>
          <w:p>
            <w:pPr>
              <w:jc w:val="center"/>
              <w:ind w:right="700"/>
              <w:spacing w:after="0"/>
              <w:rPr>
                <w:sz w:val="20"/>
                <w:szCs w:val="20"/>
                <w:color w:val="auto"/>
              </w:rPr>
            </w:pPr>
            <w:r>
              <w:rPr>
                <w:rFonts w:ascii="Times New Roman" w:cs="Times New Roman" w:eastAsia="Times New Roman" w:hAnsi="Times New Roman"/>
                <w:sz w:val="14"/>
                <w:szCs w:val="14"/>
                <w:color w:val="auto"/>
              </w:rPr>
              <w:t>Amount of</w:t>
            </w:r>
          </w:p>
        </w:tc>
        <w:tc>
          <w:tcPr>
            <w:tcW w:w="1700" w:type="dxa"/>
            <w:vAlign w:val="bottom"/>
            <w:gridSpan w:val="2"/>
            <w:vMerge w:val="restart"/>
          </w:tcPr>
          <w:p>
            <w:pPr>
              <w:jc w:val="center"/>
              <w:ind w:right="700"/>
              <w:spacing w:after="0"/>
              <w:rPr>
                <w:sz w:val="20"/>
                <w:szCs w:val="20"/>
                <w:color w:val="auto"/>
              </w:rPr>
            </w:pPr>
            <w:r>
              <w:rPr>
                <w:rFonts w:ascii="Times New Roman" w:cs="Times New Roman" w:eastAsia="Times New Roman" w:hAnsi="Times New Roman"/>
                <w:sz w:val="14"/>
                <w:szCs w:val="14"/>
                <w:color w:val="auto"/>
              </w:rPr>
              <w:t>Amount of</w:t>
            </w:r>
          </w:p>
        </w:tc>
        <w:tc>
          <w:tcPr>
            <w:tcW w:w="170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rPr>
              <w:t>Principal amount</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70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color w:val="auto"/>
              </w:rPr>
              <w:t>of this Global</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Signature of</w:t>
            </w:r>
          </w:p>
        </w:tc>
        <w:tc>
          <w:tcPr>
            <w:tcW w:w="0" w:type="dxa"/>
            <w:vAlign w:val="bottom"/>
          </w:tcPr>
          <w:p>
            <w:pPr>
              <w:spacing w:after="0"/>
              <w:rPr>
                <w:sz w:val="1"/>
                <w:szCs w:val="1"/>
                <w:color w:val="auto"/>
              </w:rPr>
            </w:pPr>
          </w:p>
        </w:tc>
      </w:tr>
      <w:tr>
        <w:trPr>
          <w:trHeight w:val="148"/>
        </w:trPr>
        <w:tc>
          <w:tcPr>
            <w:tcW w:w="17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70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color w:val="auto"/>
              </w:rPr>
              <w:t>decrease in</w:t>
            </w:r>
          </w:p>
        </w:tc>
        <w:tc>
          <w:tcPr>
            <w:tcW w:w="1700" w:type="dxa"/>
            <w:vAlign w:val="bottom"/>
            <w:gridSpan w:val="2"/>
          </w:tcPr>
          <w:p>
            <w:pPr>
              <w:jc w:val="center"/>
              <w:ind w:right="720"/>
              <w:spacing w:after="0" w:line="149" w:lineRule="exact"/>
              <w:rPr>
                <w:sz w:val="20"/>
                <w:szCs w:val="20"/>
                <w:color w:val="auto"/>
              </w:rPr>
            </w:pPr>
            <w:r>
              <w:rPr>
                <w:rFonts w:ascii="Times New Roman" w:cs="Times New Roman" w:eastAsia="Times New Roman" w:hAnsi="Times New Roman"/>
                <w:sz w:val="14"/>
                <w:szCs w:val="14"/>
                <w:color w:val="auto"/>
              </w:rPr>
              <w:t>increase in</w:t>
            </w:r>
          </w:p>
        </w:tc>
        <w:tc>
          <w:tcPr>
            <w:tcW w:w="170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color w:val="auto"/>
              </w:rPr>
              <w:t>Security</w:t>
            </w: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70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color w:val="auto"/>
              </w:rPr>
              <w:t>Principal amount</w:t>
            </w:r>
          </w:p>
        </w:tc>
        <w:tc>
          <w:tcPr>
            <w:tcW w:w="170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color w:val="auto"/>
              </w:rPr>
              <w:t>Principal amount</w:t>
            </w:r>
          </w:p>
        </w:tc>
        <w:tc>
          <w:tcPr>
            <w:tcW w:w="1700" w:type="dxa"/>
            <w:vAlign w:val="bottom"/>
            <w:gridSpan w:val="2"/>
          </w:tcPr>
          <w:p>
            <w:pPr>
              <w:jc w:val="center"/>
              <w:ind w:right="720"/>
              <w:spacing w:after="0" w:line="149" w:lineRule="exact"/>
              <w:rPr>
                <w:sz w:val="20"/>
                <w:szCs w:val="20"/>
                <w:color w:val="auto"/>
              </w:rPr>
            </w:pPr>
            <w:r>
              <w:rPr>
                <w:rFonts w:ascii="Times New Roman" w:cs="Times New Roman" w:eastAsia="Times New Roman" w:hAnsi="Times New Roman"/>
                <w:sz w:val="14"/>
                <w:szCs w:val="14"/>
                <w:color w:val="auto"/>
              </w:rPr>
              <w:t>following such</w:t>
            </w: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authorized officer</w:t>
            </w:r>
          </w:p>
        </w:tc>
        <w:tc>
          <w:tcPr>
            <w:tcW w:w="0" w:type="dxa"/>
            <w:vAlign w:val="bottom"/>
          </w:tcPr>
          <w:p>
            <w:pPr>
              <w:spacing w:after="0"/>
              <w:rPr>
                <w:sz w:val="1"/>
                <w:szCs w:val="1"/>
                <w:color w:val="auto"/>
              </w:rPr>
            </w:pPr>
          </w:p>
        </w:tc>
      </w:tr>
      <w:tr>
        <w:trPr>
          <w:trHeight w:val="149"/>
        </w:trPr>
        <w:tc>
          <w:tcPr>
            <w:tcW w:w="17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Date of Exchange or Transfer</w:t>
            </w:r>
          </w:p>
        </w:tc>
        <w:tc>
          <w:tcPr>
            <w:tcW w:w="2280" w:type="dxa"/>
            <w:vAlign w:val="bottom"/>
          </w:tcPr>
          <w:p>
            <w:pPr>
              <w:spacing w:after="0"/>
              <w:rPr>
                <w:sz w:val="12"/>
                <w:szCs w:val="12"/>
                <w:color w:val="auto"/>
              </w:rPr>
            </w:pPr>
          </w:p>
        </w:tc>
        <w:tc>
          <w:tcPr>
            <w:tcW w:w="170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color w:val="auto"/>
              </w:rPr>
              <w:t>of this Global</w:t>
            </w:r>
          </w:p>
        </w:tc>
        <w:tc>
          <w:tcPr>
            <w:tcW w:w="170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color w:val="auto"/>
              </w:rPr>
              <w:t>of this Global</w:t>
            </w:r>
          </w:p>
        </w:tc>
        <w:tc>
          <w:tcPr>
            <w:tcW w:w="170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color w:val="auto"/>
              </w:rPr>
              <w:t>decrease or</w:t>
            </w: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of Trustee or</w:t>
            </w:r>
          </w:p>
        </w:tc>
        <w:tc>
          <w:tcPr>
            <w:tcW w:w="0" w:type="dxa"/>
            <w:vAlign w:val="bottom"/>
          </w:tcPr>
          <w:p>
            <w:pPr>
              <w:spacing w:after="0"/>
              <w:rPr>
                <w:sz w:val="1"/>
                <w:szCs w:val="1"/>
                <w:color w:val="auto"/>
              </w:rPr>
            </w:pPr>
          </w:p>
        </w:tc>
      </w:tr>
      <w:tr>
        <w:trPr>
          <w:trHeight w:val="165"/>
        </w:trPr>
        <w:tc>
          <w:tcPr>
            <w:tcW w:w="1720" w:type="dxa"/>
            <w:vAlign w:val="bottom"/>
            <w:vMerge w:val="continue"/>
          </w:tcPr>
          <w:p>
            <w:pPr>
              <w:spacing w:after="0"/>
              <w:rPr>
                <w:sz w:val="14"/>
                <w:szCs w:val="14"/>
                <w:color w:val="auto"/>
              </w:rPr>
            </w:pPr>
          </w:p>
        </w:tc>
        <w:tc>
          <w:tcPr>
            <w:tcW w:w="2280" w:type="dxa"/>
            <w:vAlign w:val="bottom"/>
          </w:tcPr>
          <w:p>
            <w:pPr>
              <w:spacing w:after="0"/>
              <w:rPr>
                <w:sz w:val="14"/>
                <w:szCs w:val="14"/>
                <w:color w:val="auto"/>
              </w:rPr>
            </w:pPr>
          </w:p>
        </w:tc>
        <w:tc>
          <w:tcPr>
            <w:tcW w:w="1700" w:type="dxa"/>
            <w:vAlign w:val="bottom"/>
            <w:gridSpan w:val="2"/>
          </w:tcPr>
          <w:p>
            <w:pPr>
              <w:jc w:val="center"/>
              <w:ind w:right="700"/>
              <w:spacing w:after="0" w:line="158" w:lineRule="exact"/>
              <w:rPr>
                <w:sz w:val="20"/>
                <w:szCs w:val="20"/>
                <w:color w:val="auto"/>
              </w:rPr>
            </w:pPr>
            <w:r>
              <w:rPr>
                <w:rFonts w:ascii="Times New Roman" w:cs="Times New Roman" w:eastAsia="Times New Roman" w:hAnsi="Times New Roman"/>
                <w:sz w:val="14"/>
                <w:szCs w:val="14"/>
                <w:color w:val="auto"/>
              </w:rPr>
              <w:t>Security</w:t>
            </w:r>
          </w:p>
        </w:tc>
        <w:tc>
          <w:tcPr>
            <w:tcW w:w="1700" w:type="dxa"/>
            <w:vAlign w:val="bottom"/>
            <w:gridSpan w:val="2"/>
          </w:tcPr>
          <w:p>
            <w:pPr>
              <w:jc w:val="center"/>
              <w:ind w:right="700"/>
              <w:spacing w:after="0" w:line="158" w:lineRule="exact"/>
              <w:rPr>
                <w:sz w:val="20"/>
                <w:szCs w:val="20"/>
                <w:color w:val="auto"/>
              </w:rPr>
            </w:pPr>
            <w:r>
              <w:rPr>
                <w:rFonts w:ascii="Times New Roman" w:cs="Times New Roman" w:eastAsia="Times New Roman" w:hAnsi="Times New Roman"/>
                <w:sz w:val="14"/>
                <w:szCs w:val="14"/>
                <w:color w:val="auto"/>
              </w:rPr>
              <w:t>Security</w:t>
            </w:r>
          </w:p>
        </w:tc>
        <w:tc>
          <w:tcPr>
            <w:tcW w:w="1700" w:type="dxa"/>
            <w:vAlign w:val="bottom"/>
            <w:gridSpan w:val="2"/>
          </w:tcPr>
          <w:p>
            <w:pPr>
              <w:jc w:val="center"/>
              <w:ind w:right="700"/>
              <w:spacing w:after="0" w:line="158" w:lineRule="exact"/>
              <w:rPr>
                <w:sz w:val="20"/>
                <w:szCs w:val="20"/>
                <w:color w:val="auto"/>
              </w:rPr>
            </w:pPr>
            <w:r>
              <w:rPr>
                <w:rFonts w:ascii="Times New Roman" w:cs="Times New Roman" w:eastAsia="Times New Roman" w:hAnsi="Times New Roman"/>
                <w:sz w:val="14"/>
                <w:szCs w:val="14"/>
                <w:color w:val="auto"/>
              </w:rPr>
              <w:t>increase</w:t>
            </w:r>
          </w:p>
        </w:tc>
        <w:tc>
          <w:tcPr>
            <w:tcW w:w="102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color w:val="auto"/>
              </w:rPr>
              <w:t>Custodian</w:t>
            </w:r>
          </w:p>
        </w:tc>
        <w:tc>
          <w:tcPr>
            <w:tcW w:w="0" w:type="dxa"/>
            <w:vAlign w:val="bottom"/>
          </w:tcPr>
          <w:p>
            <w:pPr>
              <w:spacing w:after="0"/>
              <w:rPr>
                <w:sz w:val="1"/>
                <w:szCs w:val="1"/>
                <w:color w:val="auto"/>
              </w:rPr>
            </w:pPr>
          </w:p>
        </w:tc>
      </w:tr>
      <w:tr>
        <w:trPr>
          <w:trHeight w:val="135"/>
        </w:trPr>
        <w:tc>
          <w:tcPr>
            <w:tcW w:w="1720" w:type="dxa"/>
            <w:vAlign w:val="bottom"/>
            <w:tcBorders>
              <w:top w:val="single" w:sz="8" w:color="auto"/>
            </w:tcBorders>
            <w:shd w:val="clear" w:color="auto" w:fill="CCEEFF"/>
          </w:tcPr>
          <w:p>
            <w:pPr>
              <w:spacing w:after="0"/>
              <w:rPr>
                <w:sz w:val="11"/>
                <w:szCs w:val="11"/>
                <w:color w:val="auto"/>
              </w:rPr>
            </w:pPr>
          </w:p>
        </w:tc>
        <w:tc>
          <w:tcPr>
            <w:tcW w:w="228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2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2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0320"/>
          </w:cols>
          <w:pgMar w:left="880" w:top="270" w:right="69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2802890</wp:posOffset>
            </wp:positionH>
            <wp:positionV relativeFrom="paragraph">
              <wp:posOffset>19685</wp:posOffset>
            </wp:positionV>
            <wp:extent cx="1397000" cy="4889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5">
                      <a:extLst>
                        <a:ext uri="{28A0092B-C50C-407E-A947-70E740481C1C}"/>
                      </a:extLst>
                    </a:blip>
                    <a:srcRect/>
                    <a:stretch>
                      <a:fillRect/>
                    </a:stretch>
                  </pic:blipFill>
                  <pic:spPr bwMode="auto">
                    <a:xfrm>
                      <a:off x="0" y="0"/>
                      <a:ext cx="139700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July 29, 2022</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One Comcast Center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Philadelphia, Pennsylvania 19103-2838</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Comcast Corporation, a Pennsylvania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is filing with the Securities and Exchange Commission a Registration</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Statement on Form S-3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for the purpose of registering under the Securities Act of 1933, as amended (the “</w:t>
      </w:r>
      <w:r>
        <w:rPr>
          <w:rFonts w:ascii="Times New Roman" w:cs="Times New Roman" w:eastAsia="Times New Roman" w:hAnsi="Times New Roman"/>
          <w:sz w:val="18"/>
          <w:szCs w:val="18"/>
          <w:b w:val="1"/>
          <w:bCs w:val="1"/>
          <w:color w:val="auto"/>
        </w:rPr>
        <w:t>Securities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the offer and sale of (i) shares of the Company’s Class A Common Stock, par value $0.01 per share (the “</w:t>
      </w:r>
      <w:r>
        <w:rPr>
          <w:rFonts w:ascii="Times New Roman" w:cs="Times New Roman" w:eastAsia="Times New Roman" w:hAnsi="Times New Roman"/>
          <w:sz w:val="18"/>
          <w:szCs w:val="18"/>
          <w:b w:val="1"/>
          <w:bCs w:val="1"/>
          <w:color w:val="auto"/>
        </w:rPr>
        <w:t>Class A Common Stock</w:t>
      </w:r>
      <w:r>
        <w:rPr>
          <w:rFonts w:ascii="Times New Roman" w:cs="Times New Roman" w:eastAsia="Times New Roman" w:hAnsi="Times New Roman"/>
          <w:sz w:val="18"/>
          <w:szCs w:val="18"/>
          <w:color w:val="auto"/>
        </w:rPr>
        <w:t>”); (ii) shares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of the Company’s preferred stock, without par value (the “</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(iii) the Company’s senior debt securities (the “</w:t>
      </w:r>
      <w:r>
        <w:rPr>
          <w:rFonts w:ascii="Times New Roman" w:cs="Times New Roman" w:eastAsia="Times New Roman" w:hAnsi="Times New Roman"/>
          <w:sz w:val="18"/>
          <w:szCs w:val="18"/>
          <w:b w:val="1"/>
          <w:bCs w:val="1"/>
          <w:color w:val="auto"/>
        </w:rPr>
        <w:t>Debt Securities</w:t>
      </w:r>
      <w:r>
        <w:rPr>
          <w:rFonts w:ascii="Times New Roman" w:cs="Times New Roman" w:eastAsia="Times New Roman" w:hAnsi="Times New Roman"/>
          <w:sz w:val="18"/>
          <w:szCs w:val="18"/>
          <w:color w:val="auto"/>
        </w:rPr>
        <w:t>”), which</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may be fully and unconditionally guaranteed by each of NBCUniversal Media, LLC and Comcast Cable Communications, LLC (together,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Guarantors</w:t>
      </w:r>
      <w:r>
        <w:rPr>
          <w:rFonts w:ascii="Times New Roman" w:cs="Times New Roman" w:eastAsia="Times New Roman" w:hAnsi="Times New Roman"/>
          <w:sz w:val="18"/>
          <w:szCs w:val="18"/>
          <w:color w:val="auto"/>
        </w:rPr>
        <w:t>”); (iv) warrants (the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which may be issued pursuant to a warrant agreement (the “</w:t>
      </w:r>
      <w:r>
        <w:rPr>
          <w:rFonts w:ascii="Times New Roman" w:cs="Times New Roman" w:eastAsia="Times New Roman" w:hAnsi="Times New Roman"/>
          <w:sz w:val="18"/>
          <w:szCs w:val="18"/>
          <w:b w:val="1"/>
          <w:bCs w:val="1"/>
          <w:color w:val="auto"/>
        </w:rPr>
        <w:t>Warrant Agreement</w:t>
      </w:r>
      <w:r>
        <w:rPr>
          <w:rFonts w:ascii="Times New Roman" w:cs="Times New Roman" w:eastAsia="Times New Roman" w:hAnsi="Times New Roman"/>
          <w:sz w:val="18"/>
          <w:szCs w:val="18"/>
          <w:color w:val="auto"/>
        </w:rPr>
        <w:t>”) between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Company and the warrant agent to be named therein; (v) purchase contracts (the “</w:t>
      </w:r>
      <w:r>
        <w:rPr>
          <w:rFonts w:ascii="Times New Roman" w:cs="Times New Roman" w:eastAsia="Times New Roman" w:hAnsi="Times New Roman"/>
          <w:sz w:val="18"/>
          <w:szCs w:val="18"/>
          <w:b w:val="1"/>
          <w:bCs w:val="1"/>
          <w:color w:val="auto"/>
        </w:rPr>
        <w:t>Purchase Contracts</w:t>
      </w:r>
      <w:r>
        <w:rPr>
          <w:rFonts w:ascii="Times New Roman" w:cs="Times New Roman" w:eastAsia="Times New Roman" w:hAnsi="Times New Roman"/>
          <w:sz w:val="18"/>
          <w:szCs w:val="18"/>
          <w:color w:val="auto"/>
        </w:rPr>
        <w:t>”) which may be issued under one or more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purchase contract agreements (each, a “</w:t>
      </w:r>
      <w:r>
        <w:rPr>
          <w:rFonts w:ascii="Times New Roman" w:cs="Times New Roman" w:eastAsia="Times New Roman" w:hAnsi="Times New Roman"/>
          <w:sz w:val="18"/>
          <w:szCs w:val="18"/>
          <w:b w:val="1"/>
          <w:bCs w:val="1"/>
          <w:color w:val="auto"/>
        </w:rPr>
        <w:t>Purchase Contract Agreement</w:t>
      </w:r>
      <w:r>
        <w:rPr>
          <w:rFonts w:ascii="Times New Roman" w:cs="Times New Roman" w:eastAsia="Times New Roman" w:hAnsi="Times New Roman"/>
          <w:sz w:val="18"/>
          <w:szCs w:val="18"/>
          <w:color w:val="auto"/>
        </w:rPr>
        <w:t>”) to be entered into between the Company and the purchase contract agent to be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named therein (the “</w:t>
      </w:r>
      <w:r>
        <w:rPr>
          <w:rFonts w:ascii="Times New Roman" w:cs="Times New Roman" w:eastAsia="Times New Roman" w:hAnsi="Times New Roman"/>
          <w:sz w:val="18"/>
          <w:szCs w:val="18"/>
          <w:b w:val="1"/>
          <w:bCs w:val="1"/>
          <w:color w:val="auto"/>
        </w:rPr>
        <w:t>Purchase Contract Agent</w:t>
      </w:r>
      <w:r>
        <w:rPr>
          <w:rFonts w:ascii="Times New Roman" w:cs="Times New Roman" w:eastAsia="Times New Roman" w:hAnsi="Times New Roman"/>
          <w:sz w:val="18"/>
          <w:szCs w:val="18"/>
          <w:color w:val="auto"/>
        </w:rPr>
        <w:t>”) requiring the holders thereof to purchase or sell (A) the Company’s securities or securities of an entity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unaffiliated or affiliated with the Company, a basket of such securities, an index or indices of such securities or any combination of the above,</w:t>
      </w:r>
    </w:p>
    <w:p>
      <w:pPr>
        <w:spacing w:after="0" w:line="9" w:lineRule="exact"/>
        <w:rPr>
          <w:sz w:val="20"/>
          <w:szCs w:val="20"/>
          <w:color w:val="auto"/>
        </w:rPr>
      </w:pPr>
    </w:p>
    <w:p>
      <w:pPr>
        <w:ind w:left="4" w:right="60" w:hanging="4"/>
        <w:spacing w:after="0" w:line="251" w:lineRule="auto"/>
        <w:tabs>
          <w:tab w:leader="none" w:pos="28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currencies or composite currencies or (C) commodities; (vi) units (the “</w:t>
      </w:r>
      <w:r>
        <w:rPr>
          <w:rFonts w:ascii="Times New Roman" w:cs="Times New Roman" w:eastAsia="Times New Roman" w:hAnsi="Times New Roman"/>
          <w:sz w:val="18"/>
          <w:szCs w:val="18"/>
          <w:b w:val="1"/>
          <w:bCs w:val="1"/>
          <w:color w:val="auto"/>
        </w:rPr>
        <w:t>Units</w:t>
      </w:r>
      <w:r>
        <w:rPr>
          <w:rFonts w:ascii="Times New Roman" w:cs="Times New Roman" w:eastAsia="Times New Roman" w:hAnsi="Times New Roman"/>
          <w:sz w:val="18"/>
          <w:szCs w:val="18"/>
          <w:color w:val="auto"/>
        </w:rPr>
        <w:t>”) consisting of Debt Securities, Warrants, Purchase Contracts, Preferred Stock or Class A Common Stock or any combination of the foregoing to be issued under one or more unit agreements to be entered into among the Company, a bank or trust company, as unit agent (the “</w:t>
      </w:r>
      <w:r>
        <w:rPr>
          <w:rFonts w:ascii="Times New Roman" w:cs="Times New Roman" w:eastAsia="Times New Roman" w:hAnsi="Times New Roman"/>
          <w:sz w:val="18"/>
          <w:szCs w:val="18"/>
          <w:b w:val="1"/>
          <w:bCs w:val="1"/>
          <w:color w:val="auto"/>
        </w:rPr>
        <w:t>Unit Agent</w:t>
      </w:r>
      <w:r>
        <w:rPr>
          <w:rFonts w:ascii="Times New Roman" w:cs="Times New Roman" w:eastAsia="Times New Roman" w:hAnsi="Times New Roman"/>
          <w:sz w:val="18"/>
          <w:szCs w:val="18"/>
          <w:color w:val="auto"/>
        </w:rPr>
        <w:t>”), and the holders from time to time of the Units (each such unit agreement, a “</w:t>
      </w:r>
      <w:r>
        <w:rPr>
          <w:rFonts w:ascii="Times New Roman" w:cs="Times New Roman" w:eastAsia="Times New Roman" w:hAnsi="Times New Roman"/>
          <w:sz w:val="18"/>
          <w:szCs w:val="18"/>
          <w:b w:val="1"/>
          <w:bCs w:val="1"/>
          <w:color w:val="auto"/>
        </w:rPr>
        <w:t>Unit Agreement</w:t>
      </w:r>
      <w:r>
        <w:rPr>
          <w:rFonts w:ascii="Times New Roman" w:cs="Times New Roman" w:eastAsia="Times New Roman" w:hAnsi="Times New Roman"/>
          <w:sz w:val="18"/>
          <w:szCs w:val="18"/>
          <w:color w:val="auto"/>
        </w:rPr>
        <w:t>”); (vii) guarantees (the “</w:t>
      </w:r>
      <w:r>
        <w:rPr>
          <w:rFonts w:ascii="Times New Roman" w:cs="Times New Roman" w:eastAsia="Times New Roman" w:hAnsi="Times New Roman"/>
          <w:sz w:val="18"/>
          <w:szCs w:val="18"/>
          <w:b w:val="1"/>
          <w:bCs w:val="1"/>
          <w:color w:val="auto"/>
        </w:rPr>
        <w:t>Guarantees</w:t>
      </w:r>
      <w:r>
        <w:rPr>
          <w:rFonts w:ascii="Times New Roman" w:cs="Times New Roman" w:eastAsia="Times New Roman" w:hAnsi="Times New Roman"/>
          <w:sz w:val="18"/>
          <w:szCs w:val="18"/>
          <w:color w:val="auto"/>
        </w:rPr>
        <w:t>”) of the Debt Securities by the Guarantors; and (viii) guarantees (the “</w:t>
      </w:r>
      <w:r>
        <w:rPr>
          <w:rFonts w:ascii="Times New Roman" w:cs="Times New Roman" w:eastAsia="Times New Roman" w:hAnsi="Times New Roman"/>
          <w:sz w:val="18"/>
          <w:szCs w:val="18"/>
          <w:b w:val="1"/>
          <w:bCs w:val="1"/>
          <w:color w:val="auto"/>
        </w:rPr>
        <w:t>Additional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Guarantees</w:t>
      </w:r>
      <w:r>
        <w:rPr>
          <w:rFonts w:ascii="Times New Roman" w:cs="Times New Roman" w:eastAsia="Times New Roman" w:hAnsi="Times New Roman"/>
          <w:sz w:val="18"/>
          <w:szCs w:val="18"/>
          <w:color w:val="auto"/>
        </w:rPr>
        <w:t>”) of Warrants, Purchase Contracts and Units or any combination of the foregoing by the Guarantors to be issued under one or more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guarantee agreements (each, a “</w:t>
      </w:r>
      <w:r>
        <w:rPr>
          <w:rFonts w:ascii="Times New Roman" w:cs="Times New Roman" w:eastAsia="Times New Roman" w:hAnsi="Times New Roman"/>
          <w:sz w:val="18"/>
          <w:szCs w:val="18"/>
          <w:b w:val="1"/>
          <w:bCs w:val="1"/>
          <w:color w:val="auto"/>
        </w:rPr>
        <w:t>Guarantee Agreement</w:t>
      </w:r>
      <w:r>
        <w:rPr>
          <w:rFonts w:ascii="Times New Roman" w:cs="Times New Roman" w:eastAsia="Times New Roman" w:hAnsi="Times New Roman"/>
          <w:sz w:val="18"/>
          <w:szCs w:val="18"/>
          <w:color w:val="auto"/>
        </w:rPr>
        <w:t>”) to be entered into by the Guarantors. The Debt Securities, Preferred Stock, Class A Common Stock, Warrants, Purchase Contracts, Units, Guarantees and Additional Guarantees are herein collectively referred to as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The Debt Securities and the Preferred Stock may be convertible and/or exchangeable for Securities or other securities or rights. The Debt Securities are to be issued pursuant to an indenture dated September 18, 2013, (the “</w:t>
      </w:r>
      <w:r>
        <w:rPr>
          <w:rFonts w:ascii="Times New Roman" w:cs="Times New Roman" w:eastAsia="Times New Roman" w:hAnsi="Times New Roman"/>
          <w:sz w:val="18"/>
          <w:szCs w:val="18"/>
          <w:b w:val="1"/>
          <w:bCs w:val="1"/>
          <w:color w:val="auto"/>
        </w:rPr>
        <w:t>Base Indenture</w:t>
      </w:r>
      <w:r>
        <w:rPr>
          <w:rFonts w:ascii="Times New Roman" w:cs="Times New Roman" w:eastAsia="Times New Roman" w:hAnsi="Times New Roman"/>
          <w:sz w:val="18"/>
          <w:szCs w:val="18"/>
          <w:color w:val="auto"/>
        </w:rPr>
        <w:t>”) by and among the Company, the guarantors named therein and The Bank of New York Mellon,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as supplemented by the First Supplemental Indenture dated as of November 17, 2015 (the “</w:t>
      </w:r>
      <w:r>
        <w:rPr>
          <w:rFonts w:ascii="Times New Roman" w:cs="Times New Roman" w:eastAsia="Times New Roman" w:hAnsi="Times New Roman"/>
          <w:sz w:val="18"/>
          <w:szCs w:val="18"/>
          <w:b w:val="1"/>
          <w:bCs w:val="1"/>
          <w:color w:val="auto"/>
        </w:rPr>
        <w:t>First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Supplemental Indenture</w:t>
      </w:r>
      <w:r>
        <w:rPr>
          <w:rFonts w:ascii="Times New Roman" w:cs="Times New Roman" w:eastAsia="Times New Roman" w:hAnsi="Times New Roman"/>
          <w:sz w:val="18"/>
          <w:szCs w:val="18"/>
          <w:color w:val="auto"/>
        </w:rPr>
        <w:t>”) and by the Second Supplemental Indenture dated as of July 29, 2022 (the “</w:t>
      </w:r>
      <w:r>
        <w:rPr>
          <w:rFonts w:ascii="Times New Roman" w:cs="Times New Roman" w:eastAsia="Times New Roman" w:hAnsi="Times New Roman"/>
          <w:sz w:val="18"/>
          <w:szCs w:val="18"/>
          <w:b w:val="1"/>
          <w:bCs w:val="1"/>
          <w:color w:val="auto"/>
        </w:rPr>
        <w:t>Second Supplemental Indenture</w:t>
      </w:r>
      <w:r>
        <w:rPr>
          <w:rFonts w:ascii="Times New Roman" w:cs="Times New Roman" w:eastAsia="Times New Roman" w:hAnsi="Times New Roman"/>
          <w:sz w:val="18"/>
          <w:szCs w:val="18"/>
          <w:color w:val="auto"/>
        </w:rPr>
        <w:t>” and, together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w:t>
      </w:r>
    </w:p>
    <w:p>
      <w:pPr>
        <w:sectPr>
          <w:pgSz w:w="11900" w:h="16838" w:orient="portrait"/>
          <w:cols w:equalWidth="0" w:num="1">
            <w:col w:w="11024"/>
          </w:cols>
          <w:pgMar w:left="436" w:top="117" w:right="439" w:bottom="1440" w:gutter="0" w:footer="0" w:header="0"/>
        </w:sectPr>
      </w:pPr>
    </w:p>
    <w:bookmarkStart w:id="83" w:name="page84"/>
    <w:bookmarkEnd w:id="83"/>
    <w:p>
      <w:pPr>
        <w:ind w:right="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Base Indenture and the First Supplemental Indenture,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among the Company, the guarantors named therein, and the Trustee, as may be further amended and supplemented from time to time. The Company may offer Depositary Shares (the “</w:t>
      </w:r>
      <w:r>
        <w:rPr>
          <w:rFonts w:ascii="Times New Roman" w:cs="Times New Roman" w:eastAsia="Times New Roman" w:hAnsi="Times New Roman"/>
          <w:sz w:val="18"/>
          <w:szCs w:val="18"/>
          <w:b w:val="1"/>
          <w:bCs w:val="1"/>
          <w:color w:val="auto"/>
        </w:rPr>
        <w:t>Depositary Shares</w:t>
      </w:r>
      <w:r>
        <w:rPr>
          <w:rFonts w:ascii="Times New Roman" w:cs="Times New Roman" w:eastAsia="Times New Roman" w:hAnsi="Times New Roman"/>
          <w:sz w:val="18"/>
          <w:szCs w:val="18"/>
          <w:color w:val="auto"/>
        </w:rPr>
        <w:t>”) representing interests in Preferred Stock deposited with a Depositary and evidenced by Depositary Receipts, and such Depositary Shares are also covered by the Registration Statement.</w:t>
      </w:r>
    </w:p>
    <w:p>
      <w:pPr>
        <w:spacing w:after="0" w:line="180"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I have examined originals or copies, certified or otherwise identified to my satisfaction, of such documents, corporate records, certificates of public officials and other instruments as I have deemed necessary or advisable for the purpose of rendering this opinion.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Based upon the foregoing, I advise you that, in my opinion:</w:t>
      </w:r>
    </w:p>
    <w:p>
      <w:pPr>
        <w:spacing w:after="0" w:line="117" w:lineRule="exact"/>
        <w:rPr>
          <w:sz w:val="20"/>
          <w:szCs w:val="20"/>
          <w:color w:val="auto"/>
        </w:rPr>
      </w:pPr>
    </w:p>
    <w:p>
      <w:pPr>
        <w:ind w:firstLine="436"/>
        <w:spacing w:after="0" w:line="255" w:lineRule="auto"/>
        <w:tabs>
          <w:tab w:leader="none" w:pos="6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necessary corporate action on the part of the Company has been taken to authorize the issuance and sale of such shares of Class A Common Stock proposed to be sold by the Company, and when such shares of Class A Common Stock are issued and delivered in accordance with the applicable underwriting or other agreement against payment therefor (in an amount not less than the par value thereof) or upon conversion or exercise of any security offered under the Registration Statement (the “</w:t>
      </w:r>
      <w:r>
        <w:rPr>
          <w:rFonts w:ascii="Times New Roman" w:cs="Times New Roman" w:eastAsia="Times New Roman" w:hAnsi="Times New Roman"/>
          <w:sz w:val="18"/>
          <w:szCs w:val="18"/>
          <w:b w:val="1"/>
          <w:bCs w:val="1"/>
          <w:color w:val="auto"/>
        </w:rPr>
        <w:t>Offered Security</w:t>
      </w:r>
      <w:r>
        <w:rPr>
          <w:rFonts w:ascii="Times New Roman" w:cs="Times New Roman" w:eastAsia="Times New Roman" w:hAnsi="Times New Roman"/>
          <w:sz w:val="18"/>
          <w:szCs w:val="18"/>
          <w:color w:val="auto"/>
        </w:rPr>
        <w:t>”), in accordance with the terms of such Offered Security or the instrument governing such Offered Security providing for such conversion or exercise as approved by the Board of Directors, for the consideration approved by the Board of Directors (which consideration is not less than the par value of the Class A Common Stock), such shares of Class A Common Stock will be validly issued, fully-paid and non-assessable.</w:t>
      </w:r>
    </w:p>
    <w:p>
      <w:pPr>
        <w:spacing w:after="0" w:line="80" w:lineRule="exact"/>
        <w:rPr>
          <w:rFonts w:ascii="Times New Roman" w:cs="Times New Roman" w:eastAsia="Times New Roman" w:hAnsi="Times New Roman"/>
          <w:sz w:val="18"/>
          <w:szCs w:val="18"/>
          <w:color w:val="auto"/>
        </w:rPr>
      </w:pPr>
    </w:p>
    <w:p>
      <w:pPr>
        <w:ind w:right="140" w:firstLine="436"/>
        <w:spacing w:after="0" w:line="256" w:lineRule="auto"/>
        <w:tabs>
          <w:tab w:leader="none" w:pos="6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designation of the relative rights, preferences and limitations of any series of Preferred Stock by the Board of Directors of the Company and proper filing with the Secretary of State of the Commonwealth of Pennsylvania of a Certificate of Designations relating to such series of Preferred Stock, all necessary corporate action on the part of the Company will have been taken to authorize the issuance and sale of such series of Preferred Stock proposed to be sold by the Company, and when such shares of Preferred Stock are issued and delivered in accordance with the applicable underwriting or other agreement against payment therefor or upon conversion in accordance with the terms of any other Security that has been duly authorized, issued, paid for and delivered, such shares of Preferred Stock will be validly issued, fully paid and non-assessable.</w:t>
      </w:r>
    </w:p>
    <w:p>
      <w:pPr>
        <w:spacing w:after="0" w:line="79" w:lineRule="exact"/>
        <w:rPr>
          <w:rFonts w:ascii="Times New Roman" w:cs="Times New Roman" w:eastAsia="Times New Roman" w:hAnsi="Times New Roman"/>
          <w:sz w:val="18"/>
          <w:szCs w:val="18"/>
          <w:color w:val="auto"/>
        </w:rPr>
      </w:pPr>
    </w:p>
    <w:p>
      <w:pPr>
        <w:ind w:right="280" w:firstLine="436"/>
        <w:spacing w:after="0" w:line="266" w:lineRule="auto"/>
        <w:tabs>
          <w:tab w:leader="none" w:pos="6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Depositary Shares evidenced by Depositary Receipts are issued and delivered in accordance with the terms of a Deposit Agreement against the deposit of duly authorized, validly issued, fully paid and non-assessable shares of Preferred Stock, such Depositary Shares will entitle the holders thereof to the rights specified in the Deposit Agreement.</w:t>
      </w:r>
    </w:p>
    <w:p>
      <w:pPr>
        <w:spacing w:after="0" w:line="67"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Indenture has been duly authorized, executed and delivered by the Company.</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66" w:right="479" w:bottom="1440" w:gutter="0" w:footer="0" w:header="0"/>
        </w:sectPr>
      </w:pPr>
    </w:p>
    <w:bookmarkStart w:id="84" w:name="page85"/>
    <w:bookmarkEnd w:id="84"/>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connection with my opinions expressed above, I have assumed that, at or prior to the time of the delivery of any such Security, (i) the Board of Directors shall have duly established the terms of such Security; (ii) the Company is, and shall remain, validly subsisting as a corporation in good standing under the laws of the Commonwealth of Pennsylvania; (iii) the Registration Statement shall have become effective and such effectiveness shall not have been terminated or rescinded; (iv) the Indentures and the Debt Securities are each valid, binding and enforceable agreements of each party thereto (other than as expressly covered above in respect of the Company); and (v) there shall not have occurred any change in law affecting the validity or enforceability of such Security. I have also assumed that none of the terms of any Security to be established subsequent to the date hereof, nor the issuance and delivery of such Security, nor the compliance by the Company with the terms of such Security will violate any applicable law or public policy or will result in a violation of any provision of any instrument or agreement then binding upon the Company, or any restriction imposed by any court or governmental body having jurisdiction over the Company.</w:t>
      </w:r>
    </w:p>
    <w:p>
      <w:pPr>
        <w:spacing w:after="0" w:line="188"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I am a member of the Bar of the Commonwealth of Pennsylvania and the foregoing opinion is limited to the laws of the Commonwealth of Pennsylvania.</w:t>
      </w:r>
    </w:p>
    <w:p>
      <w:pPr>
        <w:spacing w:after="0" w:line="162"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I hereby consent to the filing of this opinion as an exhibit to the Registration Statement referred to above and further consent to the reference to my name under the caption “Legal Matters” in the prospectus, which is a part of the Registration Statement. In giving this consent, I do not admit that I am in the category of persons whose consent is required under Section 7 of the Securities Act.</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Elizabeth Wideman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Elizabeth Wideman</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Senior Vice President, Senior</w:t>
      </w:r>
    </w:p>
    <w:p>
      <w:pPr>
        <w:spacing w:after="0" w:line="9"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color w:val="auto"/>
        </w:rPr>
        <w:t>Deputy General Counsel and</w:t>
      </w:r>
    </w:p>
    <w:p>
      <w:pPr>
        <w:spacing w:after="0" w:line="9"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8"/>
          <w:szCs w:val="18"/>
          <w:color w:val="auto"/>
        </w:rPr>
        <w:t>Assistant Secretary</w:t>
      </w:r>
    </w:p>
    <w:p>
      <w:pPr>
        <w:spacing w:after="0" w:line="1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40" w:top="270" w:right="49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7"/>
          <w:szCs w:val="17"/>
          <w:b w:val="1"/>
          <w:bCs w:val="1"/>
          <w:color w:val="auto"/>
        </w:rPr>
        <w:t>Exhibit 5.2</w:t>
      </w:r>
    </w:p>
    <w:p>
      <w:pPr>
        <w:sectPr>
          <w:pgSz w:w="11900" w:h="16838" w:orient="portrait"/>
          <w:cols w:equalWidth="0" w:num="1">
            <w:col w:w="11024"/>
          </w:cols>
          <w:pgMar w:left="436" w:top="117" w:right="439" w:bottom="1440" w:gutter="0" w:footer="0" w:header="0"/>
        </w:sectPr>
      </w:pPr>
    </w:p>
    <w:p>
      <w:pPr>
        <w:spacing w:after="0" w:line="268" w:lineRule="exact"/>
        <w:rPr>
          <w:sz w:val="20"/>
          <w:szCs w:val="20"/>
          <w:color w:val="auto"/>
        </w:rPr>
      </w:pPr>
    </w:p>
    <w:p>
      <w:pPr>
        <w:ind w:left="1884"/>
        <w:spacing w:after="0"/>
        <w:rPr>
          <w:sz w:val="20"/>
          <w:szCs w:val="20"/>
          <w:color w:val="auto"/>
        </w:rPr>
      </w:pPr>
      <w:r>
        <w:rPr>
          <w:rFonts w:ascii="Times New Roman" w:cs="Times New Roman" w:eastAsia="Times New Roman" w:hAnsi="Times New Roman"/>
          <w:sz w:val="18"/>
          <w:szCs w:val="18"/>
          <w:color w:val="auto"/>
        </w:rPr>
        <w:t>+1 212 450 4000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891540" cy="1631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9">
                      <a:extLst>
                        <a:ext uri="{28A0092B-C50C-407E-A947-70E740481C1C}"/>
                      </a:extLst>
                    </a:blip>
                    <a:srcRect/>
                    <a:stretch>
                      <a:fillRect/>
                    </a:stretch>
                  </pic:blipFill>
                  <pic:spPr bwMode="auto">
                    <a:xfrm>
                      <a:off x="0" y="0"/>
                      <a:ext cx="891540" cy="163195"/>
                    </a:xfrm>
                    <a:prstGeom prst="rect">
                      <a:avLst/>
                    </a:prstGeom>
                    <a:noFill/>
                  </pic:spPr>
                </pic:pic>
              </a:graphicData>
            </a:graphic>
          </wp:anchor>
        </w:drawing>
      </w:r>
    </w:p>
    <w:p>
      <w:pPr>
        <w:spacing w:after="0" w:line="7" w:lineRule="exact"/>
        <w:rPr>
          <w:sz w:val="20"/>
          <w:szCs w:val="20"/>
          <w:color w:val="auto"/>
        </w:rPr>
      </w:pPr>
    </w:p>
    <w:p>
      <w:pPr>
        <w:ind w:left="1884"/>
        <w:spacing w:after="0"/>
        <w:rPr>
          <w:sz w:val="20"/>
          <w:szCs w:val="20"/>
          <w:color w:val="auto"/>
        </w:rPr>
      </w:pPr>
      <w:r>
        <w:rPr>
          <w:rFonts w:ascii="Times New Roman" w:cs="Times New Roman" w:eastAsia="Times New Roman" w:hAnsi="Times New Roman"/>
          <w:sz w:val="18"/>
          <w:szCs w:val="18"/>
          <w:color w:val="auto"/>
        </w:rPr>
        <w:t>davispolk.com</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Davis Polk &amp; Wardwell </w:t>
      </w:r>
      <w:r>
        <w:rPr>
          <w:rFonts w:ascii="Times New Roman" w:cs="Times New Roman" w:eastAsia="Times New Roman" w:hAnsi="Times New Roman"/>
          <w:sz w:val="13"/>
          <w:szCs w:val="13"/>
          <w:color w:val="auto"/>
        </w:rPr>
        <w:t>LLP</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450 Lexington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200" w:lineRule="exact"/>
        <w:rPr>
          <w:sz w:val="20"/>
          <w:szCs w:val="20"/>
          <w:color w:val="auto"/>
        </w:rPr>
      </w:pPr>
    </w:p>
    <w:p>
      <w:pPr>
        <w:sectPr>
          <w:pgSz w:w="11900" w:h="16838" w:orient="portrait"/>
          <w:cols w:equalWidth="0" w:num="2">
            <w:col w:w="3364" w:space="720"/>
            <w:col w:w="6940"/>
          </w:cols>
          <w:pgMar w:left="436" w:top="117" w:right="439" w:bottom="1440" w:gutter="0" w:footer="0" w:header="0"/>
          <w:type w:val="continuous"/>
        </w:sectPr>
      </w:pPr>
    </w:p>
    <w:p>
      <w:pPr>
        <w:spacing w:after="0" w:line="2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July 29, 2022</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One Comcast Center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Philadelphia, Pennsylvania 19103-2838</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left="4" w:right="40"/>
        <w:spacing w:after="0" w:line="267" w:lineRule="auto"/>
        <w:rPr>
          <w:sz w:val="20"/>
          <w:szCs w:val="20"/>
          <w:color w:val="auto"/>
        </w:rPr>
      </w:pPr>
      <w:r>
        <w:rPr>
          <w:rFonts w:ascii="Times New Roman" w:cs="Times New Roman" w:eastAsia="Times New Roman" w:hAnsi="Times New Roman"/>
          <w:sz w:val="17"/>
          <w:szCs w:val="17"/>
          <w:color w:val="auto"/>
        </w:rPr>
        <w:t>Comcast Corporation, a Pennsylvania corporation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is filing with the Securities and Exchange Commission a Registration Statement on Form S-3 (the “</w:t>
      </w:r>
      <w:r>
        <w:rPr>
          <w:rFonts w:ascii="Times New Roman" w:cs="Times New Roman" w:eastAsia="Times New Roman" w:hAnsi="Times New Roman"/>
          <w:sz w:val="17"/>
          <w:szCs w:val="17"/>
          <w:b w:val="1"/>
          <w:bCs w:val="1"/>
          <w:color w:val="auto"/>
        </w:rPr>
        <w:t>Registration Statement</w:t>
      </w:r>
      <w:r>
        <w:rPr>
          <w:rFonts w:ascii="Times New Roman" w:cs="Times New Roman" w:eastAsia="Times New Roman" w:hAnsi="Times New Roman"/>
          <w:sz w:val="17"/>
          <w:szCs w:val="17"/>
          <w:color w:val="auto"/>
        </w:rPr>
        <w:t>”) for the purpose of registering under the Securities Act of 1933, as amended (the “</w:t>
      </w:r>
      <w:r>
        <w:rPr>
          <w:rFonts w:ascii="Times New Roman" w:cs="Times New Roman" w:eastAsia="Times New Roman" w:hAnsi="Times New Roman"/>
          <w:sz w:val="17"/>
          <w:szCs w:val="17"/>
          <w:b w:val="1"/>
          <w:bCs w:val="1"/>
          <w:color w:val="auto"/>
        </w:rPr>
        <w:t>Securities Act</w:t>
      </w:r>
      <w:r>
        <w:rPr>
          <w:rFonts w:ascii="Times New Roman" w:cs="Times New Roman" w:eastAsia="Times New Roman" w:hAnsi="Times New Roman"/>
          <w:sz w:val="17"/>
          <w:szCs w:val="17"/>
          <w:color w:val="auto"/>
        </w:rPr>
        <w:t>”), (i) shares of the Company’s Class A Common Stock, par value $0.01 per share (the “</w:t>
      </w:r>
      <w:r>
        <w:rPr>
          <w:rFonts w:ascii="Times New Roman" w:cs="Times New Roman" w:eastAsia="Times New Roman" w:hAnsi="Times New Roman"/>
          <w:sz w:val="17"/>
          <w:szCs w:val="17"/>
          <w:b w:val="1"/>
          <w:bCs w:val="1"/>
          <w:color w:val="auto"/>
        </w:rPr>
        <w:t>Class A Common Stock</w:t>
      </w:r>
      <w:r>
        <w:rPr>
          <w:rFonts w:ascii="Times New Roman" w:cs="Times New Roman" w:eastAsia="Times New Roman" w:hAnsi="Times New Roman"/>
          <w:sz w:val="17"/>
          <w:szCs w:val="17"/>
          <w:color w:val="auto"/>
        </w:rPr>
        <w:t>”); (ii) shares of the Company’s preferred stock, without par value (the “</w:t>
      </w:r>
      <w:r>
        <w:rPr>
          <w:rFonts w:ascii="Times New Roman" w:cs="Times New Roman" w:eastAsia="Times New Roman" w:hAnsi="Times New Roman"/>
          <w:sz w:val="17"/>
          <w:szCs w:val="17"/>
          <w:b w:val="1"/>
          <w:bCs w:val="1"/>
          <w:color w:val="auto"/>
        </w:rPr>
        <w:t>Preferred Stock</w:t>
      </w:r>
      <w:r>
        <w:rPr>
          <w:rFonts w:ascii="Times New Roman" w:cs="Times New Roman" w:eastAsia="Times New Roman" w:hAnsi="Times New Roman"/>
          <w:sz w:val="17"/>
          <w:szCs w:val="17"/>
          <w:color w:val="auto"/>
        </w:rPr>
        <w:t>”); (iii) the Company’s senior debt securities (the “</w:t>
      </w:r>
      <w:r>
        <w:rPr>
          <w:rFonts w:ascii="Times New Roman" w:cs="Times New Roman" w:eastAsia="Times New Roman" w:hAnsi="Times New Roman"/>
          <w:sz w:val="17"/>
          <w:szCs w:val="17"/>
          <w:b w:val="1"/>
          <w:bCs w:val="1"/>
          <w:color w:val="auto"/>
        </w:rPr>
        <w:t>Debt Securities</w:t>
      </w:r>
      <w:r>
        <w:rPr>
          <w:rFonts w:ascii="Times New Roman" w:cs="Times New Roman" w:eastAsia="Times New Roman" w:hAnsi="Times New Roman"/>
          <w:sz w:val="17"/>
          <w:szCs w:val="17"/>
          <w:color w:val="auto"/>
        </w:rPr>
        <w:t>”), which may be fully and unconditionally guaranteed by each of NBCUniversal Media, LLC and Comcast Cable Communications, LLC (together, the “</w:t>
      </w:r>
      <w:r>
        <w:rPr>
          <w:rFonts w:ascii="Times New Roman" w:cs="Times New Roman" w:eastAsia="Times New Roman" w:hAnsi="Times New Roman"/>
          <w:sz w:val="17"/>
          <w:szCs w:val="17"/>
          <w:b w:val="1"/>
          <w:bCs w:val="1"/>
          <w:color w:val="auto"/>
        </w:rPr>
        <w:t>Guarantors</w:t>
      </w:r>
      <w:r>
        <w:rPr>
          <w:rFonts w:ascii="Times New Roman" w:cs="Times New Roman" w:eastAsia="Times New Roman" w:hAnsi="Times New Roman"/>
          <w:sz w:val="17"/>
          <w:szCs w:val="17"/>
          <w:color w:val="auto"/>
        </w:rPr>
        <w:t>”), and which may be issued pursuant to an indenture dated as of September 18, 2013 (the “</w:t>
      </w:r>
      <w:r>
        <w:rPr>
          <w:rFonts w:ascii="Times New Roman" w:cs="Times New Roman" w:eastAsia="Times New Roman" w:hAnsi="Times New Roman"/>
          <w:sz w:val="17"/>
          <w:szCs w:val="17"/>
          <w:b w:val="1"/>
          <w:bCs w:val="1"/>
          <w:color w:val="auto"/>
        </w:rPr>
        <w:t>Base Indenture</w:t>
      </w:r>
      <w:r>
        <w:rPr>
          <w:rFonts w:ascii="Times New Roman" w:cs="Times New Roman" w:eastAsia="Times New Roman" w:hAnsi="Times New Roman"/>
          <w:sz w:val="17"/>
          <w:szCs w:val="17"/>
          <w:color w:val="auto"/>
        </w:rPr>
        <w:t>”) by and among the Company, the guarantors named therein and The Bank of New York Mellon, as trustee (the “</w:t>
      </w:r>
      <w:r>
        <w:rPr>
          <w:rFonts w:ascii="Times New Roman" w:cs="Times New Roman" w:eastAsia="Times New Roman" w:hAnsi="Times New Roman"/>
          <w:sz w:val="17"/>
          <w:szCs w:val="17"/>
          <w:b w:val="1"/>
          <w:bCs w:val="1"/>
          <w:color w:val="auto"/>
        </w:rPr>
        <w:t>Trustee</w:t>
      </w:r>
      <w:r>
        <w:rPr>
          <w:rFonts w:ascii="Times New Roman" w:cs="Times New Roman" w:eastAsia="Times New Roman" w:hAnsi="Times New Roman"/>
          <w:sz w:val="17"/>
          <w:szCs w:val="17"/>
          <w:color w:val="auto"/>
        </w:rPr>
        <w:t>”), as supplemented by the First Supplemental Indenture dated as of November 17, 2015 (the “</w:t>
      </w:r>
      <w:r>
        <w:rPr>
          <w:rFonts w:ascii="Times New Roman" w:cs="Times New Roman" w:eastAsia="Times New Roman" w:hAnsi="Times New Roman"/>
          <w:sz w:val="17"/>
          <w:szCs w:val="17"/>
          <w:b w:val="1"/>
          <w:bCs w:val="1"/>
          <w:color w:val="auto"/>
        </w:rPr>
        <w:t>First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Supplemental Indenture</w:t>
      </w:r>
      <w:r>
        <w:rPr>
          <w:rFonts w:ascii="Times New Roman" w:cs="Times New Roman" w:eastAsia="Times New Roman" w:hAnsi="Times New Roman"/>
          <w:sz w:val="17"/>
          <w:szCs w:val="17"/>
          <w:color w:val="auto"/>
        </w:rPr>
        <w:t>”) and by the Second Supplemental Indenture dated as of July 29, 2022 (the</w:t>
      </w:r>
      <w:r>
        <w:rPr>
          <w:rFonts w:ascii="Times New Roman" w:cs="Times New Roman" w:eastAsia="Times New Roman" w:hAnsi="Times New Roman"/>
          <w:sz w:val="17"/>
          <w:szCs w:val="17"/>
          <w:b w:val="1"/>
          <w:bCs w:val="1"/>
          <w:color w:val="auto"/>
        </w:rPr>
        <w:t xml:space="preserve"> “Second Supplemental Indenture” </w:t>
      </w:r>
      <w:r>
        <w:rPr>
          <w:rFonts w:ascii="Times New Roman" w:cs="Times New Roman" w:eastAsia="Times New Roman" w:hAnsi="Times New Roman"/>
          <w:sz w:val="17"/>
          <w:szCs w:val="17"/>
          <w:color w:val="auto"/>
        </w:rPr>
        <w:t>and, together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with the Base Indenture and the First Supplemental Indenture, the “</w:t>
      </w:r>
      <w:r>
        <w:rPr>
          <w:rFonts w:ascii="Times New Roman" w:cs="Times New Roman" w:eastAsia="Times New Roman" w:hAnsi="Times New Roman"/>
          <w:sz w:val="17"/>
          <w:szCs w:val="17"/>
          <w:b w:val="1"/>
          <w:bCs w:val="1"/>
          <w:color w:val="auto"/>
        </w:rPr>
        <w:t>Indenture</w:t>
      </w:r>
      <w:r>
        <w:rPr>
          <w:rFonts w:ascii="Times New Roman" w:cs="Times New Roman" w:eastAsia="Times New Roman" w:hAnsi="Times New Roman"/>
          <w:sz w:val="17"/>
          <w:szCs w:val="17"/>
          <w:color w:val="auto"/>
        </w:rPr>
        <w:t>”), among the Company, the guarantors named therein, and the Trustee, as may be further amended and supplemented from time to time; (iv) warrants of the Company (the “</w:t>
      </w:r>
      <w:r>
        <w:rPr>
          <w:rFonts w:ascii="Times New Roman" w:cs="Times New Roman" w:eastAsia="Times New Roman" w:hAnsi="Times New Roman"/>
          <w:sz w:val="17"/>
          <w:szCs w:val="17"/>
          <w:b w:val="1"/>
          <w:bCs w:val="1"/>
          <w:color w:val="auto"/>
        </w:rPr>
        <w:t>Warrants</w:t>
      </w:r>
      <w:r>
        <w:rPr>
          <w:rFonts w:ascii="Times New Roman" w:cs="Times New Roman" w:eastAsia="Times New Roman" w:hAnsi="Times New Roman"/>
          <w:sz w:val="17"/>
          <w:szCs w:val="17"/>
          <w:color w:val="auto"/>
        </w:rPr>
        <w:t>”), which may be issued under one or more warrant agreements (each a “</w:t>
      </w:r>
      <w:r>
        <w:rPr>
          <w:rFonts w:ascii="Times New Roman" w:cs="Times New Roman" w:eastAsia="Times New Roman" w:hAnsi="Times New Roman"/>
          <w:sz w:val="17"/>
          <w:szCs w:val="17"/>
          <w:b w:val="1"/>
          <w:bCs w:val="1"/>
          <w:color w:val="auto"/>
        </w:rPr>
        <w:t>Warrant Agreement</w:t>
      </w:r>
      <w:r>
        <w:rPr>
          <w:rFonts w:ascii="Times New Roman" w:cs="Times New Roman" w:eastAsia="Times New Roman" w:hAnsi="Times New Roman"/>
          <w:sz w:val="17"/>
          <w:szCs w:val="17"/>
          <w:color w:val="auto"/>
        </w:rPr>
        <w:t>”) to be entered into between the Company and the warrant agent to be named therein (the “</w:t>
      </w:r>
      <w:r>
        <w:rPr>
          <w:rFonts w:ascii="Times New Roman" w:cs="Times New Roman" w:eastAsia="Times New Roman" w:hAnsi="Times New Roman"/>
          <w:sz w:val="17"/>
          <w:szCs w:val="17"/>
          <w:b w:val="1"/>
          <w:bCs w:val="1"/>
          <w:color w:val="auto"/>
        </w:rPr>
        <w:t>Warrant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Agent</w:t>
      </w:r>
      <w:r>
        <w:rPr>
          <w:rFonts w:ascii="Times New Roman" w:cs="Times New Roman" w:eastAsia="Times New Roman" w:hAnsi="Times New Roman"/>
          <w:sz w:val="17"/>
          <w:szCs w:val="17"/>
          <w:color w:val="auto"/>
        </w:rPr>
        <w:t>”); (v) purchase contracts (the “</w:t>
      </w:r>
      <w:r>
        <w:rPr>
          <w:rFonts w:ascii="Times New Roman" w:cs="Times New Roman" w:eastAsia="Times New Roman" w:hAnsi="Times New Roman"/>
          <w:sz w:val="17"/>
          <w:szCs w:val="17"/>
          <w:b w:val="1"/>
          <w:bCs w:val="1"/>
          <w:color w:val="auto"/>
        </w:rPr>
        <w:t>Purchase Contracts</w:t>
      </w:r>
      <w:r>
        <w:rPr>
          <w:rFonts w:ascii="Times New Roman" w:cs="Times New Roman" w:eastAsia="Times New Roman" w:hAnsi="Times New Roman"/>
          <w:sz w:val="17"/>
          <w:szCs w:val="17"/>
          <w:color w:val="auto"/>
        </w:rPr>
        <w:t>”) which may be issued under one or more purchase contract agreements (each, a “</w:t>
      </w:r>
      <w:r>
        <w:rPr>
          <w:rFonts w:ascii="Times New Roman" w:cs="Times New Roman" w:eastAsia="Times New Roman" w:hAnsi="Times New Roman"/>
          <w:sz w:val="17"/>
          <w:szCs w:val="17"/>
          <w:b w:val="1"/>
          <w:bCs w:val="1"/>
          <w:color w:val="auto"/>
        </w:rPr>
        <w:t>Purchase Contract Agreement</w:t>
      </w:r>
      <w:r>
        <w:rPr>
          <w:rFonts w:ascii="Times New Roman" w:cs="Times New Roman" w:eastAsia="Times New Roman" w:hAnsi="Times New Roman"/>
          <w:sz w:val="17"/>
          <w:szCs w:val="17"/>
          <w:color w:val="auto"/>
        </w:rPr>
        <w:t>”) to be entered into between the Company and the purchase contract agent to be named therein (the “</w:t>
      </w:r>
      <w:r>
        <w:rPr>
          <w:rFonts w:ascii="Times New Roman" w:cs="Times New Roman" w:eastAsia="Times New Roman" w:hAnsi="Times New Roman"/>
          <w:sz w:val="17"/>
          <w:szCs w:val="17"/>
          <w:b w:val="1"/>
          <w:bCs w:val="1"/>
          <w:color w:val="auto"/>
        </w:rPr>
        <w:t>Purchase Contract Agent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requiring the holders thereof to purchase or sell (A) the Company’s securities or securities of an entity unaffiliated or affiliated with the Company, a basket of such securities, an index or indices of such securities or any combination of the above, (B) currencies or composite currencies or</w:t>
      </w:r>
    </w:p>
    <w:p>
      <w:pPr>
        <w:ind w:left="4" w:right="40" w:hanging="4"/>
        <w:spacing w:after="0" w:line="251" w:lineRule="auto"/>
        <w:tabs>
          <w:tab w:leader="none" w:pos="28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commodities; (vi) units (the “</w:t>
      </w:r>
      <w:r>
        <w:rPr>
          <w:rFonts w:ascii="Times New Roman" w:cs="Times New Roman" w:eastAsia="Times New Roman" w:hAnsi="Times New Roman"/>
          <w:sz w:val="18"/>
          <w:szCs w:val="18"/>
          <w:b w:val="1"/>
          <w:bCs w:val="1"/>
          <w:color w:val="auto"/>
        </w:rPr>
        <w:t>Units</w:t>
      </w:r>
      <w:r>
        <w:rPr>
          <w:rFonts w:ascii="Times New Roman" w:cs="Times New Roman" w:eastAsia="Times New Roman" w:hAnsi="Times New Roman"/>
          <w:sz w:val="18"/>
          <w:szCs w:val="18"/>
          <w:color w:val="auto"/>
        </w:rPr>
        <w:t>”) consisting of Debt Securities, Warrants, Purchase Contracts, Preferred Stock or Class A Common Stock or any combination of the foregoing to be issued under one or more unit agreements to be entered into among the Company, a bank or trust company, as unit agent (the “</w:t>
      </w:r>
      <w:r>
        <w:rPr>
          <w:rFonts w:ascii="Times New Roman" w:cs="Times New Roman" w:eastAsia="Times New Roman" w:hAnsi="Times New Roman"/>
          <w:sz w:val="18"/>
          <w:szCs w:val="18"/>
          <w:b w:val="1"/>
          <w:bCs w:val="1"/>
          <w:color w:val="auto"/>
        </w:rPr>
        <w:t>Unit Agent</w:t>
      </w:r>
      <w:r>
        <w:rPr>
          <w:rFonts w:ascii="Times New Roman" w:cs="Times New Roman" w:eastAsia="Times New Roman" w:hAnsi="Times New Roman"/>
          <w:sz w:val="18"/>
          <w:szCs w:val="18"/>
          <w:color w:val="auto"/>
        </w:rPr>
        <w:t>”), and the holders from time to time of the Units (each such unit agreement, a “</w:t>
      </w:r>
      <w:r>
        <w:rPr>
          <w:rFonts w:ascii="Times New Roman" w:cs="Times New Roman" w:eastAsia="Times New Roman" w:hAnsi="Times New Roman"/>
          <w:sz w:val="18"/>
          <w:szCs w:val="18"/>
          <w:b w:val="1"/>
          <w:bCs w:val="1"/>
          <w:color w:val="auto"/>
        </w:rPr>
        <w:t>Unit Agreement</w:t>
      </w:r>
      <w:r>
        <w:rPr>
          <w:rFonts w:ascii="Times New Roman" w:cs="Times New Roman" w:eastAsia="Times New Roman" w:hAnsi="Times New Roman"/>
          <w:sz w:val="18"/>
          <w:szCs w:val="18"/>
          <w:color w:val="auto"/>
        </w:rPr>
        <w:t>”); (vii) guarantees (the “</w:t>
      </w:r>
      <w:r>
        <w:rPr>
          <w:rFonts w:ascii="Times New Roman" w:cs="Times New Roman" w:eastAsia="Times New Roman" w:hAnsi="Times New Roman"/>
          <w:sz w:val="18"/>
          <w:szCs w:val="18"/>
          <w:b w:val="1"/>
          <w:bCs w:val="1"/>
          <w:color w:val="auto"/>
        </w:rPr>
        <w:t>Guarantees</w:t>
      </w:r>
      <w:r>
        <w:rPr>
          <w:rFonts w:ascii="Times New Roman" w:cs="Times New Roman" w:eastAsia="Times New Roman" w:hAnsi="Times New Roman"/>
          <w:sz w:val="18"/>
          <w:szCs w:val="18"/>
          <w:color w:val="auto"/>
        </w:rPr>
        <w:t>”) of the Debt Securities by the Guarantors, to be issued under the Indenture; (viii) guarantees (the “</w:t>
      </w:r>
      <w:r>
        <w:rPr>
          <w:rFonts w:ascii="Times New Roman" w:cs="Times New Roman" w:eastAsia="Times New Roman" w:hAnsi="Times New Roman"/>
          <w:sz w:val="18"/>
          <w:szCs w:val="18"/>
          <w:b w:val="1"/>
          <w:bCs w:val="1"/>
          <w:color w:val="auto"/>
        </w:rPr>
        <w:t>Additional Guarantees</w:t>
      </w:r>
      <w:r>
        <w:rPr>
          <w:rFonts w:ascii="Times New Roman" w:cs="Times New Roman" w:eastAsia="Times New Roman" w:hAnsi="Times New Roman"/>
          <w:sz w:val="18"/>
          <w:szCs w:val="18"/>
          <w:color w:val="auto"/>
        </w:rPr>
        <w:t>”) of Warrants, Purchase Contracts, Units or any combination of the foregoing by the Guarantors to be issued under one or more guarantee agreements (each, a “</w:t>
      </w:r>
      <w:r>
        <w:rPr>
          <w:rFonts w:ascii="Times New Roman" w:cs="Times New Roman" w:eastAsia="Times New Roman" w:hAnsi="Times New Roman"/>
          <w:sz w:val="18"/>
          <w:szCs w:val="18"/>
          <w:b w:val="1"/>
          <w:bCs w:val="1"/>
          <w:color w:val="auto"/>
        </w:rPr>
        <w:t>Guarantee Agreement</w:t>
      </w:r>
      <w:r>
        <w:rPr>
          <w:rFonts w:ascii="Times New Roman" w:cs="Times New Roman" w:eastAsia="Times New Roman" w:hAnsi="Times New Roman"/>
          <w:sz w:val="18"/>
          <w:szCs w:val="18"/>
          <w:color w:val="auto"/>
        </w:rPr>
        <w:t>”) to be entered into by the Guarantors. The Debt Securities, Preferred Stock, Class A Common Stock, Warrants, Purchase Contracts, Units, Guarantees and Additional Guarantees are herein collectively referred to as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The Debt Securities and the Preferred Stock may be convertible and/or exchangeable for Securities or other securities or rights.</w:t>
      </w:r>
    </w:p>
    <w:p>
      <w:pPr>
        <w:sectPr>
          <w:pgSz w:w="11900" w:h="16838" w:orient="portrait"/>
          <w:cols w:equalWidth="0" w:num="1">
            <w:col w:w="11024"/>
          </w:cols>
          <w:pgMar w:left="436" w:top="117" w:right="439" w:bottom="1440" w:gutter="0" w:footer="0" w:header="0"/>
          <w:type w:val="continuous"/>
        </w:sectPr>
      </w:pPr>
    </w:p>
    <w:bookmarkStart w:id="86" w:name="page87"/>
    <w:bookmarkEnd w:id="86"/>
    <w:p>
      <w:pPr>
        <w:spacing w:after="0"/>
        <w:tabs>
          <w:tab w:leader="none" w:pos="5500" w:val="left"/>
          <w:tab w:leader="none" w:pos="100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Comcast Corporation</w:t>
      </w:r>
      <w:r>
        <w:rPr>
          <w:sz w:val="20"/>
          <w:szCs w:val="20"/>
          <w:color w:val="auto"/>
        </w:rPr>
        <w:tab/>
      </w: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color w:val="auto"/>
        </w:rPr>
        <w:t>July 29, 2022</w:t>
      </w:r>
    </w:p>
    <w:p>
      <w:pPr>
        <w:spacing w:after="0" w:line="15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as your counsel, have examined originals or copies of such documents, corporate records, certificates of public officials and other instruments as we have deemed necessary or advisable for the purpose of rendering this opinion.</w:t>
      </w:r>
    </w:p>
    <w:p>
      <w:pPr>
        <w:spacing w:after="0" w:line="16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rendering the opinions expressed herein, we have, without independent inquiry or investigation, assumed that (i) all documents submitted to us as originals are authentic and complete, (ii) all documents submitted to us as copies conform to authentic, complete originals, (iii) all documents filed as exhibits to the Registration Statement that have not been executed will conform to the forms thereof, (iv) all signatures on all documents that we reviewed are genuine, (v) all natural persons executing documents had and have the legal capacity to do so, (vi) all statements in certificates of public officials and officers of the Company and the Guarantors that we reviewed were and are accurate and (vii) all representations made by the Company and the Guarantors as to matters of fact in the documents that we reviewed were and are accurate.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upon the foregoing, and subject to the additional assumptions and qualifications set forth below, we advise you that, in our opinion:</w:t>
      </w:r>
    </w:p>
    <w:p>
      <w:pPr>
        <w:spacing w:after="0" w:line="117" w:lineRule="exact"/>
        <w:rPr>
          <w:sz w:val="20"/>
          <w:szCs w:val="20"/>
          <w:color w:val="auto"/>
        </w:rPr>
      </w:pPr>
    </w:p>
    <w:p>
      <w:pPr>
        <w:ind w:right="20" w:firstLine="436"/>
        <w:spacing w:after="0" w:line="272" w:lineRule="auto"/>
        <w:tabs>
          <w:tab w:leader="none" w:pos="62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Assuming the Indenture and any amendment or supplement thereto has been duly authorized, executed and delivered by the Trustee and the Company, and when any supplemental indenture to be entered into in connection with the issuance of any Debt Securities has been duly authorized, executed and delivered by the Trustee, the Company and, if applicable, the Guarantors; the specific terms of a particular series of Debt Securities and the related Guarantees have been duly authorized and established in accordance with the Indenture; and such Debt Securities and the related Guarantees have been duly authorized, executed, authenticated, issued and delivered in accordance with the Indenture and the applicable underwriting or other agreement against payment therefor, such Debt Securities will constitute valid and binding obligations of the Company and each of the related Guarantees will constitute valid and binding obligations of each respective Guarantor, enforceable in accordance with their terms, subject to applicable bankruptcy, insolvency and similar laws affecting creditors’ rights generally, concepts of reasonableness and equitable principles of general applicability.</w:t>
      </w:r>
    </w:p>
    <w:p>
      <w:pPr>
        <w:spacing w:after="0" w:line="63" w:lineRule="exact"/>
        <w:rPr>
          <w:rFonts w:ascii="Times New Roman" w:cs="Times New Roman" w:eastAsia="Times New Roman" w:hAnsi="Times New Roman"/>
          <w:sz w:val="17"/>
          <w:szCs w:val="17"/>
          <w:color w:val="auto"/>
        </w:rPr>
      </w:pPr>
    </w:p>
    <w:p>
      <w:pPr>
        <w:ind w:right="160" w:firstLine="436"/>
        <w:spacing w:after="0" w:line="256" w:lineRule="auto"/>
        <w:tabs>
          <w:tab w:leader="none" w:pos="6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Warrant Agreement to be entered into in connection with the issuance of any Warrants has been duly authorized, executed and delivered by the Warrant Agent and the Company; the specific terms of the Warrants have been duly authorized and established in accordance with the Warrant Agreement; and such Warrants have been duly authorized, executed, issued and delivered in accordance with the Warrant Agreement and the applicable underwriting or other agreement against payment therefor, such Warrants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w:t>
      </w:r>
    </w:p>
    <w:p>
      <w:pPr>
        <w:spacing w:after="0" w:line="79" w:lineRule="exact"/>
        <w:rPr>
          <w:rFonts w:ascii="Times New Roman" w:cs="Times New Roman" w:eastAsia="Times New Roman" w:hAnsi="Times New Roman"/>
          <w:sz w:val="18"/>
          <w:szCs w:val="18"/>
          <w:color w:val="auto"/>
        </w:rPr>
      </w:pPr>
    </w:p>
    <w:p>
      <w:pPr>
        <w:ind w:right="100" w:firstLine="436"/>
        <w:spacing w:after="0" w:line="256" w:lineRule="auto"/>
        <w:tabs>
          <w:tab w:leader="none" w:pos="6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Guarantee Agreement to be entered into in connection with the issuance of any Additional Guarantees has been duly authorized, executed and delivered by the Guarantors and any agent party thereto; the Additional Guarantees have been duly authorized and established in accordance with the Guarantee Agreement; and such Additional Guarantees have been duly authorized, executed, issued and delivered in accordance with the Guarantee Agreement and the applicable underwriting or other agreement against payment therefor, such Additional Guarantees will constitute valid and binding obligations of the applicable Guarantors, enforceable in accordance with their terms, subject to applicable bankruptcy, insolvency and similar laws affecting creditors’ rights generally, concepts of reasonableness and equitable principles of general applicability.</w:t>
      </w:r>
    </w:p>
    <w:p>
      <w:pPr>
        <w:sectPr>
          <w:pgSz w:w="11900" w:h="16838" w:orient="portrait"/>
          <w:cols w:equalWidth="0" w:num="1">
            <w:col w:w="11020"/>
          </w:cols>
          <w:pgMar w:left="440" w:top="270" w:right="439" w:bottom="1440" w:gutter="0" w:footer="0" w:header="0"/>
        </w:sectPr>
      </w:pPr>
    </w:p>
    <w:bookmarkStart w:id="87" w:name="page88"/>
    <w:bookmarkEnd w:id="87"/>
    <w:p>
      <w:pPr>
        <w:ind w:left="4"/>
        <w:spacing w:after="0"/>
        <w:tabs>
          <w:tab w:leader="none" w:pos="5504" w:val="left"/>
          <w:tab w:leader="none" w:pos="100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Comcast Corporation</w:t>
      </w:r>
      <w:r>
        <w:rPr>
          <w:sz w:val="20"/>
          <w:szCs w:val="20"/>
          <w:color w:val="auto"/>
        </w:rPr>
        <w:tab/>
      </w: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color w:val="auto"/>
        </w:rPr>
        <w:t>July 29, 2022</w:t>
      </w:r>
    </w:p>
    <w:p>
      <w:pPr>
        <w:spacing w:after="0" w:line="158" w:lineRule="exact"/>
        <w:rPr>
          <w:sz w:val="20"/>
          <w:szCs w:val="20"/>
          <w:color w:val="auto"/>
        </w:rPr>
      </w:pPr>
    </w:p>
    <w:p>
      <w:pPr>
        <w:ind w:left="4" w:right="20" w:firstLine="436"/>
        <w:spacing w:after="0" w:line="274" w:lineRule="auto"/>
        <w:tabs>
          <w:tab w:leader="none" w:pos="624"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the Purchase Contract Agreement to be entered into in connection with the issuance of any Purchase Contracts has been duly authorized, executed and delivered by the Purchase Contract Agent and the Company; the specific terms of the Purchase Contracts have been duly authorized and established in accordance with the Purchase Contract Agreement; and such Purchase Contracts have been duly authorized, executed, issued and delivered in accordance with the Purchase Contract Agreement and the applicable underwriting or other agreement against payment therefor, such Purchase Contracts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w:t>
      </w:r>
    </w:p>
    <w:p>
      <w:pPr>
        <w:spacing w:after="0" w:line="64" w:lineRule="exact"/>
        <w:rPr>
          <w:rFonts w:ascii="Times New Roman" w:cs="Times New Roman" w:eastAsia="Times New Roman" w:hAnsi="Times New Roman"/>
          <w:sz w:val="17"/>
          <w:szCs w:val="17"/>
          <w:color w:val="auto"/>
        </w:rPr>
      </w:pPr>
    </w:p>
    <w:p>
      <w:pPr>
        <w:ind w:left="4" w:right="60" w:firstLine="436"/>
        <w:spacing w:after="0" w:line="256" w:lineRule="auto"/>
        <w:tabs>
          <w:tab w:leader="none" w:pos="62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Unit Agreement to be entered into in connection with the issuance of any Units has been duly authorized, executed and delivered by the Unit Agent and the Company; the specific terms of the Units have been duly authorized and established in accordance with the Unit Agreement; and such Units have been duly authorized, executed, issued and delivered in accordance with the Unit Agreement and the applicable underwriting or other agreement against payment therefor, such Units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w:t>
      </w:r>
    </w:p>
    <w:p>
      <w:pPr>
        <w:spacing w:after="0" w:line="187" w:lineRule="exact"/>
        <w:rPr>
          <w:sz w:val="20"/>
          <w:szCs w:val="20"/>
          <w:color w:val="auto"/>
        </w:rPr>
      </w:pPr>
    </w:p>
    <w:p>
      <w:pPr>
        <w:ind w:left="4" w:right="40"/>
        <w:spacing w:after="0" w:line="270" w:lineRule="auto"/>
        <w:rPr>
          <w:sz w:val="20"/>
          <w:szCs w:val="20"/>
          <w:color w:val="auto"/>
        </w:rPr>
      </w:pPr>
      <w:r>
        <w:rPr>
          <w:rFonts w:ascii="Times New Roman" w:cs="Times New Roman" w:eastAsia="Times New Roman" w:hAnsi="Times New Roman"/>
          <w:sz w:val="17"/>
          <w:szCs w:val="17"/>
          <w:color w:val="auto"/>
        </w:rPr>
        <w:t>In connection with the opinions expressed above, we have assumed that, at or prior to the time of the delivery of any such Security, (i) the Board of Directors or, in the case of a limited liability company, the managing member, shall have duly established the terms of such Security and duly authorized the issuance and sale of such Security and such authorization shall not have been modified or rescinded; (ii) each of the Company and the Guarantors is, and shall remain validly existing and in good standing under the laws of the Commonwealth of Pennsylvania or the State of Delaware, as applicable;</w:t>
      </w:r>
    </w:p>
    <w:p>
      <w:pPr>
        <w:spacing w:after="0" w:line="3" w:lineRule="exact"/>
        <w:rPr>
          <w:sz w:val="20"/>
          <w:szCs w:val="20"/>
          <w:color w:val="auto"/>
        </w:rPr>
      </w:pPr>
    </w:p>
    <w:p>
      <w:pPr>
        <w:ind w:left="324" w:hanging="324"/>
        <w:spacing w:after="0"/>
        <w:tabs>
          <w:tab w:leader="none" w:pos="32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shall have become effective pursuant to Rule 462(e) and such effectiveness shall not have been terminated or rescinded;</w:t>
      </w:r>
    </w:p>
    <w:p>
      <w:pPr>
        <w:spacing w:after="0" w:line="9" w:lineRule="exact"/>
        <w:rPr>
          <w:rFonts w:ascii="Times New Roman" w:cs="Times New Roman" w:eastAsia="Times New Roman" w:hAnsi="Times New Roman"/>
          <w:sz w:val="18"/>
          <w:szCs w:val="18"/>
          <w:color w:val="auto"/>
        </w:rPr>
      </w:pPr>
    </w:p>
    <w:p>
      <w:pPr>
        <w:ind w:left="4" w:right="40" w:hanging="4"/>
        <w:spacing w:after="0" w:line="250" w:lineRule="auto"/>
        <w:tabs>
          <w:tab w:leader="none" w:pos="309"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Indenture, the Debt Securities, the Warrant Agreement, the Purchase Contract Agreement, the Unit Agreement and the Guarantee Agreement are each valid, binding and enforceable agreements of each party thereto (other than as expressly covered above in respect of the Company and each Guarantor); and (v) there shall not have occurred any change in law affecting the validity or enforceability of such Security. We have also assumed that the execution, delivery and performance by the Company or any Guarantor of any Security whose terms are established subsequent to the date hereof</w:t>
      </w:r>
    </w:p>
    <w:p>
      <w:pPr>
        <w:spacing w:after="0" w:line="1" w:lineRule="exact"/>
        <w:rPr>
          <w:rFonts w:ascii="Times New Roman" w:cs="Times New Roman" w:eastAsia="Times New Roman" w:hAnsi="Times New Roman"/>
          <w:sz w:val="18"/>
          <w:szCs w:val="18"/>
          <w:color w:val="auto"/>
        </w:rPr>
      </w:pPr>
    </w:p>
    <w:p>
      <w:pPr>
        <w:ind w:left="4" w:right="2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are within their corporate or limited liability company powers, as applicable, (b) do not contravene, or constitute a default under, the certificate of incorporation or bylaws or other constitutive documents of the Company or any Guarantor, (c) require no action by or in respect of, or filing with, any governmental body, agency or official and (d) do not contravene, or constitute a default under, any provision of applicable law or regulation or any judgment, injunction, order or decree or any agreement or other instrument binding upon the Company or any Guarantor.</w:t>
      </w:r>
    </w:p>
    <w:p>
      <w:pPr>
        <w:spacing w:after="0" w:line="189" w:lineRule="exact"/>
        <w:rPr>
          <w:sz w:val="20"/>
          <w:szCs w:val="20"/>
          <w:color w:val="auto"/>
        </w:rPr>
      </w:pPr>
    </w:p>
    <w:p>
      <w:pPr>
        <w:ind w:left="4" w:right="740"/>
        <w:spacing w:after="0" w:line="282" w:lineRule="auto"/>
        <w:rPr>
          <w:sz w:val="20"/>
          <w:szCs w:val="20"/>
          <w:color w:val="auto"/>
        </w:rPr>
      </w:pPr>
      <w:r>
        <w:rPr>
          <w:rFonts w:ascii="Times New Roman" w:cs="Times New Roman" w:eastAsia="Times New Roman" w:hAnsi="Times New Roman"/>
          <w:sz w:val="18"/>
          <w:szCs w:val="18"/>
          <w:color w:val="auto"/>
        </w:rPr>
        <w:t>We are members of the Bar of the State of New York and the foregoing opinion is limited to the laws of the State of New York and the General Corporation Law of the State of Delaware.</w:t>
      </w:r>
    </w:p>
    <w:p>
      <w:pPr>
        <w:spacing w:after="0" w:line="162" w:lineRule="exact"/>
        <w:rPr>
          <w:sz w:val="20"/>
          <w:szCs w:val="20"/>
          <w:color w:val="auto"/>
        </w:rPr>
      </w:pPr>
    </w:p>
    <w:p>
      <w:pPr>
        <w:ind w:left="4" w:right="100"/>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referred to above and further consent to the reference to our name under the caption “Legal Matters” in the prospectus, which is a part of the Registration Statement. In giving this consent, we do not admit that we are in the category of persons whose consent is required under Section 7 of the Securities Act.</w:t>
      </w:r>
    </w:p>
    <w:p>
      <w:pPr>
        <w:sectPr>
          <w:pgSz w:w="11900" w:h="16838" w:orient="portrait"/>
          <w:cols w:equalWidth="0" w:num="1">
            <w:col w:w="11024"/>
          </w:cols>
          <w:pgMar w:left="436" w:top="270" w:right="439" w:bottom="1440" w:gutter="0" w:footer="0" w:header="0"/>
        </w:sectPr>
      </w:pPr>
    </w:p>
    <w:bookmarkStart w:id="88" w:name="page89"/>
    <w:bookmarkEnd w:id="88"/>
    <w:p>
      <w:pPr>
        <w:spacing w:after="0"/>
        <w:tabs>
          <w:tab w:leader="none" w:pos="5500" w:val="left"/>
          <w:tab w:leader="none" w:pos="100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Comcast Corporation</w:t>
      </w:r>
      <w:r>
        <w:rPr>
          <w:sz w:val="20"/>
          <w:szCs w:val="20"/>
          <w:color w:val="auto"/>
        </w:rPr>
        <w:tab/>
      </w: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8"/>
          <w:szCs w:val="18"/>
          <w:color w:val="auto"/>
        </w:rPr>
        <w:t>July 29,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Davis Polk &amp; Wardwell LLP</w:t>
      </w:r>
    </w:p>
    <w:p>
      <w:pPr>
        <w:sectPr>
          <w:pgSz w:w="11900" w:h="16838" w:orient="portrait"/>
          <w:cols w:equalWidth="0" w:num="1">
            <w:col w:w="11020"/>
          </w:cols>
          <w:pgMar w:left="440" w:top="270" w:right="4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S-3 of our report dated February 2, 2022, relating to the financial statements of Comcast Corporation and the effectiveness of Comcast Corporation’s internal control over financial reporting, appearing in the Annual Report on Form 10-K of Comcast Corporation for the year ended December 31, 2021. We also consent to the reference to us under the heading “Experts” in such Registration Statement.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29, 2022</w:t>
      </w:r>
    </w:p>
    <w:p>
      <w:pPr>
        <w:sectPr>
          <w:pgSz w:w="11900" w:h="16838" w:orient="portrait"/>
          <w:cols w:equalWidth="0" w:num="1">
            <w:col w:w="11020"/>
          </w:cols>
          <w:pgMar w:left="440" w:top="117" w:right="4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699516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122555</wp:posOffset>
            </wp:positionV>
            <wp:extent cx="699516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8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259080</wp:posOffset>
            </wp:positionV>
            <wp:extent cx="147447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STATEMENT OF ELIGIBILITY</w:t>
      </w:r>
    </w:p>
    <w:p>
      <w:pPr>
        <w:spacing w:after="0" w:line="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UNDER THE TRUST INDENTURE ACT OF 1939 OF A</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CORPORATION DESIGNATED TO ACT AS TRUSTEE</w:t>
      </w:r>
    </w:p>
    <w:p>
      <w:pPr>
        <w:spacing w:after="0" w:line="205" w:lineRule="exact"/>
        <w:rPr>
          <w:sz w:val="20"/>
          <w:szCs w:val="20"/>
          <w:color w:val="auto"/>
        </w:rPr>
      </w:pPr>
    </w:p>
    <w:p>
      <w:pPr>
        <w:ind w:left="424" w:right="180" w:hanging="424"/>
        <w:spacing w:after="0" w:line="262" w:lineRule="auto"/>
        <w:tabs>
          <w:tab w:leader="none" w:pos="424" w:val="left"/>
        </w:tabs>
        <w:numPr>
          <w:ilvl w:val="0"/>
          <w:numId w:val="84"/>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CHECK IF AN APPLICATION TO DETERMINE ELIGIBILITY OF 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200660</wp:posOffset>
            </wp:positionV>
            <wp:extent cx="14744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THE BANK OF NEW YORK MELLON</w:t>
      </w:r>
    </w:p>
    <w:p>
      <w:pPr>
        <w:spacing w:after="0" w:line="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trustee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1584" w:type="dxa"/>
        <w:tblCellMar>
          <w:top w:w="0" w:type="dxa"/>
          <w:left w:w="0" w:type="dxa"/>
          <w:bottom w:w="0" w:type="dxa"/>
          <w:right w:w="0" w:type="dxa"/>
        </w:tblCellMar>
      </w:tblPr>
      <w:tr>
        <w:trPr>
          <w:trHeight w:val="214"/>
        </w:trPr>
        <w:tc>
          <w:tcPr>
            <w:tcW w:w="430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New York</w:t>
            </w:r>
          </w:p>
        </w:tc>
        <w:tc>
          <w:tcPr>
            <w:tcW w:w="3000" w:type="dxa"/>
            <w:vAlign w:val="bottom"/>
          </w:tcPr>
          <w:p>
            <w:pPr>
              <w:jc w:val="center"/>
              <w:ind w:left="1804"/>
              <w:spacing w:after="0"/>
              <w:rPr>
                <w:sz w:val="20"/>
                <w:szCs w:val="20"/>
                <w:color w:val="auto"/>
              </w:rPr>
            </w:pPr>
            <w:r>
              <w:rPr>
                <w:rFonts w:ascii="Times New Roman" w:cs="Times New Roman" w:eastAsia="Times New Roman" w:hAnsi="Times New Roman"/>
                <w:sz w:val="18"/>
                <w:szCs w:val="18"/>
                <w:b w:val="1"/>
                <w:bCs w:val="1"/>
                <w:color w:val="auto"/>
              </w:rPr>
              <w:t>13-5160382</w:t>
            </w:r>
          </w:p>
        </w:tc>
      </w:tr>
      <w:tr>
        <w:trPr>
          <w:trHeight w:val="148"/>
        </w:trPr>
        <w:tc>
          <w:tcPr>
            <w:tcW w:w="4300" w:type="dxa"/>
            <w:vAlign w:val="bottom"/>
          </w:tcPr>
          <w:p>
            <w:pPr>
              <w:jc w:val="center"/>
              <w:ind w:right="1864"/>
              <w:spacing w:after="0" w:line="149" w:lineRule="exact"/>
              <w:rPr>
                <w:sz w:val="20"/>
                <w:szCs w:val="20"/>
                <w:color w:val="auto"/>
              </w:rPr>
            </w:pPr>
            <w:r>
              <w:rPr>
                <w:rFonts w:ascii="Times New Roman" w:cs="Times New Roman" w:eastAsia="Times New Roman" w:hAnsi="Times New Roman"/>
                <w:sz w:val="14"/>
                <w:szCs w:val="14"/>
                <w:b w:val="1"/>
                <w:bCs w:val="1"/>
                <w:color w:val="auto"/>
              </w:rPr>
              <w:t>(Jurisdiction of incorporation</w:t>
            </w:r>
          </w:p>
        </w:tc>
        <w:tc>
          <w:tcPr>
            <w:tcW w:w="3000" w:type="dxa"/>
            <w:vAlign w:val="bottom"/>
          </w:tcPr>
          <w:p>
            <w:pPr>
              <w:jc w:val="center"/>
              <w:ind w:left="1804"/>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300" w:type="dxa"/>
            <w:vAlign w:val="bottom"/>
          </w:tcPr>
          <w:p>
            <w:pPr>
              <w:jc w:val="center"/>
              <w:ind w:right="1844"/>
              <w:spacing w:after="0"/>
              <w:rPr>
                <w:sz w:val="20"/>
                <w:szCs w:val="20"/>
                <w:color w:val="auto"/>
              </w:rPr>
            </w:pPr>
            <w:r>
              <w:rPr>
                <w:rFonts w:ascii="Times New Roman" w:cs="Times New Roman" w:eastAsia="Times New Roman" w:hAnsi="Times New Roman"/>
                <w:sz w:val="14"/>
                <w:szCs w:val="14"/>
                <w:b w:val="1"/>
                <w:bCs w:val="1"/>
                <w:color w:val="auto"/>
              </w:rPr>
              <w:t>if not a U.S. national bank)</w:t>
            </w:r>
          </w:p>
        </w:tc>
        <w:tc>
          <w:tcPr>
            <w:tcW w:w="3000" w:type="dxa"/>
            <w:vAlign w:val="bottom"/>
          </w:tcPr>
          <w:p>
            <w:pPr>
              <w:jc w:val="center"/>
              <w:ind w:left="1844"/>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23"/>
        </w:trPr>
        <w:tc>
          <w:tcPr>
            <w:tcW w:w="4300" w:type="dxa"/>
            <w:vAlign w:val="bottom"/>
          </w:tcPr>
          <w:p>
            <w:pPr>
              <w:jc w:val="center"/>
              <w:ind w:right="1864"/>
              <w:spacing w:after="0"/>
              <w:rPr>
                <w:sz w:val="20"/>
                <w:szCs w:val="20"/>
                <w:color w:val="auto"/>
              </w:rPr>
            </w:pPr>
            <w:r>
              <w:rPr>
                <w:rFonts w:ascii="Times New Roman" w:cs="Times New Roman" w:eastAsia="Times New Roman" w:hAnsi="Times New Roman"/>
                <w:sz w:val="14"/>
                <w:szCs w:val="14"/>
                <w:b w:val="1"/>
                <w:bCs w:val="1"/>
                <w:color w:val="auto"/>
              </w:rPr>
              <w:t>240 Greenwich Street, New York, N.Y.</w:t>
            </w:r>
          </w:p>
        </w:tc>
        <w:tc>
          <w:tcPr>
            <w:tcW w:w="3000" w:type="dxa"/>
            <w:vAlign w:val="bottom"/>
          </w:tcPr>
          <w:p>
            <w:pPr>
              <w:jc w:val="center"/>
              <w:ind w:left="1804"/>
              <w:spacing w:after="0"/>
              <w:rPr>
                <w:sz w:val="20"/>
                <w:szCs w:val="20"/>
                <w:color w:val="auto"/>
              </w:rPr>
            </w:pPr>
            <w:r>
              <w:rPr>
                <w:rFonts w:ascii="Times New Roman" w:cs="Times New Roman" w:eastAsia="Times New Roman" w:hAnsi="Times New Roman"/>
                <w:sz w:val="14"/>
                <w:szCs w:val="14"/>
                <w:b w:val="1"/>
                <w:bCs w:val="1"/>
                <w:color w:val="auto"/>
              </w:rPr>
              <w:t>10286</w:t>
            </w:r>
          </w:p>
        </w:tc>
      </w:tr>
      <w:tr>
        <w:trPr>
          <w:trHeight w:val="190"/>
        </w:trPr>
        <w:tc>
          <w:tcPr>
            <w:tcW w:w="4300" w:type="dxa"/>
            <w:vAlign w:val="bottom"/>
          </w:tcPr>
          <w:p>
            <w:pPr>
              <w:jc w:val="center"/>
              <w:ind w:right="18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00" w:type="dxa"/>
            <w:vAlign w:val="bottom"/>
          </w:tcPr>
          <w:p>
            <w:pPr>
              <w:jc w:val="center"/>
              <w:ind w:left="1844"/>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212090</wp:posOffset>
            </wp:positionV>
            <wp:extent cx="147447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117" w:right="43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ind w:left="3944"/>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25"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(Exact name of obligor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jc w:val="center"/>
        <w:ind w:right="1576"/>
        <w:spacing w:after="0"/>
        <w:rPr>
          <w:sz w:val="20"/>
          <w:szCs w:val="20"/>
          <w:color w:val="auto"/>
        </w:rPr>
      </w:pPr>
      <w:r>
        <w:rPr>
          <w:rFonts w:ascii="Times New Roman" w:cs="Times New Roman" w:eastAsia="Times New Roman" w:hAnsi="Times New Roman"/>
          <w:sz w:val="18"/>
          <w:szCs w:val="18"/>
          <w:b w:val="1"/>
          <w:bCs w:val="1"/>
          <w:color w:val="auto"/>
        </w:rPr>
        <w:t>Pennsylvania</w:t>
      </w:r>
    </w:p>
    <w:p>
      <w:pPr>
        <w:spacing w:after="0" w:line="12" w:lineRule="exact"/>
        <w:rPr>
          <w:sz w:val="20"/>
          <w:szCs w:val="20"/>
          <w:color w:val="auto"/>
        </w:rPr>
      </w:pPr>
    </w:p>
    <w:p>
      <w:pPr>
        <w:ind w:left="1864"/>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4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188" w:lineRule="exact"/>
        <w:rPr>
          <w:sz w:val="20"/>
          <w:szCs w:val="20"/>
          <w:color w:val="auto"/>
        </w:rPr>
      </w:pPr>
    </w:p>
    <w:p>
      <w:pPr>
        <w:jc w:val="center"/>
        <w:ind w:right="1536"/>
        <w:spacing w:after="0"/>
        <w:rPr>
          <w:sz w:val="20"/>
          <w:szCs w:val="20"/>
          <w:color w:val="auto"/>
        </w:rPr>
      </w:pPr>
      <w:r>
        <w:rPr>
          <w:rFonts w:ascii="Times New Roman" w:cs="Times New Roman" w:eastAsia="Times New Roman" w:hAnsi="Times New Roman"/>
          <w:sz w:val="18"/>
          <w:szCs w:val="18"/>
          <w:b w:val="1"/>
          <w:bCs w:val="1"/>
          <w:color w:val="auto"/>
        </w:rPr>
        <w:t>One Comcast Center</w:t>
      </w:r>
    </w:p>
    <w:p>
      <w:pPr>
        <w:spacing w:after="0" w:line="31" w:lineRule="exact"/>
        <w:rPr>
          <w:sz w:val="20"/>
          <w:szCs w:val="20"/>
          <w:color w:val="auto"/>
        </w:rPr>
      </w:pPr>
    </w:p>
    <w:p>
      <w:pPr>
        <w:jc w:val="center"/>
        <w:ind w:right="1536"/>
        <w:spacing w:after="0"/>
        <w:rPr>
          <w:sz w:val="20"/>
          <w:szCs w:val="20"/>
          <w:color w:val="auto"/>
        </w:rPr>
      </w:pPr>
      <w:r>
        <w:rPr>
          <w:rFonts w:ascii="Times New Roman" w:cs="Times New Roman" w:eastAsia="Times New Roman" w:hAnsi="Times New Roman"/>
          <w:sz w:val="18"/>
          <w:szCs w:val="18"/>
          <w:b w:val="1"/>
          <w:bCs w:val="1"/>
          <w:color w:val="auto"/>
        </w:rPr>
        <w:t>Philadelphia, Pennsylvania</w:t>
      </w:r>
    </w:p>
    <w:p>
      <w:pPr>
        <w:spacing w:after="0" w:line="2" w:lineRule="exact"/>
        <w:rPr>
          <w:sz w:val="20"/>
          <w:szCs w:val="20"/>
          <w:color w:val="auto"/>
        </w:r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27-0000798</w:t>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0"/>
          <w:szCs w:val="20"/>
          <w:color w:val="auto"/>
        </w:rPr>
      </w:pPr>
    </w:p>
    <w:p>
      <w:pPr>
        <w:spacing w:after="0" w:line="2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19103-2838</w:t>
      </w:r>
    </w:p>
    <w:p>
      <w:pPr>
        <w:spacing w:after="0" w:line="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(Zip code)</w:t>
      </w:r>
    </w:p>
    <w:p>
      <w:pPr>
        <w:sectPr>
          <w:pgSz w:w="11900" w:h="16838" w:orient="portrait"/>
          <w:cols w:equalWidth="0" w:num="2">
            <w:col w:w="7084" w:space="720"/>
            <w:col w:w="3220"/>
          </w:cols>
          <w:pgMar w:left="436" w:top="117" w:right="439" w:bottom="1440" w:gutter="0" w:footer="0" w:header="0"/>
          <w:type w:val="continuous"/>
        </w:sectPr>
      </w:pPr>
    </w:p>
    <w:bookmarkStart w:id="91" w:name="page92"/>
    <w:bookmarkEnd w:id="91"/>
    <w:p>
      <w:pPr>
        <w:jc w:val="center"/>
        <w:ind w:left="2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3037205</wp:posOffset>
            </wp:positionH>
            <wp:positionV relativeFrom="page">
              <wp:posOffset>252095</wp:posOffset>
            </wp:positionV>
            <wp:extent cx="147447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2">
                      <a:extLst>
                        <a:ext uri="{28A0092B-C50C-407E-A947-70E740481C1C}"/>
                      </a:extLst>
                    </a:blip>
                    <a:srcRect/>
                    <a:stretch>
                      <a:fillRect/>
                    </a:stretch>
                  </pic:blipFill>
                  <pic:spPr bwMode="auto">
                    <a:xfrm>
                      <a:off x="0" y="0"/>
                      <a:ext cx="1474470" cy="8255"/>
                    </a:xfrm>
                    <a:prstGeom prst="rect">
                      <a:avLst/>
                    </a:prstGeom>
                    <a:noFill/>
                  </pic:spPr>
                </pic:pic>
              </a:graphicData>
            </a:graphic>
          </wp:anchor>
        </w:drawing>
        <w:t>NBCUniversal Media, LLC</w:t>
      </w:r>
    </w:p>
    <w:p>
      <w:pPr>
        <w:spacing w:after="0" w:line="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227965</wp:posOffset>
            </wp:positionV>
            <wp:extent cx="147447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jc w:val="center"/>
        <w:ind w:right="25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86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30 Rockefeller Plaza</w:t>
      </w:r>
    </w:p>
    <w:p>
      <w:pPr>
        <w:spacing w:after="0" w:line="3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b w:val="1"/>
          <w:bCs w:val="1"/>
          <w:color w:val="auto"/>
        </w:rPr>
        <w:t>New York, New York</w:t>
      </w:r>
    </w:p>
    <w:p>
      <w:pPr>
        <w:spacing w:after="0" w:line="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236220</wp:posOffset>
            </wp:positionV>
            <wp:extent cx="147447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p>
      <w:pPr>
        <w:jc w:val="center"/>
        <w:ind w:left="2920"/>
        <w:spacing w:after="0"/>
        <w:rPr>
          <w:sz w:val="20"/>
          <w:szCs w:val="20"/>
          <w:color w:val="auto"/>
        </w:rPr>
      </w:pPr>
      <w:r>
        <w:rPr>
          <w:rFonts w:ascii="Times New Roman" w:cs="Times New Roman" w:eastAsia="Times New Roman" w:hAnsi="Times New Roman"/>
          <w:sz w:val="18"/>
          <w:szCs w:val="18"/>
          <w:b w:val="1"/>
          <w:bCs w:val="1"/>
          <w:color w:val="auto"/>
        </w:rPr>
        <w:t>Comcast Cable Communications, LLC</w:t>
      </w:r>
    </w:p>
    <w:p>
      <w:pPr>
        <w:spacing w:after="0" w:line="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219075</wp:posOffset>
            </wp:positionV>
            <wp:extent cx="147447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jc w:val="center"/>
        <w:ind w:right="25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86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1" w:lineRule="exact"/>
        <w:rPr>
          <w:sz w:val="20"/>
          <w:szCs w:val="20"/>
          <w:color w:val="auto"/>
        </w:rPr>
      </w:pPr>
    </w:p>
    <w:p>
      <w:pPr>
        <w:jc w:val="center"/>
        <w:ind w:right="2480"/>
        <w:spacing w:after="0"/>
        <w:rPr>
          <w:sz w:val="20"/>
          <w:szCs w:val="20"/>
          <w:color w:val="auto"/>
        </w:rPr>
      </w:pPr>
      <w:r>
        <w:rPr>
          <w:rFonts w:ascii="Times New Roman" w:cs="Times New Roman" w:eastAsia="Times New Roman" w:hAnsi="Times New Roman"/>
          <w:sz w:val="18"/>
          <w:szCs w:val="18"/>
          <w:b w:val="1"/>
          <w:bCs w:val="1"/>
          <w:color w:val="auto"/>
        </w:rPr>
        <w:t>One Comcast Center</w:t>
      </w:r>
    </w:p>
    <w:p>
      <w:pPr>
        <w:spacing w:after="0" w:line="31" w:lineRule="exact"/>
        <w:rPr>
          <w:sz w:val="20"/>
          <w:szCs w:val="20"/>
          <w:color w:val="auto"/>
        </w:rPr>
      </w:pPr>
    </w:p>
    <w:p>
      <w:pPr>
        <w:jc w:val="center"/>
        <w:ind w:right="2480"/>
        <w:spacing w:after="0"/>
        <w:rPr>
          <w:sz w:val="20"/>
          <w:szCs w:val="20"/>
          <w:color w:val="auto"/>
        </w:rPr>
      </w:pPr>
      <w:r>
        <w:rPr>
          <w:rFonts w:ascii="Times New Roman" w:cs="Times New Roman" w:eastAsia="Times New Roman" w:hAnsi="Times New Roman"/>
          <w:sz w:val="18"/>
          <w:szCs w:val="18"/>
          <w:b w:val="1"/>
          <w:bCs w:val="1"/>
          <w:color w:val="auto"/>
        </w:rPr>
        <w:t>Philadelphia, Pennsylvania</w:t>
      </w:r>
    </w:p>
    <w:p>
      <w:pPr>
        <w:spacing w:after="0" w:line="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227965</wp:posOffset>
            </wp:positionV>
            <wp:extent cx="147447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jc w:val="center"/>
        <w:ind w:left="2920"/>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31" w:lineRule="exact"/>
        <w:rPr>
          <w:sz w:val="20"/>
          <w:szCs w:val="20"/>
          <w:color w:val="auto"/>
        </w:rPr>
      </w:pPr>
    </w:p>
    <w:p>
      <w:pPr>
        <w:jc w:val="center"/>
        <w:ind w:left="2920"/>
        <w:spacing w:after="0"/>
        <w:rPr>
          <w:sz w:val="20"/>
          <w:szCs w:val="20"/>
          <w:color w:val="auto"/>
        </w:rPr>
      </w:pPr>
      <w:r>
        <w:rPr>
          <w:rFonts w:ascii="Times New Roman" w:cs="Times New Roman" w:eastAsia="Times New Roman" w:hAnsi="Times New Roman"/>
          <w:sz w:val="18"/>
          <w:szCs w:val="18"/>
          <w:b w:val="1"/>
          <w:bCs w:val="1"/>
          <w:color w:val="auto"/>
        </w:rPr>
        <w:t>and Guarantees of Debt Securities</w:t>
      </w:r>
    </w:p>
    <w:p>
      <w:pPr>
        <w:spacing w:after="0" w:line="2"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4"/>
          <w:szCs w:val="14"/>
          <w:b w:val="1"/>
          <w:bCs w:val="1"/>
          <w:color w:val="auto"/>
        </w:rPr>
        <w:t>(Title of the indenture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142240</wp:posOffset>
            </wp:positionV>
            <wp:extent cx="69951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184785</wp:posOffset>
            </wp:positionV>
            <wp:extent cx="699516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14-1682529</w:t>
      </w:r>
    </w:p>
    <w:p>
      <w:pPr>
        <w:spacing w:after="0" w:line="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0"/>
          <w:szCs w:val="20"/>
          <w:color w:val="auto"/>
        </w:rPr>
      </w:pPr>
    </w:p>
    <w:p>
      <w:pPr>
        <w:spacing w:after="0" w:line="29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color w:val="auto"/>
        </w:rPr>
        <w:t>10112-0015</w:t>
      </w:r>
    </w:p>
    <w:p>
      <w:pPr>
        <w:spacing w:after="0" w:line="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23-2175755</w:t>
      </w:r>
    </w:p>
    <w:p>
      <w:pPr>
        <w:spacing w:after="0" w:line="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0"/>
          <w:szCs w:val="20"/>
          <w:color w:val="auto"/>
        </w:rPr>
      </w:pPr>
    </w:p>
    <w:p>
      <w:pPr>
        <w:spacing w:after="0" w:line="29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19103-2838</w:t>
      </w:r>
    </w:p>
    <w:p>
      <w:pPr>
        <w:spacing w:after="0" w:line="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360" w:lineRule="exact"/>
        <w:rPr>
          <w:sz w:val="20"/>
          <w:szCs w:val="20"/>
          <w:color w:val="auto"/>
        </w:rPr>
      </w:pPr>
    </w:p>
    <w:p>
      <w:pPr>
        <w:sectPr>
          <w:pgSz w:w="11900" w:h="16838" w:orient="portrait"/>
          <w:cols w:equalWidth="0" w:num="2">
            <w:col w:w="6100" w:space="720"/>
            <w:col w:w="2199"/>
          </w:cols>
          <w:pgMar w:left="1440" w:top="603" w:right="1440" w:bottom="1440" w:gutter="0" w:footer="0" w:header="0"/>
        </w:sect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- 2 -</w:t>
      </w:r>
    </w:p>
    <w:p>
      <w:pPr>
        <w:sectPr>
          <w:pgSz w:w="11900" w:h="16838" w:orient="portrait"/>
          <w:cols w:equalWidth="0" w:num="1">
            <w:col w:w="9019"/>
          </w:cols>
          <w:pgMar w:left="1440" w:top="603" w:right="1440" w:bottom="1440" w:gutter="0" w:footer="0" w:header="0"/>
          <w:type w:val="continuous"/>
        </w:sectPr>
      </w:pPr>
    </w:p>
    <w:bookmarkStart w:id="92" w:name="page93"/>
    <w:bookmarkEnd w:id="92"/>
    <w:p>
      <w:pPr>
        <w:ind w:left="424" w:hanging="424"/>
        <w:spacing w:after="0"/>
        <w:tabs>
          <w:tab w:leader="none" w:pos="424"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General information. Furnish the following information as to the Trustee:</w:t>
      </w:r>
    </w:p>
    <w:p>
      <w:pPr>
        <w:spacing w:after="0" w:line="130" w:lineRule="exact"/>
        <w:rPr>
          <w:rFonts w:ascii="Times New Roman" w:cs="Times New Roman" w:eastAsia="Times New Roman" w:hAnsi="Times New Roman"/>
          <w:sz w:val="18"/>
          <w:szCs w:val="18"/>
          <w:b w:val="1"/>
          <w:bCs w:val="1"/>
          <w:color w:val="auto"/>
        </w:rPr>
      </w:pPr>
    </w:p>
    <w:p>
      <w:pPr>
        <w:ind w:left="964" w:hanging="532"/>
        <w:spacing w:after="0"/>
        <w:tabs>
          <w:tab w:leader="none" w:pos="964" w:val="left"/>
        </w:tabs>
        <w:numPr>
          <w:ilvl w:val="1"/>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 and address of each examining or supervising authority to which it is subject.</w:t>
      </w:r>
    </w:p>
    <w:p>
      <w:pPr>
        <w:spacing w:after="0" w:line="252" w:lineRule="exact"/>
        <w:rPr>
          <w:sz w:val="20"/>
          <w:szCs w:val="20"/>
          <w:color w:val="auto"/>
        </w:rPr>
      </w:pPr>
    </w:p>
    <w:tbl>
      <w:tblPr>
        <w:tblLayout w:type="fixed"/>
        <w:tblInd w:w="424"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rPr>
              <w:t>Name</w:t>
            </w:r>
          </w:p>
        </w:tc>
        <w:tc>
          <w:tcPr>
            <w:tcW w:w="26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Address</w:t>
            </w:r>
          </w:p>
        </w:tc>
      </w:tr>
      <w:tr>
        <w:trPr>
          <w:trHeight w:val="20"/>
        </w:trPr>
        <w:tc>
          <w:tcPr>
            <w:tcW w:w="222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45"/>
        </w:trPr>
        <w:tc>
          <w:tcPr>
            <w:tcW w:w="52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Superintendent of the Department of Financial Services of the State of</w:t>
            </w:r>
          </w:p>
        </w:tc>
        <w:tc>
          <w:tcPr>
            <w:tcW w:w="52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97"/>
              </w:rPr>
              <w:t>One State Street, New York, N.Y. 10004-1417, and Albany, N.Y. 12223</w:t>
            </w:r>
          </w:p>
        </w:tc>
      </w:tr>
      <w:tr>
        <w:trPr>
          <w:trHeight w:val="234"/>
        </w:trPr>
        <w:tc>
          <w:tcPr>
            <w:tcW w:w="52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New York</w:t>
            </w:r>
          </w:p>
        </w:tc>
        <w:tc>
          <w:tcPr>
            <w:tcW w:w="2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270"/>
        </w:trPr>
        <w:tc>
          <w:tcPr>
            <w:tcW w:w="52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Federal Reserve Bank of New York</w:t>
            </w:r>
          </w:p>
        </w:tc>
        <w:tc>
          <w:tcPr>
            <w:tcW w:w="52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33 Liberty Street, New York, N.Y. 10045</w:t>
            </w:r>
          </w:p>
        </w:tc>
      </w:tr>
      <w:tr>
        <w:trPr>
          <w:trHeight w:val="252"/>
        </w:trPr>
        <w:tc>
          <w:tcPr>
            <w:tcW w:w="52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Federal Deposit Insurance Corporation</w:t>
            </w:r>
          </w:p>
        </w:tc>
        <w:tc>
          <w:tcPr>
            <w:tcW w:w="5240" w:type="dxa"/>
            <w:vAlign w:val="bottom"/>
            <w:gridSpan w:val="3"/>
          </w:tcPr>
          <w:p>
            <w:pPr>
              <w:ind w:left="100"/>
              <w:spacing w:after="0" w:line="252" w:lineRule="exact"/>
              <w:rPr>
                <w:sz w:val="20"/>
                <w:szCs w:val="20"/>
                <w:color w:val="auto"/>
              </w:rPr>
            </w:pPr>
            <w:r>
              <w:rPr>
                <w:rFonts w:ascii="Times New Roman" w:cs="Times New Roman" w:eastAsia="Times New Roman" w:hAnsi="Times New Roman"/>
                <w:sz w:val="18"/>
                <w:szCs w:val="18"/>
                <w:color w:val="auto"/>
              </w:rPr>
              <w:t>550 17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Street, NW</w:t>
            </w:r>
          </w:p>
        </w:tc>
      </w:tr>
      <w:tr>
        <w:trPr>
          <w:trHeight w:val="234"/>
        </w:trPr>
        <w:tc>
          <w:tcPr>
            <w:tcW w:w="4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2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Washington, D.C. 20429</w:t>
            </w:r>
          </w:p>
        </w:tc>
      </w:tr>
      <w:tr>
        <w:trPr>
          <w:trHeight w:val="252"/>
        </w:trPr>
        <w:tc>
          <w:tcPr>
            <w:tcW w:w="52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The Clearing House Association L.L.C.</w:t>
            </w:r>
          </w:p>
        </w:tc>
        <w:tc>
          <w:tcPr>
            <w:tcW w:w="52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100 Broad Street</w:t>
            </w:r>
          </w:p>
        </w:tc>
      </w:tr>
      <w:tr>
        <w:trPr>
          <w:trHeight w:val="234"/>
        </w:trPr>
        <w:tc>
          <w:tcPr>
            <w:tcW w:w="4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2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New York, N.Y. 10004</w:t>
            </w:r>
          </w:p>
        </w:tc>
      </w:tr>
      <w:tr>
        <w:trPr>
          <w:trHeight w:val="459"/>
        </w:trPr>
        <w:tc>
          <w:tcPr>
            <w:tcW w:w="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w:t>
            </w:r>
          </w:p>
        </w:tc>
        <w:tc>
          <w:tcPr>
            <w:tcW w:w="478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Whether it is authorized to exercise corporate trust powers.</w:t>
            </w:r>
          </w:p>
        </w:tc>
        <w:tc>
          <w:tcPr>
            <w:tcW w:w="2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324"/>
        </w:trPr>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Yes.</w:t>
            </w:r>
          </w:p>
        </w:tc>
        <w:tc>
          <w:tcPr>
            <w:tcW w:w="1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80" w:type="dxa"/>
            <w:vAlign w:val="bottom"/>
          </w:tcPr>
          <w:p>
            <w:pPr>
              <w:spacing w:after="0"/>
              <w:rPr>
                <w:sz w:val="24"/>
                <w:szCs w:val="24"/>
                <w:color w:val="auto"/>
              </w:rPr>
            </w:pPr>
          </w:p>
        </w:tc>
      </w:tr>
    </w:tbl>
    <w:p>
      <w:pPr>
        <w:spacing w:after="0" w:line="342" w:lineRule="exact"/>
        <w:rPr>
          <w:sz w:val="20"/>
          <w:szCs w:val="20"/>
          <w:color w:val="auto"/>
        </w:rPr>
      </w:pPr>
    </w:p>
    <w:p>
      <w:pPr>
        <w:ind w:left="424" w:hanging="424"/>
        <w:spacing w:after="0"/>
        <w:tabs>
          <w:tab w:leader="none" w:pos="424"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Affiliations with Obligor.</w:t>
      </w:r>
    </w:p>
    <w:p>
      <w:pPr>
        <w:spacing w:after="0" w:line="117" w:lineRule="exact"/>
        <w:rPr>
          <w:rFonts w:ascii="Times New Roman" w:cs="Times New Roman" w:eastAsia="Times New Roman" w:hAnsi="Times New Roman"/>
          <w:sz w:val="18"/>
          <w:szCs w:val="18"/>
          <w:b w:val="1"/>
          <w:bCs w:val="1"/>
          <w:color w:val="auto"/>
        </w:rPr>
      </w:pPr>
    </w:p>
    <w:p>
      <w:pPr>
        <w:ind w:left="444" w:right="5060"/>
        <w:spacing w:after="0" w:line="41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If the obligor is an affiliate of the trustee, describe each such affiliation. </w:t>
      </w: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ind w:left="424" w:hanging="424"/>
        <w:spacing w:after="0"/>
        <w:tabs>
          <w:tab w:leader="none" w:pos="424"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List of Exhibits.</w:t>
      </w:r>
    </w:p>
    <w:p>
      <w:pPr>
        <w:spacing w:after="0" w:line="117" w:lineRule="exact"/>
        <w:rPr>
          <w:rFonts w:ascii="Times New Roman" w:cs="Times New Roman" w:eastAsia="Times New Roman" w:hAnsi="Times New Roman"/>
          <w:sz w:val="18"/>
          <w:szCs w:val="18"/>
          <w:b w:val="1"/>
          <w:bCs w:val="1"/>
          <w:color w:val="auto"/>
        </w:rPr>
      </w:pPr>
    </w:p>
    <w:p>
      <w:pPr>
        <w:ind w:left="444"/>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 identified in parentheses below, on file with the Commission, are incorporated herein by reference as an exhibit hereto, pursuant to Rule 7a-29 under the Trust Indenture Act of 1939 (the “Act”).</w:t>
      </w:r>
    </w:p>
    <w:p>
      <w:pPr>
        <w:spacing w:after="0" w:line="64" w:lineRule="exact"/>
        <w:rPr>
          <w:rFonts w:ascii="Times New Roman" w:cs="Times New Roman" w:eastAsia="Times New Roman" w:hAnsi="Times New Roman"/>
          <w:sz w:val="18"/>
          <w:szCs w:val="18"/>
          <w:b w:val="1"/>
          <w:bCs w:val="1"/>
          <w:color w:val="auto"/>
        </w:rPr>
      </w:pPr>
    </w:p>
    <w:p>
      <w:pPr>
        <w:ind w:left="964" w:right="60" w:hanging="532"/>
        <w:spacing w:after="0" w:line="277" w:lineRule="auto"/>
        <w:tabs>
          <w:tab w:leader="none" w:pos="964" w:val="left"/>
        </w:tabs>
        <w:numPr>
          <w:ilvl w:val="1"/>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copy of the Organization Certificate of The Bank of New York Mellon (formerly known as The Bank of New York, itself formerly Irving Trust Company) as now in effect, which contains the authority to commence business and a grant of powers to exercise corporate trust powers. (Exhibit 1 to Amendment No. 1 to Form T-1 filed with Registration Statement No. 33-6215, Exhibits 1a and 1b to Form T-1 filed with Registration Statement No. 33-21672, Exhibit 1 to Form T-1 filed with Registration Statement No. 33-29637, Exhibit 1 to Form T-1 filed with Registration Statement No. 333-121195 and Exhibit 1 to Form T-1 filed with Registration Statement No. 333-152735).</w:t>
      </w:r>
    </w:p>
    <w:p>
      <w:pPr>
        <w:spacing w:after="0" w:line="100" w:lineRule="exact"/>
        <w:rPr>
          <w:rFonts w:ascii="Times New Roman" w:cs="Times New Roman" w:eastAsia="Times New Roman" w:hAnsi="Times New Roman"/>
          <w:sz w:val="17"/>
          <w:szCs w:val="17"/>
          <w:color w:val="auto"/>
        </w:rPr>
      </w:pPr>
    </w:p>
    <w:p>
      <w:pPr>
        <w:ind w:left="5464" w:hanging="106"/>
        <w:spacing w:after="0"/>
        <w:tabs>
          <w:tab w:leader="none" w:pos="5464" w:val="left"/>
        </w:tabs>
        <w:numPr>
          <w:ilvl w:val="2"/>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w:t>
      </w:r>
    </w:p>
    <w:p>
      <w:pPr>
        <w:sectPr>
          <w:pgSz w:w="11900" w:h="16838" w:orient="portrait"/>
          <w:cols w:equalWidth="0" w:num="1">
            <w:col w:w="10964"/>
          </w:cols>
          <w:pgMar w:left="436" w:top="266" w:right="499" w:bottom="1440" w:gutter="0" w:footer="0" w:header="0"/>
        </w:sectPr>
      </w:pPr>
    </w:p>
    <w:bookmarkStart w:id="93" w:name="page94"/>
    <w:bookmarkEnd w:id="93"/>
    <w:p>
      <w:pPr>
        <w:ind w:left="532" w:hanging="532"/>
        <w:spacing w:after="0"/>
        <w:tabs>
          <w:tab w:leader="none" w:pos="532"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copy of the existing By-laws of the Trustee (Exhibit 4 to Form T-1 filed with Registration Statement No. 333-261533).</w:t>
      </w:r>
    </w:p>
    <w:p>
      <w:pPr>
        <w:spacing w:after="0" w:line="131" w:lineRule="exact"/>
        <w:rPr>
          <w:sz w:val="20"/>
          <w:szCs w:val="20"/>
          <w:color w:val="auto"/>
        </w:rPr>
      </w:pPr>
    </w:p>
    <w:p>
      <w:pPr>
        <w:ind w:left="532" w:right="900" w:hanging="532"/>
        <w:spacing w:after="0" w:line="282" w:lineRule="auto"/>
        <w:tabs>
          <w:tab w:leader="none" w:pos="532"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the Trustee required by Section 321(b) of the Act (Exhibit 6 to Form T-1 filed with Registration Statement No. 333-229519).</w:t>
      </w:r>
    </w:p>
    <w:p>
      <w:pPr>
        <w:spacing w:after="0" w:line="67" w:lineRule="exact"/>
        <w:rPr>
          <w:rFonts w:ascii="Times New Roman" w:cs="Times New Roman" w:eastAsia="Times New Roman" w:hAnsi="Times New Roman"/>
          <w:sz w:val="18"/>
          <w:szCs w:val="18"/>
          <w:color w:val="auto"/>
        </w:rPr>
      </w:pPr>
    </w:p>
    <w:p>
      <w:pPr>
        <w:ind w:left="532" w:hanging="532"/>
        <w:spacing w:after="0" w:line="282" w:lineRule="auto"/>
        <w:tabs>
          <w:tab w:leader="none" w:pos="532"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latest report of condition of the Trustee published pursuant to law or to the requirements of its supervising or examining authority.</w:t>
      </w:r>
    </w:p>
    <w:p>
      <w:pPr>
        <w:spacing w:after="0" w:line="94" w:lineRule="exact"/>
        <w:rPr>
          <w:rFonts w:ascii="Times New Roman" w:cs="Times New Roman" w:eastAsia="Times New Roman" w:hAnsi="Times New Roman"/>
          <w:sz w:val="18"/>
          <w:szCs w:val="18"/>
          <w:color w:val="auto"/>
        </w:rPr>
      </w:pPr>
    </w:p>
    <w:p>
      <w:pPr>
        <w:ind w:left="5032" w:hanging="106"/>
        <w:spacing w:after="0"/>
        <w:tabs>
          <w:tab w:leader="none" w:pos="5032"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w:t>
      </w:r>
    </w:p>
    <w:p>
      <w:pPr>
        <w:sectPr>
          <w:pgSz w:w="11900" w:h="16838" w:orient="portrait"/>
          <w:cols w:equalWidth="0" w:num="1">
            <w:col w:w="10192"/>
          </w:cols>
          <w:pgMar w:left="868" w:top="270" w:right="8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Act, the Trustee, The Bank of New York Mellon, a corporation organized and existing under the laws of the State of New York, has duly caused this statement of eligibility to be signed on its behalf by the undersigned, thereunto duly authorized, all in the City of New York, and State of New York, on the 20th day of July, 2022.</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THE BANK OF NEW YORK MELLON</w:t>
      </w:r>
    </w:p>
    <w:p>
      <w:pPr>
        <w:spacing w:after="0" w:line="225" w:lineRule="exact"/>
        <w:rPr>
          <w:sz w:val="20"/>
          <w:szCs w:val="20"/>
          <w:color w:val="auto"/>
        </w:rPr>
      </w:pPr>
    </w:p>
    <w:p>
      <w:pPr>
        <w:ind w:left="6620"/>
        <w:spacing w:after="0"/>
        <w:tabs>
          <w:tab w:leader="none" w:pos="7480" w:val="left"/>
        </w:tabs>
        <w:rPr>
          <w:sz w:val="20"/>
          <w:szCs w:val="20"/>
          <w:color w:val="auto"/>
        </w:rPr>
      </w:pPr>
      <w:r>
        <w:rPr>
          <w:rFonts w:ascii="Times New Roman" w:cs="Times New Roman" w:eastAsia="Times New Roman" w:hAnsi="Times New Roman"/>
          <w:sz w:val="18"/>
          <w:szCs w:val="18"/>
          <w:color w:val="auto"/>
        </w:rPr>
        <w:t>By: /s/</w:t>
      </w:r>
      <w:r>
        <w:rPr>
          <w:sz w:val="20"/>
          <w:szCs w:val="20"/>
          <w:color w:val="auto"/>
        </w:rPr>
        <w:tab/>
      </w:r>
      <w:r>
        <w:rPr>
          <w:rFonts w:ascii="Times New Roman" w:cs="Times New Roman" w:eastAsia="Times New Roman" w:hAnsi="Times New Roman"/>
          <w:sz w:val="17"/>
          <w:szCs w:val="17"/>
          <w:color w:val="auto"/>
        </w:rPr>
        <w:t>Francine Kincaid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Francine Kincaid</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- 5 -</w:t>
      </w:r>
    </w:p>
    <w:p>
      <w:pPr>
        <w:sectPr>
          <w:pgSz w:w="11900" w:h="16838" w:orient="portrait"/>
          <w:cols w:equalWidth="0" w:num="1">
            <w:col w:w="11020"/>
          </w:cols>
          <w:pgMar w:left="440" w:top="270" w:right="4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182880</wp:posOffset>
            </wp:positionV>
            <wp:extent cx="699516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Report of Condition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BANK OF NEW YORK MELLON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240 Greenwich Street, New York, N.Y. 10286</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Foreign and Domestic Subsidiaries,</w:t>
      </w:r>
    </w:p>
    <w:p>
      <w:pPr>
        <w:spacing w:after="0" w:line="9" w:lineRule="exact"/>
        <w:rPr>
          <w:sz w:val="20"/>
          <w:szCs w:val="20"/>
          <w:color w:val="auto"/>
        </w:rPr>
      </w:pPr>
    </w:p>
    <w:p>
      <w:pPr>
        <w:ind w:right="380"/>
        <w:spacing w:after="0" w:line="260" w:lineRule="auto"/>
        <w:rPr>
          <w:sz w:val="20"/>
          <w:szCs w:val="20"/>
          <w:color w:val="auto"/>
        </w:rPr>
      </w:pPr>
      <w:r>
        <w:rPr>
          <w:rFonts w:ascii="Times New Roman" w:cs="Times New Roman" w:eastAsia="Times New Roman" w:hAnsi="Times New Roman"/>
          <w:sz w:val="18"/>
          <w:szCs w:val="18"/>
          <w:color w:val="auto"/>
        </w:rPr>
        <w:t>a member of the Federal Reserve System, at the close of business March 31, 2022, published in accordance with a call made by the Federal Reserve Bank of this District pursuant to the provisions of the Federal Reserve Act.</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Dollar amounts</w:t>
            </w:r>
          </w:p>
        </w:tc>
        <w:tc>
          <w:tcPr>
            <w:tcW w:w="0" w:type="dxa"/>
            <w:vAlign w:val="bottom"/>
          </w:tcPr>
          <w:p>
            <w:pPr>
              <w:spacing w:after="0"/>
              <w:rPr>
                <w:sz w:val="1"/>
                <w:szCs w:val="1"/>
                <w:color w:val="auto"/>
              </w:rPr>
            </w:pPr>
          </w:p>
        </w:tc>
      </w:tr>
      <w:tr>
        <w:trPr>
          <w:trHeight w:val="188"/>
        </w:trPr>
        <w:tc>
          <w:tcPr>
            <w:tcW w:w="10000" w:type="dxa"/>
            <w:vAlign w:val="bottom"/>
            <w:vMerge w:val="continue"/>
          </w:tcPr>
          <w:p>
            <w:pPr>
              <w:spacing w:after="0"/>
              <w:rPr>
                <w:sz w:val="16"/>
                <w:szCs w:val="16"/>
                <w:color w:val="auto"/>
              </w:rPr>
            </w:pPr>
          </w:p>
        </w:tc>
        <w:tc>
          <w:tcPr>
            <w:tcW w:w="10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in thousands</w:t>
            </w:r>
          </w:p>
        </w:tc>
        <w:tc>
          <w:tcPr>
            <w:tcW w:w="0" w:type="dxa"/>
            <w:vAlign w:val="bottom"/>
          </w:tcPr>
          <w:p>
            <w:pPr>
              <w:spacing w:after="0"/>
              <w:rPr>
                <w:sz w:val="1"/>
                <w:szCs w:val="1"/>
                <w:color w:val="auto"/>
              </w:rPr>
            </w:pPr>
          </w:p>
        </w:tc>
      </w:tr>
      <w:tr>
        <w:trPr>
          <w:trHeight w:val="104"/>
        </w:trPr>
        <w:tc>
          <w:tcPr>
            <w:tcW w:w="1000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balances due from depository institutions:</w:t>
            </w: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Noninterest-bearing balances and currency and coin</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5,268,000</w:t>
            </w:r>
          </w:p>
        </w:tc>
        <w:tc>
          <w:tcPr>
            <w:tcW w:w="0" w:type="dxa"/>
            <w:vAlign w:val="bottom"/>
          </w:tcPr>
          <w:p>
            <w:pPr>
              <w:spacing w:after="0"/>
              <w:rPr>
                <w:sz w:val="1"/>
                <w:szCs w:val="1"/>
                <w:color w:val="auto"/>
              </w:rPr>
            </w:pPr>
          </w:p>
        </w:tc>
      </w:tr>
      <w:tr>
        <w:trPr>
          <w:trHeight w:val="216"/>
        </w:trPr>
        <w:tc>
          <w:tcPr>
            <w:tcW w:w="10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Interest-bearing balances</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144,306,000</w:t>
            </w:r>
          </w:p>
        </w:tc>
        <w:tc>
          <w:tcPr>
            <w:tcW w:w="0" w:type="dxa"/>
            <w:vAlign w:val="bottom"/>
          </w:tcPr>
          <w:p>
            <w:pPr>
              <w:spacing w:after="0"/>
              <w:rPr>
                <w:sz w:val="1"/>
                <w:szCs w:val="1"/>
                <w:color w:val="auto"/>
              </w:rPr>
            </w:pPr>
          </w:p>
        </w:tc>
      </w:tr>
      <w:tr>
        <w:trPr>
          <w:trHeight w:val="216"/>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Securities:</w:t>
            </w: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Held-to-maturity securities</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60,600,000</w:t>
            </w:r>
          </w:p>
        </w:tc>
        <w:tc>
          <w:tcPr>
            <w:tcW w:w="0" w:type="dxa"/>
            <w:vAlign w:val="bottom"/>
          </w:tcPr>
          <w:p>
            <w:pPr>
              <w:spacing w:after="0"/>
              <w:rPr>
                <w:sz w:val="1"/>
                <w:szCs w:val="1"/>
                <w:color w:val="auto"/>
              </w:rPr>
            </w:pPr>
          </w:p>
        </w:tc>
      </w:tr>
      <w:tr>
        <w:trPr>
          <w:trHeight w:val="216"/>
        </w:trPr>
        <w:tc>
          <w:tcPr>
            <w:tcW w:w="10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Available-for-sale debt securities</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92,185,000</w:t>
            </w:r>
          </w:p>
        </w:tc>
        <w:tc>
          <w:tcPr>
            <w:tcW w:w="0" w:type="dxa"/>
            <w:vAlign w:val="bottom"/>
          </w:tcPr>
          <w:p>
            <w:pPr>
              <w:spacing w:after="0"/>
              <w:rPr>
                <w:sz w:val="1"/>
                <w:szCs w:val="1"/>
                <w:color w:val="auto"/>
              </w:rPr>
            </w:pPr>
          </w:p>
        </w:tc>
      </w:tr>
      <w:tr>
        <w:trPr>
          <w:trHeight w:val="216"/>
        </w:trPr>
        <w:tc>
          <w:tcPr>
            <w:tcW w:w="10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 securities with readily determinable fair values not held for trading</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16"/>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Federal funds sold and securities purchased under agreements to resell:</w:t>
            </w: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Federal funds sold in domestic offices</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0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Securities purchased under agreements to resell</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8,296,000</w:t>
            </w:r>
          </w:p>
        </w:tc>
        <w:tc>
          <w:tcPr>
            <w:tcW w:w="0" w:type="dxa"/>
            <w:vAlign w:val="bottom"/>
          </w:tcPr>
          <w:p>
            <w:pPr>
              <w:spacing w:after="0"/>
              <w:rPr>
                <w:sz w:val="1"/>
                <w:szCs w:val="1"/>
                <w:color w:val="auto"/>
              </w:rPr>
            </w:pPr>
          </w:p>
        </w:tc>
      </w:tr>
      <w:tr>
        <w:trPr>
          <w:trHeight w:val="216"/>
        </w:trPr>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and lease financing receivables:</w:t>
            </w: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Loans and leases held for sale</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0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Loans and leases held for investment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31,648,000</w:t>
            </w:r>
          </w:p>
        </w:tc>
        <w:tc>
          <w:tcPr>
            <w:tcW w:w="0" w:type="dxa"/>
            <w:vAlign w:val="bottom"/>
          </w:tcPr>
          <w:p>
            <w:pPr>
              <w:spacing w:after="0"/>
              <w:rPr>
                <w:sz w:val="1"/>
                <w:szCs w:val="1"/>
                <w:color w:val="auto"/>
              </w:rPr>
            </w:pPr>
          </w:p>
        </w:tc>
      </w:tr>
      <w:tr>
        <w:trPr>
          <w:trHeight w:val="216"/>
        </w:trPr>
        <w:tc>
          <w:tcPr>
            <w:tcW w:w="10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LESS: Allowance for loan and lease losses</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153,000</w:t>
            </w:r>
          </w:p>
        </w:tc>
        <w:tc>
          <w:tcPr>
            <w:tcW w:w="0" w:type="dxa"/>
            <w:vAlign w:val="bottom"/>
          </w:tcPr>
          <w:p>
            <w:pPr>
              <w:spacing w:after="0"/>
              <w:rPr>
                <w:sz w:val="1"/>
                <w:szCs w:val="1"/>
                <w:color w:val="auto"/>
              </w:rPr>
            </w:pPr>
          </w:p>
        </w:tc>
      </w:tr>
      <w:tr>
        <w:trPr>
          <w:trHeight w:val="216"/>
        </w:trPr>
        <w:tc>
          <w:tcPr>
            <w:tcW w:w="10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Loans and leases held for investment, net of allowance</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31,495,000</w:t>
            </w:r>
          </w:p>
        </w:tc>
        <w:tc>
          <w:tcPr>
            <w:tcW w:w="0" w:type="dxa"/>
            <w:vAlign w:val="bottom"/>
          </w:tcPr>
          <w:p>
            <w:pPr>
              <w:spacing w:after="0"/>
              <w:rPr>
                <w:sz w:val="1"/>
                <w:szCs w:val="1"/>
                <w:color w:val="auto"/>
              </w:rPr>
            </w:pPr>
          </w:p>
        </w:tc>
      </w:tr>
      <w:tr>
        <w:trPr>
          <w:trHeight w:val="216"/>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Trading assets</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10,454,000</w:t>
            </w:r>
          </w:p>
        </w:tc>
        <w:tc>
          <w:tcPr>
            <w:tcW w:w="0" w:type="dxa"/>
            <w:vAlign w:val="bottom"/>
          </w:tcPr>
          <w:p>
            <w:pPr>
              <w:spacing w:after="0"/>
              <w:rPr>
                <w:sz w:val="1"/>
                <w:szCs w:val="1"/>
                <w:color w:val="auto"/>
              </w:rPr>
            </w:pPr>
          </w:p>
        </w:tc>
      </w:tr>
      <w:tr>
        <w:trPr>
          <w:trHeight w:val="216"/>
        </w:trPr>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Premises and fixed assets (including capitalized leases)</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2,877,000</w:t>
            </w:r>
          </w:p>
        </w:tc>
        <w:tc>
          <w:tcPr>
            <w:tcW w:w="0" w:type="dxa"/>
            <w:vAlign w:val="bottom"/>
          </w:tcPr>
          <w:p>
            <w:pPr>
              <w:spacing w:after="0"/>
              <w:rPr>
                <w:sz w:val="1"/>
                <w:szCs w:val="1"/>
                <w:color w:val="auto"/>
              </w:rPr>
            </w:pPr>
          </w:p>
        </w:tc>
      </w:tr>
      <w:tr>
        <w:trPr>
          <w:trHeight w:val="216"/>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Other real estate owned</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unconsolidated subsidiaries and associated companies</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1,475,000</w:t>
            </w:r>
          </w:p>
        </w:tc>
        <w:tc>
          <w:tcPr>
            <w:tcW w:w="0" w:type="dxa"/>
            <w:vAlign w:val="bottom"/>
          </w:tcPr>
          <w:p>
            <w:pPr>
              <w:spacing w:after="0"/>
              <w:rPr>
                <w:sz w:val="1"/>
                <w:szCs w:val="1"/>
                <w:color w:val="auto"/>
              </w:rPr>
            </w:pPr>
          </w:p>
        </w:tc>
      </w:tr>
      <w:tr>
        <w:trPr>
          <w:trHeight w:val="216"/>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Direct and indirect investments in real estate ventures</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7,041,000</w:t>
            </w:r>
          </w:p>
        </w:tc>
        <w:tc>
          <w:tcPr>
            <w:tcW w:w="0" w:type="dxa"/>
            <w:vAlign w:val="bottom"/>
          </w:tcPr>
          <w:p>
            <w:pPr>
              <w:spacing w:after="0"/>
              <w:rPr>
                <w:sz w:val="1"/>
                <w:szCs w:val="1"/>
                <w:color w:val="auto"/>
              </w:rPr>
            </w:pPr>
          </w:p>
        </w:tc>
      </w:tr>
      <w:tr>
        <w:trPr>
          <w:trHeight w:val="223"/>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16,465,000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380,465,000</w:t>
            </w:r>
          </w:p>
        </w:tc>
        <w:tc>
          <w:tcPr>
            <w:tcW w:w="0" w:type="dxa"/>
            <w:vAlign w:val="bottom"/>
          </w:tcPr>
          <w:p>
            <w:pPr>
              <w:spacing w:after="0"/>
              <w:rPr>
                <w:sz w:val="1"/>
                <w:szCs w:val="1"/>
                <w:color w:val="auto"/>
              </w:rPr>
            </w:pPr>
          </w:p>
        </w:tc>
      </w:tr>
      <w:tr>
        <w:trPr>
          <w:trHeight w:val="20"/>
        </w:trPr>
        <w:tc>
          <w:tcPr>
            <w:tcW w:w="100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66" w:right="439" w:bottom="1440" w:gutter="0" w:footer="0" w:header="0"/>
        </w:sectPr>
      </w:pPr>
    </w:p>
    <w:bookmarkStart w:id="96" w:name="page97"/>
    <w:bookmarkEnd w:id="9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Deposits:</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 domestic offices</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218,035,000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Noninterest-bearing</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97,334,000</w:t>
            </w:r>
          </w:p>
        </w:tc>
        <w:tc>
          <w:tcPr>
            <w:tcW w:w="0" w:type="dxa"/>
            <w:vAlign w:val="bottom"/>
          </w:tcPr>
          <w:p>
            <w:pPr>
              <w:spacing w:after="0"/>
              <w:rPr>
                <w:sz w:val="1"/>
                <w:szCs w:val="1"/>
                <w:color w:val="auto"/>
              </w:rPr>
            </w:pPr>
          </w:p>
        </w:tc>
      </w:tr>
      <w:tr>
        <w:trPr>
          <w:trHeight w:val="216"/>
        </w:trPr>
        <w:tc>
          <w:tcPr>
            <w:tcW w:w="10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Interest-bearing</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120,701,000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 foreign offices, Edge and Agreement subsidiaries, and IBFs</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119,324,000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Noninterest-bearing</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6,368,000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Interest-bearing</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112,956,000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funds purchased and securities sold under agreements to repurchase:</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 funds purchased in domestic offices .</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0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Securities sold under agreements to repurchase</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4,308,000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Trading liabilities</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3,065,000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borrowed money:</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(includes mortgage indebtedness and obligations under capitalized leases)</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294,000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Subordinated notes and debentures</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3"/>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8,611,000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353,637,000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EQUITY CAPITAL</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Perpetual preferred stock and related surplus</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1,135,000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Surplus (exclude all surplus related to preferred stock)</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11,840,000</w:t>
            </w:r>
          </w:p>
        </w:tc>
        <w:tc>
          <w:tcPr>
            <w:tcW w:w="0" w:type="dxa"/>
            <w:vAlign w:val="bottom"/>
          </w:tcPr>
          <w:p>
            <w:pPr>
              <w:spacing w:after="0"/>
              <w:rPr>
                <w:sz w:val="1"/>
                <w:szCs w:val="1"/>
                <w:color w:val="auto"/>
              </w:rPr>
            </w:pPr>
          </w:p>
        </w:tc>
      </w:tr>
      <w:tr>
        <w:trPr>
          <w:trHeight w:val="216"/>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16,363,000</w:t>
            </w:r>
          </w:p>
        </w:tc>
        <w:tc>
          <w:tcPr>
            <w:tcW w:w="0" w:type="dxa"/>
            <w:vAlign w:val="bottom"/>
          </w:tcPr>
          <w:p>
            <w:pPr>
              <w:spacing w:after="0"/>
              <w:rPr>
                <w:sz w:val="1"/>
                <w:szCs w:val="1"/>
                <w:color w:val="auto"/>
              </w:rPr>
            </w:pPr>
          </w:p>
        </w:tc>
      </w:tr>
      <w:tr>
        <w:trPr>
          <w:trHeight w:val="216"/>
        </w:trPr>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-2,510,000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Other equity capital components</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bank equity capital</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26,828,000</w:t>
            </w:r>
          </w:p>
        </w:tc>
        <w:tc>
          <w:tcPr>
            <w:tcW w:w="0" w:type="dxa"/>
            <w:vAlign w:val="bottom"/>
          </w:tcPr>
          <w:p>
            <w:pPr>
              <w:spacing w:after="0"/>
              <w:rPr>
                <w:sz w:val="1"/>
                <w:szCs w:val="1"/>
                <w:color w:val="auto"/>
              </w:rPr>
            </w:pPr>
          </w:p>
        </w:tc>
      </w:tr>
      <w:tr>
        <w:trPr>
          <w:trHeight w:val="216"/>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(minority) interests in consolidated subsidiaries</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 capital</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26,828,000</w:t>
            </w:r>
          </w:p>
        </w:tc>
        <w:tc>
          <w:tcPr>
            <w:tcW w:w="0" w:type="dxa"/>
            <w:vAlign w:val="bottom"/>
          </w:tcPr>
          <w:p>
            <w:pPr>
              <w:spacing w:after="0"/>
              <w:rPr>
                <w:sz w:val="1"/>
                <w:szCs w:val="1"/>
                <w:color w:val="auto"/>
              </w:rPr>
            </w:pPr>
          </w:p>
        </w:tc>
      </w:tr>
      <w:tr>
        <w:trPr>
          <w:trHeight w:val="223"/>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equity capital</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380,465,000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88" w:right="439" w:bottom="1440" w:gutter="0" w:footer="0" w:header="0"/>
        </w:sectPr>
      </w:pPr>
    </w:p>
    <w:bookmarkStart w:id="97" w:name="page98"/>
    <w:bookmarkEnd w:id="97"/>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Emily Portney, Chief Financial Officer of the above-named bank do hereby declare that this Report of Condition is true and correct to the best of my knowledge and belief.</w:t>
      </w:r>
    </w:p>
    <w:p>
      <w:pPr>
        <w:spacing w:after="0" w:line="162"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8"/>
          <w:szCs w:val="18"/>
          <w:color w:val="auto"/>
        </w:rPr>
        <w:t>Emily Portney</w:t>
      </w:r>
    </w:p>
    <w:p>
      <w:pPr>
        <w:spacing w:after="0" w:line="27"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We, the undersigned directors, attest to the correctness of this statement of resources and liabilities. We declare that it has been examined by us, and to the best of our knowledge and belief has been prepared in conformance with the instructions and is true and correct.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Thomas P. Gibbons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-119380</wp:posOffset>
            </wp:positionV>
            <wp:extent cx="257175" cy="42037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7">
                      <a:extLst>
                        <a:ext uri="{28A0092B-C50C-407E-A947-70E740481C1C}"/>
                      </a:extLst>
                    </a:blip>
                    <a:srcRect/>
                    <a:stretch>
                      <a:fillRect/>
                    </a:stretch>
                  </pic:blipFill>
                  <pic:spPr bwMode="auto">
                    <a:xfrm>
                      <a:off x="0" y="0"/>
                      <a:ext cx="257175" cy="420370"/>
                    </a:xfrm>
                    <a:prstGeom prst="rect">
                      <a:avLst/>
                    </a:prstGeom>
                    <a:noFill/>
                  </pic:spPr>
                </pic:pic>
              </a:graphicData>
            </a:graphic>
          </wp:anchor>
        </w:drawing>
      </w:r>
    </w:p>
    <w:p>
      <w:pPr>
        <w:spacing w:after="0" w:line="7" w:lineRule="exact"/>
        <w:rPr>
          <w:sz w:val="20"/>
          <w:szCs w:val="20"/>
          <w:color w:val="auto"/>
        </w:rPr>
      </w:pPr>
    </w:p>
    <w:p>
      <w:pPr>
        <w:spacing w:after="0"/>
        <w:tabs>
          <w:tab w:leader="none" w:pos="3560" w:val="left"/>
        </w:tabs>
        <w:rPr>
          <w:sz w:val="20"/>
          <w:szCs w:val="20"/>
          <w:color w:val="auto"/>
        </w:rPr>
      </w:pPr>
      <w:r>
        <w:rPr>
          <w:rFonts w:ascii="Times New Roman" w:cs="Times New Roman" w:eastAsia="Times New Roman" w:hAnsi="Times New Roman"/>
          <w:sz w:val="18"/>
          <w:szCs w:val="18"/>
          <w:color w:val="auto"/>
        </w:rPr>
        <w:t>Frederick O. Terrell</w:t>
      </w:r>
      <w:r>
        <w:rPr>
          <w:sz w:val="20"/>
          <w:szCs w:val="20"/>
          <w:color w:val="auto"/>
        </w:rPr>
        <w:tab/>
      </w:r>
      <w:r>
        <w:rPr>
          <w:rFonts w:ascii="Times New Roman" w:cs="Times New Roman" w:eastAsia="Times New Roman" w:hAnsi="Times New Roman"/>
          <w:sz w:val="17"/>
          <w:szCs w:val="17"/>
          <w:color w:val="auto"/>
        </w:rPr>
        <w:t>Directors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Joseph J. Echevarria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177165</wp:posOffset>
            </wp:positionV>
            <wp:extent cx="699516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00"/>
          </w:cols>
          <w:pgMar w:left="440" w:top="270" w:right="45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4"/>
          <w:szCs w:val="14"/>
          <w:b w:val="1"/>
          <w:bCs w:val="1"/>
          <w:u w:val="single" w:color="auto"/>
          <w:color w:val="auto"/>
        </w:rPr>
        <w:t>Exhibit 107</w:t>
      </w:r>
    </w:p>
    <w:p>
      <w:pPr>
        <w:spacing w:after="0" w:line="20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Calculation of Filing Fee Tables</w:t>
      </w:r>
    </w:p>
    <w:p>
      <w:pPr>
        <w:spacing w:after="0" w:line="20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 S-3</w:t>
      </w:r>
    </w:p>
    <w:p>
      <w:pPr>
        <w:spacing w:after="0" w:line="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4"/>
          <w:szCs w:val="14"/>
          <w:color w:val="auto"/>
        </w:rPr>
        <w:t>(Form Type)</w:t>
      </w:r>
    </w:p>
    <w:p>
      <w:pPr>
        <w:spacing w:after="0" w:line="18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Comcast Corporation</w:t>
      </w:r>
    </w:p>
    <w:p>
      <w:pPr>
        <w:jc w:val="center"/>
        <w:ind w:right="-3"/>
        <w:spacing w:after="0" w:line="229" w:lineRule="auto"/>
        <w:rPr>
          <w:sz w:val="20"/>
          <w:szCs w:val="20"/>
          <w:color w:val="auto"/>
        </w:rPr>
      </w:pPr>
      <w:r>
        <w:rPr>
          <w:rFonts w:ascii="Times New Roman" w:cs="Times New Roman" w:eastAsia="Times New Roman" w:hAnsi="Times New Roman"/>
          <w:sz w:val="14"/>
          <w:szCs w:val="14"/>
          <w:b w:val="1"/>
          <w:bCs w:val="1"/>
          <w:color w:val="auto"/>
        </w:rPr>
        <w:t>NBCUniversal Media, LLC</w:t>
      </w:r>
    </w:p>
    <w:p>
      <w:pPr>
        <w:jc w:val="center"/>
        <w:ind w:right="-3"/>
        <w:spacing w:after="0" w:line="221" w:lineRule="auto"/>
        <w:rPr>
          <w:sz w:val="20"/>
          <w:szCs w:val="20"/>
          <w:color w:val="auto"/>
        </w:rPr>
      </w:pPr>
      <w:r>
        <w:rPr>
          <w:rFonts w:ascii="Times New Roman" w:cs="Times New Roman" w:eastAsia="Times New Roman" w:hAnsi="Times New Roman"/>
          <w:sz w:val="14"/>
          <w:szCs w:val="14"/>
          <w:b w:val="1"/>
          <w:bCs w:val="1"/>
          <w:color w:val="auto"/>
        </w:rPr>
        <w:t>Comcast Cable Communications, LLC</w:t>
      </w:r>
    </w:p>
    <w:p>
      <w:pPr>
        <w:spacing w:after="0" w:line="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8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4"/>
          <w:szCs w:val="14"/>
          <w:u w:val="single" w:color="auto"/>
          <w:color w:val="auto"/>
        </w:rPr>
        <w:t>Table 1: Newly Registered and Carry Forward Securities</w:t>
      </w:r>
    </w:p>
    <w:p>
      <w:pPr>
        <w:spacing w:after="0" w:line="112" w:lineRule="exact"/>
        <w:rPr>
          <w:sz w:val="20"/>
          <w:szCs w:val="20"/>
          <w:color w:val="auto"/>
        </w:rPr>
      </w:pPr>
    </w:p>
    <w:tbl>
      <w:tblPr>
        <w:tblLayout w:type="fixed"/>
        <w:tblInd w:w="74" w:type="dxa"/>
        <w:tblCellMar>
          <w:top w:w="0" w:type="dxa"/>
          <w:left w:w="0" w:type="dxa"/>
          <w:bottom w:w="0" w:type="dxa"/>
          <w:right w:w="0" w:type="dxa"/>
        </w:tblCellMar>
      </w:tblPr>
      <w:tr>
        <w:trPr>
          <w:trHeight w:val="144"/>
        </w:trPr>
        <w:tc>
          <w:tcPr>
            <w:tcW w:w="1780" w:type="dxa"/>
            <w:vAlign w:val="bottom"/>
            <w:tcBorders>
              <w:top w:val="single" w:sz="8" w:color="auto"/>
              <w:left w:val="single" w:sz="8" w:color="auto"/>
              <w:right w:val="single" w:sz="8" w:color="auto"/>
            </w:tcBorders>
          </w:tcPr>
          <w:p>
            <w:pPr>
              <w:spacing w:after="0"/>
              <w:rPr>
                <w:sz w:val="12"/>
                <w:szCs w:val="12"/>
                <w:color w:val="auto"/>
              </w:rPr>
            </w:pPr>
          </w:p>
        </w:tc>
        <w:tc>
          <w:tcPr>
            <w:tcW w:w="680" w:type="dxa"/>
            <w:vAlign w:val="bottom"/>
            <w:tcBorders>
              <w:top w:val="single" w:sz="8" w:color="auto"/>
              <w:right w:val="single" w:sz="8" w:color="auto"/>
            </w:tcBorders>
          </w:tcPr>
          <w:p>
            <w:pPr>
              <w:spacing w:after="0"/>
              <w:rPr>
                <w:sz w:val="12"/>
                <w:szCs w:val="12"/>
                <w:color w:val="auto"/>
              </w:rPr>
            </w:pPr>
          </w:p>
        </w:tc>
        <w:tc>
          <w:tcPr>
            <w:tcW w:w="1100" w:type="dxa"/>
            <w:vAlign w:val="bottom"/>
            <w:tcBorders>
              <w:top w:val="single" w:sz="8" w:color="auto"/>
              <w:right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8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spacing w:after="0"/>
              <w:rPr>
                <w:sz w:val="12"/>
                <w:szCs w:val="12"/>
                <w:color w:val="auto"/>
              </w:rPr>
            </w:pPr>
          </w:p>
        </w:tc>
        <w:tc>
          <w:tcPr>
            <w:tcW w:w="760" w:type="dxa"/>
            <w:vAlign w:val="bottom"/>
            <w:tcBorders>
              <w:top w:val="single" w:sz="8" w:color="auto"/>
              <w:right w:val="single" w:sz="8" w:color="auto"/>
            </w:tcBorders>
          </w:tcPr>
          <w:p>
            <w:pPr>
              <w:spacing w:after="0"/>
              <w:rPr>
                <w:sz w:val="12"/>
                <w:szCs w:val="12"/>
                <w:color w:val="auto"/>
              </w:rPr>
            </w:pPr>
          </w:p>
        </w:tc>
        <w:tc>
          <w:tcPr>
            <w:tcW w:w="760" w:type="dxa"/>
            <w:vAlign w:val="bottom"/>
            <w:tcBorders>
              <w:top w:val="single" w:sz="8" w:color="auto"/>
              <w:right w:val="single" w:sz="8" w:color="auto"/>
            </w:tcBorders>
          </w:tcPr>
          <w:p>
            <w:pPr>
              <w:spacing w:after="0"/>
              <w:rPr>
                <w:sz w:val="12"/>
                <w:szCs w:val="12"/>
                <w:color w:val="auto"/>
              </w:rPr>
            </w:pPr>
          </w:p>
        </w:tc>
        <w:tc>
          <w:tcPr>
            <w:tcW w:w="440" w:type="dxa"/>
            <w:vAlign w:val="bottom"/>
            <w:tcBorders>
              <w:top w:val="single" w:sz="8" w:color="auto"/>
              <w:right w:val="single" w:sz="8" w:color="auto"/>
            </w:tcBorders>
          </w:tcPr>
          <w:p>
            <w:pPr>
              <w:spacing w:after="0"/>
              <w:rPr>
                <w:sz w:val="12"/>
                <w:szCs w:val="12"/>
                <w:color w:val="auto"/>
              </w:rPr>
            </w:pPr>
          </w:p>
        </w:tc>
        <w:tc>
          <w:tcPr>
            <w:tcW w:w="860" w:type="dxa"/>
            <w:vAlign w:val="bottom"/>
            <w:tcBorders>
              <w:top w:val="single" w:sz="8" w:color="auto"/>
              <w:right w:val="single" w:sz="8" w:color="auto"/>
            </w:tcBorders>
          </w:tcPr>
          <w:p>
            <w:pPr>
              <w:spacing w:after="0"/>
              <w:rPr>
                <w:sz w:val="12"/>
                <w:szCs w:val="12"/>
                <w:color w:val="auto"/>
              </w:rPr>
            </w:pPr>
          </w:p>
        </w:tc>
        <w:tc>
          <w:tcPr>
            <w:tcW w:w="640" w:type="dxa"/>
            <w:vAlign w:val="bottom"/>
            <w:tcBorders>
              <w:top w:val="single" w:sz="8" w:color="auto"/>
              <w:right w:val="single" w:sz="8" w:color="auto"/>
            </w:tcBorders>
          </w:tcPr>
          <w:p>
            <w:pPr>
              <w:spacing w:after="0"/>
              <w:rPr>
                <w:sz w:val="12"/>
                <w:szCs w:val="12"/>
                <w:color w:val="auto"/>
              </w:rPr>
            </w:pPr>
          </w:p>
        </w:tc>
        <w:tc>
          <w:tcPr>
            <w:tcW w:w="660" w:type="dxa"/>
            <w:vAlign w:val="bottom"/>
            <w:tcBorders>
              <w:top w:val="single" w:sz="8" w:color="auto"/>
              <w:right w:val="single" w:sz="8" w:color="auto"/>
            </w:tcBorders>
          </w:tcPr>
          <w:p>
            <w:pPr>
              <w:spacing w:after="0"/>
              <w:rPr>
                <w:sz w:val="12"/>
                <w:szCs w:val="12"/>
                <w:color w:val="auto"/>
              </w:rPr>
            </w:pPr>
          </w:p>
        </w:tc>
        <w:tc>
          <w:tcPr>
            <w:tcW w:w="640" w:type="dxa"/>
            <w:vAlign w:val="bottom"/>
            <w:tcBorders>
              <w:top w:val="single" w:sz="8" w:color="auto"/>
              <w:right w:val="single" w:sz="8" w:color="auto"/>
            </w:tcBorders>
          </w:tcPr>
          <w:p>
            <w:pPr>
              <w:spacing w:after="0"/>
              <w:rPr>
                <w:sz w:val="12"/>
                <w:szCs w:val="12"/>
                <w:color w:val="auto"/>
              </w:rPr>
            </w:pPr>
          </w:p>
        </w:tc>
        <w:tc>
          <w:tcPr>
            <w:tcW w:w="76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4"/>
              </w:rPr>
              <w:t>Filing Fee</w:t>
            </w:r>
          </w:p>
        </w:tc>
        <w:tc>
          <w:tcPr>
            <w:tcW w:w="0" w:type="dxa"/>
            <w:vAlign w:val="bottom"/>
          </w:tcPr>
          <w:p>
            <w:pPr>
              <w:spacing w:after="0"/>
              <w:rPr>
                <w:sz w:val="1"/>
                <w:szCs w:val="1"/>
                <w:color w:val="auto"/>
              </w:rPr>
            </w:pPr>
          </w:p>
        </w:tc>
      </w:tr>
      <w:tr>
        <w:trPr>
          <w:trHeight w:val="135"/>
        </w:trPr>
        <w:tc>
          <w:tcPr>
            <w:tcW w:w="1780" w:type="dxa"/>
            <w:vAlign w:val="bottom"/>
            <w:tcBorders>
              <w:left w:val="single" w:sz="8" w:color="auto"/>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44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Previously</w:t>
            </w:r>
          </w:p>
        </w:tc>
        <w:tc>
          <w:tcPr>
            <w:tcW w:w="0" w:type="dxa"/>
            <w:vAlign w:val="bottom"/>
          </w:tcPr>
          <w:p>
            <w:pPr>
              <w:spacing w:after="0"/>
              <w:rPr>
                <w:sz w:val="1"/>
                <w:szCs w:val="1"/>
                <w:color w:val="auto"/>
              </w:rPr>
            </w:pPr>
          </w:p>
        </w:tc>
      </w:tr>
      <w:tr>
        <w:trPr>
          <w:trHeight w:val="135"/>
        </w:trPr>
        <w:tc>
          <w:tcPr>
            <w:tcW w:w="1780" w:type="dxa"/>
            <w:vAlign w:val="bottom"/>
            <w:tcBorders>
              <w:left w:val="single" w:sz="8" w:color="auto"/>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44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Paid In</w:t>
            </w:r>
          </w:p>
        </w:tc>
        <w:tc>
          <w:tcPr>
            <w:tcW w:w="0" w:type="dxa"/>
            <w:vAlign w:val="bottom"/>
          </w:tcPr>
          <w:p>
            <w:pPr>
              <w:spacing w:after="0"/>
              <w:rPr>
                <w:sz w:val="1"/>
                <w:szCs w:val="1"/>
                <w:color w:val="auto"/>
              </w:rPr>
            </w:pPr>
          </w:p>
        </w:tc>
      </w:tr>
      <w:tr>
        <w:trPr>
          <w:trHeight w:val="135"/>
        </w:trPr>
        <w:tc>
          <w:tcPr>
            <w:tcW w:w="1780" w:type="dxa"/>
            <w:vAlign w:val="bottom"/>
            <w:tcBorders>
              <w:left w:val="single" w:sz="8" w:color="auto"/>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44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Connection</w:t>
            </w:r>
          </w:p>
        </w:tc>
        <w:tc>
          <w:tcPr>
            <w:tcW w:w="0" w:type="dxa"/>
            <w:vAlign w:val="bottom"/>
          </w:tcPr>
          <w:p>
            <w:pPr>
              <w:spacing w:after="0"/>
              <w:rPr>
                <w:sz w:val="1"/>
                <w:szCs w:val="1"/>
                <w:color w:val="auto"/>
              </w:rPr>
            </w:pPr>
          </w:p>
        </w:tc>
      </w:tr>
      <w:tr>
        <w:trPr>
          <w:trHeight w:val="135"/>
        </w:trPr>
        <w:tc>
          <w:tcPr>
            <w:tcW w:w="1780" w:type="dxa"/>
            <w:vAlign w:val="bottom"/>
            <w:tcBorders>
              <w:left w:val="single" w:sz="8" w:color="auto"/>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44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with</w:t>
            </w:r>
          </w:p>
        </w:tc>
        <w:tc>
          <w:tcPr>
            <w:tcW w:w="0" w:type="dxa"/>
            <w:vAlign w:val="bottom"/>
          </w:tcPr>
          <w:p>
            <w:pPr>
              <w:spacing w:after="0"/>
              <w:rPr>
                <w:sz w:val="1"/>
                <w:szCs w:val="1"/>
                <w:color w:val="auto"/>
              </w:rPr>
            </w:pPr>
          </w:p>
        </w:tc>
      </w:tr>
      <w:tr>
        <w:trPr>
          <w:trHeight w:val="135"/>
        </w:trPr>
        <w:tc>
          <w:tcPr>
            <w:tcW w:w="1780" w:type="dxa"/>
            <w:vAlign w:val="bottom"/>
            <w:tcBorders>
              <w:left w:val="single" w:sz="8" w:color="auto"/>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Proposed</w:t>
            </w:r>
          </w:p>
        </w:tc>
        <w:tc>
          <w:tcPr>
            <w:tcW w:w="760" w:type="dxa"/>
            <w:vAlign w:val="bottom"/>
            <w:tcBorders>
              <w:right w:val="single" w:sz="8" w:color="auto"/>
            </w:tcBorders>
          </w:tcPr>
          <w:p>
            <w:pPr>
              <w:spacing w:after="0"/>
              <w:rPr>
                <w:sz w:val="11"/>
                <w:szCs w:val="11"/>
                <w:color w:val="auto"/>
              </w:rPr>
            </w:pPr>
          </w:p>
        </w:tc>
        <w:tc>
          <w:tcPr>
            <w:tcW w:w="44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rPr>
              <w:t>Carry</w:t>
            </w:r>
          </w:p>
        </w:tc>
        <w:tc>
          <w:tcPr>
            <w:tcW w:w="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4"/>
              </w:rPr>
              <w:t>Carry</w:t>
            </w:r>
          </w:p>
        </w:tc>
        <w:tc>
          <w:tcPr>
            <w:tcW w:w="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Carry</w:t>
            </w: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rPr>
              <w:t>Unsold</w:t>
            </w:r>
          </w:p>
        </w:tc>
        <w:tc>
          <w:tcPr>
            <w:tcW w:w="0" w:type="dxa"/>
            <w:vAlign w:val="bottom"/>
          </w:tcPr>
          <w:p>
            <w:pPr>
              <w:spacing w:after="0"/>
              <w:rPr>
                <w:sz w:val="1"/>
                <w:szCs w:val="1"/>
                <w:color w:val="auto"/>
              </w:rPr>
            </w:pPr>
          </w:p>
        </w:tc>
      </w:tr>
      <w:tr>
        <w:trPr>
          <w:trHeight w:val="126"/>
        </w:trPr>
        <w:tc>
          <w:tcPr>
            <w:tcW w:w="1780" w:type="dxa"/>
            <w:vAlign w:val="bottom"/>
            <w:tcBorders>
              <w:left w:val="single" w:sz="8" w:color="auto"/>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5"/>
              </w:rPr>
              <w:t>Maximum</w:t>
            </w:r>
          </w:p>
        </w:tc>
        <w:tc>
          <w:tcPr>
            <w:tcW w:w="76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5"/>
              </w:rPr>
              <w:t>Maximum</w:t>
            </w:r>
          </w:p>
        </w:tc>
        <w:tc>
          <w:tcPr>
            <w:tcW w:w="440" w:type="dxa"/>
            <w:vAlign w:val="bottom"/>
            <w:tcBorders>
              <w:right w:val="single" w:sz="8" w:color="auto"/>
            </w:tcBorders>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640" w:type="dxa"/>
            <w:vAlign w:val="bottom"/>
            <w:tcBorders>
              <w:right w:val="single" w:sz="8" w:color="auto"/>
            </w:tcBorders>
            <w:vMerge w:val="continue"/>
          </w:tcPr>
          <w:p>
            <w:pPr>
              <w:spacing w:after="0"/>
              <w:rPr>
                <w:sz w:val="10"/>
                <w:szCs w:val="10"/>
                <w:color w:val="auto"/>
              </w:rPr>
            </w:pPr>
          </w:p>
        </w:tc>
        <w:tc>
          <w:tcPr>
            <w:tcW w:w="660" w:type="dxa"/>
            <w:vAlign w:val="bottom"/>
            <w:tcBorders>
              <w:right w:val="single" w:sz="8" w:color="auto"/>
            </w:tcBorders>
            <w:vMerge w:val="continue"/>
          </w:tcPr>
          <w:p>
            <w:pPr>
              <w:spacing w:after="0"/>
              <w:rPr>
                <w:sz w:val="10"/>
                <w:szCs w:val="10"/>
                <w:color w:val="auto"/>
              </w:rPr>
            </w:pPr>
          </w:p>
        </w:tc>
        <w:tc>
          <w:tcPr>
            <w:tcW w:w="64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5"/>
              </w:rPr>
              <w:t>Forward</w:t>
            </w:r>
          </w:p>
        </w:tc>
        <w:tc>
          <w:tcPr>
            <w:tcW w:w="76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7"/>
              </w:rPr>
              <w:t>Securities</w:t>
            </w:r>
          </w:p>
        </w:tc>
        <w:tc>
          <w:tcPr>
            <w:tcW w:w="0" w:type="dxa"/>
            <w:vAlign w:val="bottom"/>
          </w:tcPr>
          <w:p>
            <w:pPr>
              <w:spacing w:after="0"/>
              <w:rPr>
                <w:sz w:val="1"/>
                <w:szCs w:val="1"/>
                <w:color w:val="auto"/>
              </w:rPr>
            </w:pPr>
          </w:p>
        </w:tc>
      </w:tr>
      <w:tr>
        <w:trPr>
          <w:trHeight w:val="135"/>
        </w:trPr>
        <w:tc>
          <w:tcPr>
            <w:tcW w:w="1780" w:type="dxa"/>
            <w:vAlign w:val="bottom"/>
            <w:tcBorders>
              <w:left w:val="single" w:sz="8" w:color="auto"/>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102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Fee Calculation</w:t>
            </w:r>
          </w:p>
        </w:tc>
        <w:tc>
          <w:tcPr>
            <w:tcW w:w="8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Amount</w:t>
            </w:r>
          </w:p>
        </w:tc>
        <w:tc>
          <w:tcPr>
            <w:tcW w:w="760" w:type="dxa"/>
            <w:vAlign w:val="bottom"/>
            <w:tcBorders>
              <w:right w:val="single" w:sz="8" w:color="auto"/>
            </w:tcBorders>
          </w:tcPr>
          <w:p>
            <w:pPr>
              <w:jc w:val="center"/>
              <w:ind w:left="13"/>
              <w:spacing w:after="0" w:line="135" w:lineRule="exact"/>
              <w:rPr>
                <w:sz w:val="20"/>
                <w:szCs w:val="20"/>
                <w:color w:val="auto"/>
              </w:rPr>
            </w:pPr>
            <w:r>
              <w:rPr>
                <w:rFonts w:ascii="Times New Roman" w:cs="Times New Roman" w:eastAsia="Times New Roman" w:hAnsi="Times New Roman"/>
                <w:sz w:val="13"/>
                <w:szCs w:val="13"/>
                <w:color w:val="auto"/>
                <w:w w:val="98"/>
              </w:rPr>
              <w:t>Offering</w:t>
            </w: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Aggregate</w:t>
            </w:r>
          </w:p>
        </w:tc>
        <w:tc>
          <w:tcPr>
            <w:tcW w:w="4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Amount of</w:t>
            </w:r>
          </w:p>
        </w:tc>
        <w:tc>
          <w:tcPr>
            <w:tcW w:w="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Forward</w:t>
            </w: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Forward</w:t>
            </w:r>
          </w:p>
        </w:tc>
        <w:tc>
          <w:tcPr>
            <w:tcW w:w="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Initial</w:t>
            </w: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rPr>
              <w:t>to be</w:t>
            </w:r>
          </w:p>
        </w:tc>
        <w:tc>
          <w:tcPr>
            <w:tcW w:w="0" w:type="dxa"/>
            <w:vAlign w:val="bottom"/>
          </w:tcPr>
          <w:p>
            <w:pPr>
              <w:spacing w:after="0"/>
              <w:rPr>
                <w:sz w:val="1"/>
                <w:szCs w:val="1"/>
                <w:color w:val="auto"/>
              </w:rPr>
            </w:pPr>
          </w:p>
        </w:tc>
      </w:tr>
      <w:tr>
        <w:trPr>
          <w:trHeight w:val="135"/>
        </w:trPr>
        <w:tc>
          <w:tcPr>
            <w:tcW w:w="1780" w:type="dxa"/>
            <w:vAlign w:val="bottom"/>
            <w:tcBorders>
              <w:left w:val="single" w:sz="8" w:color="auto"/>
              <w:right w:val="single" w:sz="8" w:color="auto"/>
            </w:tcBorders>
          </w:tcPr>
          <w:p>
            <w:pPr>
              <w:spacing w:after="0"/>
              <w:rPr>
                <w:sz w:val="11"/>
                <w:szCs w:val="11"/>
                <w:color w:val="auto"/>
              </w:rPr>
            </w:pPr>
          </w:p>
        </w:tc>
        <w:tc>
          <w:tcPr>
            <w:tcW w:w="6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11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 Class</w:t>
            </w:r>
          </w:p>
        </w:tc>
        <w:tc>
          <w:tcPr>
            <w:tcW w:w="1020" w:type="dxa"/>
            <w:vAlign w:val="bottom"/>
          </w:tcPr>
          <w:p>
            <w:pPr>
              <w:jc w:val="center"/>
              <w:ind w:left="52"/>
              <w:spacing w:after="0" w:line="135" w:lineRule="exact"/>
              <w:rPr>
                <w:sz w:val="20"/>
                <w:szCs w:val="20"/>
                <w:color w:val="auto"/>
              </w:rPr>
            </w:pPr>
            <w:r>
              <w:rPr>
                <w:rFonts w:ascii="Times New Roman" w:cs="Times New Roman" w:eastAsia="Times New Roman" w:hAnsi="Times New Roman"/>
                <w:sz w:val="13"/>
                <w:szCs w:val="13"/>
                <w:color w:val="auto"/>
                <w:w w:val="96"/>
              </w:rPr>
              <w:t>or Carry Forward</w:t>
            </w:r>
          </w:p>
        </w:tc>
        <w:tc>
          <w:tcPr>
            <w:tcW w:w="8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Registered</w:t>
            </w: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Price Per</w:t>
            </w: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Offering</w:t>
            </w:r>
          </w:p>
        </w:tc>
        <w:tc>
          <w:tcPr>
            <w:tcW w:w="4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Rate</w:t>
            </w:r>
          </w:p>
        </w:tc>
        <w:tc>
          <w:tcPr>
            <w:tcW w:w="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Registration</w:t>
            </w:r>
          </w:p>
        </w:tc>
        <w:tc>
          <w:tcPr>
            <w:tcW w:w="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Form</w:t>
            </w: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File</w:t>
            </w:r>
          </w:p>
        </w:tc>
        <w:tc>
          <w:tcPr>
            <w:tcW w:w="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Effective</w:t>
            </w: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Carried</w:t>
            </w:r>
          </w:p>
        </w:tc>
        <w:tc>
          <w:tcPr>
            <w:tcW w:w="0" w:type="dxa"/>
            <w:vAlign w:val="bottom"/>
          </w:tcPr>
          <w:p>
            <w:pPr>
              <w:spacing w:after="0"/>
              <w:rPr>
                <w:sz w:val="1"/>
                <w:szCs w:val="1"/>
                <w:color w:val="auto"/>
              </w:rPr>
            </w:pPr>
          </w:p>
        </w:tc>
      </w:tr>
      <w:tr>
        <w:trPr>
          <w:trHeight w:val="162"/>
        </w:trPr>
        <w:tc>
          <w:tcPr>
            <w:tcW w:w="1780" w:type="dxa"/>
            <w:vAlign w:val="bottom"/>
            <w:tcBorders>
              <w:left w:val="single" w:sz="8" w:color="auto"/>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Type</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Title</w:t>
            </w:r>
          </w:p>
        </w:tc>
        <w:tc>
          <w:tcPr>
            <w:tcW w:w="1020" w:type="dxa"/>
            <w:vAlign w:val="bottom"/>
            <w:tcBorders>
              <w:bottom w:val="single" w:sz="8" w:color="auto"/>
            </w:tcBorders>
          </w:tcPr>
          <w:p>
            <w:pPr>
              <w:jc w:val="center"/>
              <w:ind w:left="52"/>
              <w:spacing w:after="0"/>
              <w:rPr>
                <w:sz w:val="20"/>
                <w:szCs w:val="20"/>
                <w:color w:val="auto"/>
              </w:rPr>
            </w:pPr>
            <w:r>
              <w:rPr>
                <w:rFonts w:ascii="Times New Roman" w:cs="Times New Roman" w:eastAsia="Times New Roman" w:hAnsi="Times New Roman"/>
                <w:sz w:val="13"/>
                <w:szCs w:val="13"/>
                <w:color w:val="auto"/>
                <w:w w:val="92"/>
              </w:rPr>
              <w:t>Rule (1)</w:t>
            </w:r>
          </w:p>
        </w:tc>
        <w:tc>
          <w:tcPr>
            <w:tcW w:w="8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(2)</w:t>
            </w:r>
          </w:p>
        </w:tc>
        <w:tc>
          <w:tcPr>
            <w:tcW w:w="760" w:type="dxa"/>
            <w:vAlign w:val="bottom"/>
            <w:tcBorders>
              <w:bottom w:val="single" w:sz="8" w:color="auto"/>
              <w:right w:val="single" w:sz="8" w:color="auto"/>
            </w:tcBorders>
          </w:tcPr>
          <w:p>
            <w:pPr>
              <w:jc w:val="center"/>
              <w:ind w:left="13"/>
              <w:spacing w:after="0"/>
              <w:rPr>
                <w:sz w:val="20"/>
                <w:szCs w:val="20"/>
                <w:color w:val="auto"/>
              </w:rPr>
            </w:pPr>
            <w:r>
              <w:rPr>
                <w:rFonts w:ascii="Times New Roman" w:cs="Times New Roman" w:eastAsia="Times New Roman" w:hAnsi="Times New Roman"/>
                <w:sz w:val="13"/>
                <w:szCs w:val="13"/>
                <w:color w:val="auto"/>
                <w:w w:val="96"/>
              </w:rPr>
              <w:t>Unit (2)</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Price (2)</w:t>
            </w:r>
          </w:p>
        </w:tc>
        <w:tc>
          <w:tcPr>
            <w:tcW w:w="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(1)</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Fee (1)</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Type</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3"/>
              </w:rPr>
              <w:t>Number</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Date</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Forward</w:t>
            </w:r>
          </w:p>
        </w:tc>
        <w:tc>
          <w:tcPr>
            <w:tcW w:w="0" w:type="dxa"/>
            <w:vAlign w:val="bottom"/>
          </w:tcPr>
          <w:p>
            <w:pPr>
              <w:spacing w:after="0"/>
              <w:rPr>
                <w:sz w:val="1"/>
                <w:szCs w:val="1"/>
                <w:color w:val="auto"/>
              </w:rPr>
            </w:pPr>
          </w:p>
        </w:tc>
      </w:tr>
      <w:tr>
        <w:trPr>
          <w:trHeight w:val="223"/>
        </w:trPr>
        <w:tc>
          <w:tcPr>
            <w:tcW w:w="1780" w:type="dxa"/>
            <w:vAlign w:val="bottom"/>
            <w:tcBorders>
              <w:left w:val="single" w:sz="8" w:color="auto"/>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gridSpan w:val="5"/>
          </w:tcPr>
          <w:p>
            <w:pPr>
              <w:jc w:val="center"/>
              <w:ind w:left="432"/>
              <w:spacing w:after="0"/>
              <w:rPr>
                <w:sz w:val="20"/>
                <w:szCs w:val="20"/>
                <w:color w:val="auto"/>
              </w:rPr>
            </w:pPr>
            <w:r>
              <w:rPr>
                <w:rFonts w:ascii="Times New Roman" w:cs="Times New Roman" w:eastAsia="Times New Roman" w:hAnsi="Times New Roman"/>
                <w:sz w:val="18"/>
                <w:szCs w:val="18"/>
                <w:color w:val="auto"/>
                <w:w w:val="99"/>
              </w:rPr>
              <w:t>Newly Registered Securities</w:t>
            </w: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780" w:type="dxa"/>
            <w:vAlign w:val="bottom"/>
            <w:tcBorders>
              <w:left w:val="single" w:sz="8" w:color="auto"/>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Class A</w:t>
            </w:r>
          </w:p>
        </w:tc>
        <w:tc>
          <w:tcPr>
            <w:tcW w:w="1020" w:type="dxa"/>
            <w:vAlign w:val="bottom"/>
            <w:vMerge w:val="restart"/>
          </w:tcPr>
          <w:p>
            <w:pPr>
              <w:jc w:val="center"/>
              <w:ind w:left="12"/>
              <w:spacing w:after="0"/>
              <w:rPr>
                <w:sz w:val="20"/>
                <w:szCs w:val="20"/>
                <w:color w:val="auto"/>
              </w:rPr>
            </w:pPr>
            <w:r>
              <w:rPr>
                <w:rFonts w:ascii="Times New Roman" w:cs="Times New Roman" w:eastAsia="Times New Roman" w:hAnsi="Times New Roman"/>
                <w:sz w:val="18"/>
                <w:szCs w:val="18"/>
                <w:color w:val="auto"/>
              </w:rPr>
              <w:t>Rule 456(b)</w:t>
            </w:r>
          </w:p>
        </w:tc>
        <w:tc>
          <w:tcPr>
            <w:tcW w:w="8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rPr>
              <w:t>Common</w:t>
            </w:r>
          </w:p>
        </w:tc>
        <w:tc>
          <w:tcPr>
            <w:tcW w:w="1020" w:type="dxa"/>
            <w:vAlign w:val="bottom"/>
            <w:vMerge w:val="continue"/>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8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Fees to Be</w:t>
            </w:r>
          </w:p>
        </w:tc>
        <w:tc>
          <w:tcPr>
            <w:tcW w:w="68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Stock, $0.01</w:t>
            </w:r>
          </w:p>
        </w:tc>
        <w:tc>
          <w:tcPr>
            <w:tcW w:w="102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99"/>
              </w:rPr>
              <w:t>and</w:t>
            </w:r>
          </w:p>
        </w:tc>
        <w:tc>
          <w:tcPr>
            <w:tcW w:w="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78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Paid</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par value</w:t>
            </w:r>
          </w:p>
        </w:tc>
        <w:tc>
          <w:tcPr>
            <w:tcW w:w="1020" w:type="dxa"/>
            <w:vAlign w:val="bottom"/>
            <w:tcBorders>
              <w:bottom w:val="single" w:sz="8" w:color="auto"/>
            </w:tcBorders>
          </w:tcPr>
          <w:p>
            <w:pPr>
              <w:jc w:val="center"/>
              <w:ind w:left="52"/>
              <w:spacing w:after="0"/>
              <w:rPr>
                <w:sz w:val="20"/>
                <w:szCs w:val="20"/>
                <w:color w:val="auto"/>
              </w:rPr>
            </w:pPr>
            <w:r>
              <w:rPr>
                <w:rFonts w:ascii="Times New Roman" w:cs="Times New Roman" w:eastAsia="Times New Roman" w:hAnsi="Times New Roman"/>
                <w:sz w:val="18"/>
                <w:szCs w:val="18"/>
                <w:color w:val="auto"/>
              </w:rPr>
              <w:t>Rule 457(r)</w:t>
            </w:r>
          </w:p>
        </w:tc>
        <w:tc>
          <w:tcPr>
            <w:tcW w:w="80" w:type="dxa"/>
            <w:vAlign w:val="bottom"/>
            <w:tcBorders>
              <w:bottom w:val="single" w:sz="8" w:color="auto"/>
              <w:right w:val="single" w:sz="8" w:color="auto"/>
            </w:tcBorders>
          </w:tcPr>
          <w:p>
            <w:pPr>
              <w:spacing w:after="0"/>
              <w:rPr>
                <w:sz w:val="21"/>
                <w:szCs w:val="21"/>
                <w:color w:val="auto"/>
              </w:rPr>
            </w:pPr>
          </w:p>
        </w:tc>
        <w:tc>
          <w:tcPr>
            <w:tcW w:w="740" w:type="dxa"/>
            <w:vAlign w:val="bottom"/>
            <w:tcBorders>
              <w:bottom w:val="single" w:sz="8" w:color="auto"/>
              <w:right w:val="single" w:sz="8" w:color="auto"/>
            </w:tcBorders>
          </w:tcPr>
          <w:p>
            <w:pPr>
              <w:spacing w:after="0"/>
              <w:rPr>
                <w:sz w:val="21"/>
                <w:szCs w:val="21"/>
                <w:color w:val="auto"/>
              </w:rPr>
            </w:pPr>
          </w:p>
        </w:tc>
        <w:tc>
          <w:tcPr>
            <w:tcW w:w="760" w:type="dxa"/>
            <w:vAlign w:val="bottom"/>
            <w:tcBorders>
              <w:bottom w:val="single" w:sz="8" w:color="auto"/>
              <w:right w:val="single" w:sz="8" w:color="auto"/>
            </w:tcBorders>
          </w:tcPr>
          <w:p>
            <w:pPr>
              <w:spacing w:after="0"/>
              <w:rPr>
                <w:sz w:val="21"/>
                <w:szCs w:val="21"/>
                <w:color w:val="auto"/>
              </w:rPr>
            </w:pPr>
          </w:p>
        </w:tc>
        <w:tc>
          <w:tcPr>
            <w:tcW w:w="760" w:type="dxa"/>
            <w:vAlign w:val="bottom"/>
            <w:tcBorders>
              <w:bottom w:val="single" w:sz="8" w:color="auto"/>
              <w:right w:val="single" w:sz="8" w:color="auto"/>
            </w:tcBorders>
          </w:tcPr>
          <w:p>
            <w:pPr>
              <w:spacing w:after="0"/>
              <w:rPr>
                <w:sz w:val="21"/>
                <w:szCs w:val="21"/>
                <w:color w:val="auto"/>
              </w:rPr>
            </w:pPr>
          </w:p>
        </w:tc>
        <w:tc>
          <w:tcPr>
            <w:tcW w:w="440" w:type="dxa"/>
            <w:vAlign w:val="bottom"/>
            <w:tcBorders>
              <w:bottom w:val="single" w:sz="8" w:color="auto"/>
              <w:right w:val="single" w:sz="8" w:color="auto"/>
            </w:tcBorders>
          </w:tcPr>
          <w:p>
            <w:pPr>
              <w:spacing w:after="0"/>
              <w:rPr>
                <w:sz w:val="21"/>
                <w:szCs w:val="21"/>
                <w:color w:val="auto"/>
              </w:rPr>
            </w:pPr>
          </w:p>
        </w:tc>
        <w:tc>
          <w:tcPr>
            <w:tcW w:w="860" w:type="dxa"/>
            <w:vAlign w:val="bottom"/>
            <w:tcBorders>
              <w:bottom w:val="single" w:sz="8" w:color="auto"/>
              <w:right w:val="single" w:sz="8" w:color="auto"/>
            </w:tcBorders>
          </w:tcPr>
          <w:p>
            <w:pPr>
              <w:spacing w:after="0"/>
              <w:rPr>
                <w:sz w:val="21"/>
                <w:szCs w:val="21"/>
                <w:color w:val="auto"/>
              </w:rPr>
            </w:pPr>
          </w:p>
        </w:tc>
        <w:tc>
          <w:tcPr>
            <w:tcW w:w="640" w:type="dxa"/>
            <w:vAlign w:val="bottom"/>
            <w:tcBorders>
              <w:bottom w:val="single" w:sz="8" w:color="auto"/>
              <w:right w:val="single" w:sz="8" w:color="auto"/>
            </w:tcBorders>
          </w:tcPr>
          <w:p>
            <w:pPr>
              <w:spacing w:after="0"/>
              <w:rPr>
                <w:sz w:val="21"/>
                <w:szCs w:val="21"/>
                <w:color w:val="auto"/>
              </w:rPr>
            </w:pPr>
          </w:p>
        </w:tc>
        <w:tc>
          <w:tcPr>
            <w:tcW w:w="660" w:type="dxa"/>
            <w:vAlign w:val="bottom"/>
            <w:tcBorders>
              <w:bottom w:val="single" w:sz="8" w:color="auto"/>
              <w:right w:val="single" w:sz="8" w:color="auto"/>
            </w:tcBorders>
          </w:tcPr>
          <w:p>
            <w:pPr>
              <w:spacing w:after="0"/>
              <w:rPr>
                <w:sz w:val="21"/>
                <w:szCs w:val="21"/>
                <w:color w:val="auto"/>
              </w:rPr>
            </w:pPr>
          </w:p>
        </w:tc>
        <w:tc>
          <w:tcPr>
            <w:tcW w:w="640" w:type="dxa"/>
            <w:vAlign w:val="bottom"/>
            <w:tcBorders>
              <w:bottom w:val="single" w:sz="8" w:color="auto"/>
              <w:right w:val="single" w:sz="8" w:color="auto"/>
            </w:tcBorders>
          </w:tcPr>
          <w:p>
            <w:pPr>
              <w:spacing w:after="0"/>
              <w:rPr>
                <w:sz w:val="21"/>
                <w:szCs w:val="21"/>
                <w:color w:val="auto"/>
              </w:rPr>
            </w:pPr>
          </w:p>
        </w:tc>
        <w:tc>
          <w:tcPr>
            <w:tcW w:w="7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1780" w:type="dxa"/>
            <w:vAlign w:val="bottom"/>
            <w:tcBorders>
              <w:left w:val="single" w:sz="8" w:color="auto"/>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1020" w:type="dxa"/>
            <w:vAlign w:val="bottom"/>
          </w:tcPr>
          <w:p>
            <w:pPr>
              <w:jc w:val="center"/>
              <w:ind w:left="52"/>
              <w:spacing w:after="0" w:line="205" w:lineRule="exact"/>
              <w:rPr>
                <w:sz w:val="20"/>
                <w:szCs w:val="20"/>
                <w:color w:val="auto"/>
              </w:rPr>
            </w:pPr>
            <w:r>
              <w:rPr>
                <w:rFonts w:ascii="Times New Roman" w:cs="Times New Roman" w:eastAsia="Times New Roman" w:hAnsi="Times New Roman"/>
                <w:sz w:val="18"/>
                <w:szCs w:val="18"/>
                <w:color w:val="auto"/>
              </w:rPr>
              <w:t>Rule 456(b)</w:t>
            </w:r>
          </w:p>
        </w:tc>
        <w:tc>
          <w:tcPr>
            <w:tcW w:w="8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8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Preferred</w:t>
            </w:r>
          </w:p>
        </w:tc>
        <w:tc>
          <w:tcPr>
            <w:tcW w:w="102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99"/>
              </w:rPr>
              <w:t>and</w:t>
            </w:r>
          </w:p>
        </w:tc>
        <w:tc>
          <w:tcPr>
            <w:tcW w:w="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780" w:type="dxa"/>
            <w:vAlign w:val="bottom"/>
            <w:tcBorders>
              <w:left w:val="single" w:sz="8" w:color="auto"/>
              <w:bottom w:val="single" w:sz="8" w:color="auto"/>
              <w:right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Stock</w:t>
            </w:r>
          </w:p>
        </w:tc>
        <w:tc>
          <w:tcPr>
            <w:tcW w:w="1020" w:type="dxa"/>
            <w:vAlign w:val="bottom"/>
            <w:tcBorders>
              <w:bottom w:val="single" w:sz="8" w:color="auto"/>
            </w:tcBorders>
          </w:tcPr>
          <w:p>
            <w:pPr>
              <w:jc w:val="center"/>
              <w:ind w:left="52"/>
              <w:spacing w:after="0"/>
              <w:rPr>
                <w:sz w:val="20"/>
                <w:szCs w:val="20"/>
                <w:color w:val="auto"/>
              </w:rPr>
            </w:pPr>
            <w:r>
              <w:rPr>
                <w:rFonts w:ascii="Times New Roman" w:cs="Times New Roman" w:eastAsia="Times New Roman" w:hAnsi="Times New Roman"/>
                <w:sz w:val="18"/>
                <w:szCs w:val="18"/>
                <w:color w:val="auto"/>
              </w:rPr>
              <w:t>Rule 457(r)</w:t>
            </w:r>
          </w:p>
        </w:tc>
        <w:tc>
          <w:tcPr>
            <w:tcW w:w="80" w:type="dxa"/>
            <w:vAlign w:val="bottom"/>
            <w:tcBorders>
              <w:bottom w:val="single" w:sz="8" w:color="auto"/>
              <w:right w:val="single" w:sz="8" w:color="auto"/>
            </w:tcBorders>
          </w:tcPr>
          <w:p>
            <w:pPr>
              <w:spacing w:after="0"/>
              <w:rPr>
                <w:sz w:val="21"/>
                <w:szCs w:val="21"/>
                <w:color w:val="auto"/>
              </w:rPr>
            </w:pPr>
          </w:p>
        </w:tc>
        <w:tc>
          <w:tcPr>
            <w:tcW w:w="740" w:type="dxa"/>
            <w:vAlign w:val="bottom"/>
            <w:tcBorders>
              <w:bottom w:val="single" w:sz="8" w:color="auto"/>
              <w:right w:val="single" w:sz="8" w:color="auto"/>
            </w:tcBorders>
          </w:tcPr>
          <w:p>
            <w:pPr>
              <w:spacing w:after="0"/>
              <w:rPr>
                <w:sz w:val="21"/>
                <w:szCs w:val="21"/>
                <w:color w:val="auto"/>
              </w:rPr>
            </w:pPr>
          </w:p>
        </w:tc>
        <w:tc>
          <w:tcPr>
            <w:tcW w:w="760" w:type="dxa"/>
            <w:vAlign w:val="bottom"/>
            <w:tcBorders>
              <w:bottom w:val="single" w:sz="8" w:color="auto"/>
              <w:right w:val="single" w:sz="8" w:color="auto"/>
            </w:tcBorders>
          </w:tcPr>
          <w:p>
            <w:pPr>
              <w:spacing w:after="0"/>
              <w:rPr>
                <w:sz w:val="21"/>
                <w:szCs w:val="21"/>
                <w:color w:val="auto"/>
              </w:rPr>
            </w:pPr>
          </w:p>
        </w:tc>
        <w:tc>
          <w:tcPr>
            <w:tcW w:w="760" w:type="dxa"/>
            <w:vAlign w:val="bottom"/>
            <w:tcBorders>
              <w:bottom w:val="single" w:sz="8" w:color="auto"/>
              <w:right w:val="single" w:sz="8" w:color="auto"/>
            </w:tcBorders>
          </w:tcPr>
          <w:p>
            <w:pPr>
              <w:spacing w:after="0"/>
              <w:rPr>
                <w:sz w:val="21"/>
                <w:szCs w:val="21"/>
                <w:color w:val="auto"/>
              </w:rPr>
            </w:pPr>
          </w:p>
        </w:tc>
        <w:tc>
          <w:tcPr>
            <w:tcW w:w="440" w:type="dxa"/>
            <w:vAlign w:val="bottom"/>
            <w:tcBorders>
              <w:bottom w:val="single" w:sz="8" w:color="auto"/>
              <w:right w:val="single" w:sz="8" w:color="auto"/>
            </w:tcBorders>
          </w:tcPr>
          <w:p>
            <w:pPr>
              <w:spacing w:after="0"/>
              <w:rPr>
                <w:sz w:val="21"/>
                <w:szCs w:val="21"/>
                <w:color w:val="auto"/>
              </w:rPr>
            </w:pPr>
          </w:p>
        </w:tc>
        <w:tc>
          <w:tcPr>
            <w:tcW w:w="860" w:type="dxa"/>
            <w:vAlign w:val="bottom"/>
            <w:tcBorders>
              <w:bottom w:val="single" w:sz="8" w:color="auto"/>
              <w:right w:val="single" w:sz="8" w:color="auto"/>
            </w:tcBorders>
          </w:tcPr>
          <w:p>
            <w:pPr>
              <w:spacing w:after="0"/>
              <w:rPr>
                <w:sz w:val="21"/>
                <w:szCs w:val="21"/>
                <w:color w:val="auto"/>
              </w:rPr>
            </w:pPr>
          </w:p>
        </w:tc>
        <w:tc>
          <w:tcPr>
            <w:tcW w:w="640" w:type="dxa"/>
            <w:vAlign w:val="bottom"/>
            <w:tcBorders>
              <w:bottom w:val="single" w:sz="8" w:color="auto"/>
              <w:right w:val="single" w:sz="8" w:color="auto"/>
            </w:tcBorders>
          </w:tcPr>
          <w:p>
            <w:pPr>
              <w:spacing w:after="0"/>
              <w:rPr>
                <w:sz w:val="21"/>
                <w:szCs w:val="21"/>
                <w:color w:val="auto"/>
              </w:rPr>
            </w:pPr>
          </w:p>
        </w:tc>
        <w:tc>
          <w:tcPr>
            <w:tcW w:w="660" w:type="dxa"/>
            <w:vAlign w:val="bottom"/>
            <w:tcBorders>
              <w:bottom w:val="single" w:sz="8" w:color="auto"/>
              <w:right w:val="single" w:sz="8" w:color="auto"/>
            </w:tcBorders>
          </w:tcPr>
          <w:p>
            <w:pPr>
              <w:spacing w:after="0"/>
              <w:rPr>
                <w:sz w:val="21"/>
                <w:szCs w:val="21"/>
                <w:color w:val="auto"/>
              </w:rPr>
            </w:pPr>
          </w:p>
        </w:tc>
        <w:tc>
          <w:tcPr>
            <w:tcW w:w="640" w:type="dxa"/>
            <w:vAlign w:val="bottom"/>
            <w:tcBorders>
              <w:bottom w:val="single" w:sz="8" w:color="auto"/>
              <w:right w:val="single" w:sz="8" w:color="auto"/>
            </w:tcBorders>
          </w:tcPr>
          <w:p>
            <w:pPr>
              <w:spacing w:after="0"/>
              <w:rPr>
                <w:sz w:val="21"/>
                <w:szCs w:val="21"/>
                <w:color w:val="auto"/>
              </w:rPr>
            </w:pPr>
          </w:p>
        </w:tc>
        <w:tc>
          <w:tcPr>
            <w:tcW w:w="7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1780" w:type="dxa"/>
            <w:vAlign w:val="bottom"/>
            <w:tcBorders>
              <w:left w:val="single" w:sz="8" w:color="auto"/>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1020" w:type="dxa"/>
            <w:vAlign w:val="bottom"/>
          </w:tcPr>
          <w:p>
            <w:pPr>
              <w:jc w:val="center"/>
              <w:ind w:left="52"/>
              <w:spacing w:after="0" w:line="205" w:lineRule="exact"/>
              <w:rPr>
                <w:sz w:val="20"/>
                <w:szCs w:val="20"/>
                <w:color w:val="auto"/>
              </w:rPr>
            </w:pPr>
            <w:r>
              <w:rPr>
                <w:rFonts w:ascii="Times New Roman" w:cs="Times New Roman" w:eastAsia="Times New Roman" w:hAnsi="Times New Roman"/>
                <w:sz w:val="18"/>
                <w:szCs w:val="18"/>
                <w:color w:val="auto"/>
              </w:rPr>
              <w:t>Rule 456(b)</w:t>
            </w:r>
          </w:p>
        </w:tc>
        <w:tc>
          <w:tcPr>
            <w:tcW w:w="8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8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Senior Debt</w:t>
            </w:r>
          </w:p>
        </w:tc>
        <w:tc>
          <w:tcPr>
            <w:tcW w:w="102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99"/>
              </w:rPr>
              <w:t>and</w:t>
            </w:r>
          </w:p>
        </w:tc>
        <w:tc>
          <w:tcPr>
            <w:tcW w:w="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780" w:type="dxa"/>
            <w:vAlign w:val="bottom"/>
            <w:tcBorders>
              <w:left w:val="single" w:sz="8" w:color="auto"/>
              <w:bottom w:val="single" w:sz="8" w:color="auto"/>
              <w:right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Debt</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Securities</w:t>
            </w:r>
          </w:p>
        </w:tc>
        <w:tc>
          <w:tcPr>
            <w:tcW w:w="1020" w:type="dxa"/>
            <w:vAlign w:val="bottom"/>
            <w:tcBorders>
              <w:bottom w:val="single" w:sz="8" w:color="auto"/>
            </w:tcBorders>
          </w:tcPr>
          <w:p>
            <w:pPr>
              <w:jc w:val="center"/>
              <w:ind w:left="52"/>
              <w:spacing w:after="0"/>
              <w:rPr>
                <w:sz w:val="20"/>
                <w:szCs w:val="20"/>
                <w:color w:val="auto"/>
              </w:rPr>
            </w:pPr>
            <w:r>
              <w:rPr>
                <w:rFonts w:ascii="Times New Roman" w:cs="Times New Roman" w:eastAsia="Times New Roman" w:hAnsi="Times New Roman"/>
                <w:sz w:val="18"/>
                <w:szCs w:val="18"/>
                <w:color w:val="auto"/>
              </w:rPr>
              <w:t>Rule 457(r)</w:t>
            </w:r>
          </w:p>
        </w:tc>
        <w:tc>
          <w:tcPr>
            <w:tcW w:w="80" w:type="dxa"/>
            <w:vAlign w:val="bottom"/>
            <w:tcBorders>
              <w:bottom w:val="single" w:sz="8" w:color="auto"/>
              <w:right w:val="single" w:sz="8" w:color="auto"/>
            </w:tcBorders>
          </w:tcPr>
          <w:p>
            <w:pPr>
              <w:spacing w:after="0"/>
              <w:rPr>
                <w:sz w:val="21"/>
                <w:szCs w:val="21"/>
                <w:color w:val="auto"/>
              </w:rPr>
            </w:pPr>
          </w:p>
        </w:tc>
        <w:tc>
          <w:tcPr>
            <w:tcW w:w="740" w:type="dxa"/>
            <w:vAlign w:val="bottom"/>
            <w:tcBorders>
              <w:bottom w:val="single" w:sz="8" w:color="auto"/>
              <w:right w:val="single" w:sz="8" w:color="auto"/>
            </w:tcBorders>
          </w:tcPr>
          <w:p>
            <w:pPr>
              <w:spacing w:after="0"/>
              <w:rPr>
                <w:sz w:val="21"/>
                <w:szCs w:val="21"/>
                <w:color w:val="auto"/>
              </w:rPr>
            </w:pPr>
          </w:p>
        </w:tc>
        <w:tc>
          <w:tcPr>
            <w:tcW w:w="760" w:type="dxa"/>
            <w:vAlign w:val="bottom"/>
            <w:tcBorders>
              <w:bottom w:val="single" w:sz="8" w:color="auto"/>
              <w:right w:val="single" w:sz="8" w:color="auto"/>
            </w:tcBorders>
          </w:tcPr>
          <w:p>
            <w:pPr>
              <w:spacing w:after="0"/>
              <w:rPr>
                <w:sz w:val="21"/>
                <w:szCs w:val="21"/>
                <w:color w:val="auto"/>
              </w:rPr>
            </w:pPr>
          </w:p>
        </w:tc>
        <w:tc>
          <w:tcPr>
            <w:tcW w:w="760" w:type="dxa"/>
            <w:vAlign w:val="bottom"/>
            <w:tcBorders>
              <w:bottom w:val="single" w:sz="8" w:color="auto"/>
              <w:right w:val="single" w:sz="8" w:color="auto"/>
            </w:tcBorders>
          </w:tcPr>
          <w:p>
            <w:pPr>
              <w:spacing w:after="0"/>
              <w:rPr>
                <w:sz w:val="21"/>
                <w:szCs w:val="21"/>
                <w:color w:val="auto"/>
              </w:rPr>
            </w:pPr>
          </w:p>
        </w:tc>
        <w:tc>
          <w:tcPr>
            <w:tcW w:w="440" w:type="dxa"/>
            <w:vAlign w:val="bottom"/>
            <w:tcBorders>
              <w:bottom w:val="single" w:sz="8" w:color="auto"/>
              <w:right w:val="single" w:sz="8" w:color="auto"/>
            </w:tcBorders>
          </w:tcPr>
          <w:p>
            <w:pPr>
              <w:spacing w:after="0"/>
              <w:rPr>
                <w:sz w:val="21"/>
                <w:szCs w:val="21"/>
                <w:color w:val="auto"/>
              </w:rPr>
            </w:pPr>
          </w:p>
        </w:tc>
        <w:tc>
          <w:tcPr>
            <w:tcW w:w="860" w:type="dxa"/>
            <w:vAlign w:val="bottom"/>
            <w:tcBorders>
              <w:bottom w:val="single" w:sz="8" w:color="auto"/>
              <w:right w:val="single" w:sz="8" w:color="auto"/>
            </w:tcBorders>
          </w:tcPr>
          <w:p>
            <w:pPr>
              <w:spacing w:after="0"/>
              <w:rPr>
                <w:sz w:val="21"/>
                <w:szCs w:val="21"/>
                <w:color w:val="auto"/>
              </w:rPr>
            </w:pPr>
          </w:p>
        </w:tc>
        <w:tc>
          <w:tcPr>
            <w:tcW w:w="640" w:type="dxa"/>
            <w:vAlign w:val="bottom"/>
            <w:tcBorders>
              <w:bottom w:val="single" w:sz="8" w:color="auto"/>
              <w:right w:val="single" w:sz="8" w:color="auto"/>
            </w:tcBorders>
          </w:tcPr>
          <w:p>
            <w:pPr>
              <w:spacing w:after="0"/>
              <w:rPr>
                <w:sz w:val="21"/>
                <w:szCs w:val="21"/>
                <w:color w:val="auto"/>
              </w:rPr>
            </w:pPr>
          </w:p>
        </w:tc>
        <w:tc>
          <w:tcPr>
            <w:tcW w:w="660" w:type="dxa"/>
            <w:vAlign w:val="bottom"/>
            <w:tcBorders>
              <w:bottom w:val="single" w:sz="8" w:color="auto"/>
              <w:right w:val="single" w:sz="8" w:color="auto"/>
            </w:tcBorders>
          </w:tcPr>
          <w:p>
            <w:pPr>
              <w:spacing w:after="0"/>
              <w:rPr>
                <w:sz w:val="21"/>
                <w:szCs w:val="21"/>
                <w:color w:val="auto"/>
              </w:rPr>
            </w:pPr>
          </w:p>
        </w:tc>
        <w:tc>
          <w:tcPr>
            <w:tcW w:w="640" w:type="dxa"/>
            <w:vAlign w:val="bottom"/>
            <w:tcBorders>
              <w:bottom w:val="single" w:sz="8" w:color="auto"/>
              <w:right w:val="single" w:sz="8" w:color="auto"/>
            </w:tcBorders>
          </w:tcPr>
          <w:p>
            <w:pPr>
              <w:spacing w:after="0"/>
              <w:rPr>
                <w:sz w:val="21"/>
                <w:szCs w:val="21"/>
                <w:color w:val="auto"/>
              </w:rPr>
            </w:pPr>
          </w:p>
        </w:tc>
        <w:tc>
          <w:tcPr>
            <w:tcW w:w="7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1780" w:type="dxa"/>
            <w:vAlign w:val="bottom"/>
            <w:tcBorders>
              <w:left w:val="single" w:sz="8" w:color="auto"/>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ind w:left="160"/>
              <w:spacing w:after="0" w:line="205" w:lineRule="exact"/>
              <w:rPr>
                <w:sz w:val="20"/>
                <w:szCs w:val="20"/>
                <w:color w:val="auto"/>
              </w:rPr>
            </w:pPr>
            <w:r>
              <w:rPr>
                <w:rFonts w:ascii="Times New Roman" w:cs="Times New Roman" w:eastAsia="Times New Roman" w:hAnsi="Times New Roman"/>
                <w:sz w:val="18"/>
                <w:szCs w:val="18"/>
                <w:color w:val="auto"/>
              </w:rPr>
              <w:t>Guarantees</w:t>
            </w:r>
          </w:p>
        </w:tc>
        <w:tc>
          <w:tcPr>
            <w:tcW w:w="1020" w:type="dxa"/>
            <w:vAlign w:val="bottom"/>
          </w:tcPr>
          <w:p>
            <w:pPr>
              <w:jc w:val="center"/>
              <w:ind w:left="52"/>
              <w:spacing w:after="0" w:line="205" w:lineRule="exact"/>
              <w:rPr>
                <w:sz w:val="20"/>
                <w:szCs w:val="20"/>
                <w:color w:val="auto"/>
              </w:rPr>
            </w:pPr>
            <w:r>
              <w:rPr>
                <w:rFonts w:ascii="Times New Roman" w:cs="Times New Roman" w:eastAsia="Times New Roman" w:hAnsi="Times New Roman"/>
                <w:sz w:val="18"/>
                <w:szCs w:val="18"/>
                <w:color w:val="auto"/>
              </w:rPr>
              <w:t>Rule 456(b)</w:t>
            </w:r>
          </w:p>
        </w:tc>
        <w:tc>
          <w:tcPr>
            <w:tcW w:w="8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8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of Senior</w:t>
            </w:r>
          </w:p>
        </w:tc>
        <w:tc>
          <w:tcPr>
            <w:tcW w:w="102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99"/>
              </w:rPr>
              <w:t>and</w:t>
            </w:r>
          </w:p>
        </w:tc>
        <w:tc>
          <w:tcPr>
            <w:tcW w:w="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Debt</w:t>
            </w:r>
          </w:p>
        </w:tc>
        <w:tc>
          <w:tcPr>
            <w:tcW w:w="102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rPr>
              <w:t>Rule 457(r)</w:t>
            </w:r>
          </w:p>
        </w:tc>
        <w:tc>
          <w:tcPr>
            <w:tcW w:w="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780" w:type="dxa"/>
            <w:vAlign w:val="bottom"/>
            <w:tcBorders>
              <w:left w:val="single" w:sz="8" w:color="auto"/>
              <w:bottom w:val="single" w:sz="8" w:color="auto"/>
              <w:right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Debt</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Securities</w:t>
            </w:r>
          </w:p>
        </w:tc>
        <w:tc>
          <w:tcPr>
            <w:tcW w:w="1020" w:type="dxa"/>
            <w:vAlign w:val="bottom"/>
            <w:tcBorders>
              <w:bottom w:val="single" w:sz="8" w:color="auto"/>
            </w:tcBorders>
          </w:tcPr>
          <w:p>
            <w:pPr>
              <w:jc w:val="center"/>
              <w:ind w:left="52"/>
              <w:spacing w:after="0"/>
              <w:rPr>
                <w:sz w:val="20"/>
                <w:szCs w:val="20"/>
                <w:color w:val="auto"/>
              </w:rPr>
            </w:pPr>
            <w:r>
              <w:rPr>
                <w:rFonts w:ascii="Times New Roman" w:cs="Times New Roman" w:eastAsia="Times New Roman" w:hAnsi="Times New Roman"/>
                <w:sz w:val="18"/>
                <w:szCs w:val="18"/>
                <w:color w:val="auto"/>
                <w:w w:val="95"/>
              </w:rPr>
              <w:t>(3)</w:t>
            </w:r>
          </w:p>
        </w:tc>
        <w:tc>
          <w:tcPr>
            <w:tcW w:w="80" w:type="dxa"/>
            <w:vAlign w:val="bottom"/>
            <w:tcBorders>
              <w:bottom w:val="single" w:sz="8" w:color="auto"/>
              <w:right w:val="single" w:sz="8" w:color="auto"/>
            </w:tcBorders>
          </w:tcPr>
          <w:p>
            <w:pPr>
              <w:spacing w:after="0"/>
              <w:rPr>
                <w:sz w:val="21"/>
                <w:szCs w:val="21"/>
                <w:color w:val="auto"/>
              </w:rPr>
            </w:pPr>
          </w:p>
        </w:tc>
        <w:tc>
          <w:tcPr>
            <w:tcW w:w="740" w:type="dxa"/>
            <w:vAlign w:val="bottom"/>
            <w:tcBorders>
              <w:bottom w:val="single" w:sz="8" w:color="auto"/>
              <w:right w:val="single" w:sz="8" w:color="auto"/>
            </w:tcBorders>
          </w:tcPr>
          <w:p>
            <w:pPr>
              <w:spacing w:after="0"/>
              <w:rPr>
                <w:sz w:val="21"/>
                <w:szCs w:val="21"/>
                <w:color w:val="auto"/>
              </w:rPr>
            </w:pPr>
          </w:p>
        </w:tc>
        <w:tc>
          <w:tcPr>
            <w:tcW w:w="760" w:type="dxa"/>
            <w:vAlign w:val="bottom"/>
            <w:tcBorders>
              <w:bottom w:val="single" w:sz="8" w:color="auto"/>
              <w:right w:val="single" w:sz="8" w:color="auto"/>
            </w:tcBorders>
          </w:tcPr>
          <w:p>
            <w:pPr>
              <w:spacing w:after="0"/>
              <w:rPr>
                <w:sz w:val="21"/>
                <w:szCs w:val="21"/>
                <w:color w:val="auto"/>
              </w:rPr>
            </w:pPr>
          </w:p>
        </w:tc>
        <w:tc>
          <w:tcPr>
            <w:tcW w:w="760" w:type="dxa"/>
            <w:vAlign w:val="bottom"/>
            <w:tcBorders>
              <w:bottom w:val="single" w:sz="8" w:color="auto"/>
              <w:right w:val="single" w:sz="8" w:color="auto"/>
            </w:tcBorders>
          </w:tcPr>
          <w:p>
            <w:pPr>
              <w:spacing w:after="0"/>
              <w:rPr>
                <w:sz w:val="21"/>
                <w:szCs w:val="21"/>
                <w:color w:val="auto"/>
              </w:rPr>
            </w:pPr>
          </w:p>
        </w:tc>
        <w:tc>
          <w:tcPr>
            <w:tcW w:w="440" w:type="dxa"/>
            <w:vAlign w:val="bottom"/>
            <w:tcBorders>
              <w:bottom w:val="single" w:sz="8" w:color="auto"/>
              <w:right w:val="single" w:sz="8" w:color="auto"/>
            </w:tcBorders>
          </w:tcPr>
          <w:p>
            <w:pPr>
              <w:spacing w:after="0"/>
              <w:rPr>
                <w:sz w:val="21"/>
                <w:szCs w:val="21"/>
                <w:color w:val="auto"/>
              </w:rPr>
            </w:pPr>
          </w:p>
        </w:tc>
        <w:tc>
          <w:tcPr>
            <w:tcW w:w="860" w:type="dxa"/>
            <w:vAlign w:val="bottom"/>
            <w:tcBorders>
              <w:bottom w:val="single" w:sz="8" w:color="auto"/>
              <w:right w:val="single" w:sz="8" w:color="auto"/>
            </w:tcBorders>
          </w:tcPr>
          <w:p>
            <w:pPr>
              <w:spacing w:after="0"/>
              <w:rPr>
                <w:sz w:val="21"/>
                <w:szCs w:val="21"/>
                <w:color w:val="auto"/>
              </w:rPr>
            </w:pPr>
          </w:p>
        </w:tc>
        <w:tc>
          <w:tcPr>
            <w:tcW w:w="640" w:type="dxa"/>
            <w:vAlign w:val="bottom"/>
            <w:tcBorders>
              <w:bottom w:val="single" w:sz="8" w:color="auto"/>
              <w:right w:val="single" w:sz="8" w:color="auto"/>
            </w:tcBorders>
          </w:tcPr>
          <w:p>
            <w:pPr>
              <w:spacing w:after="0"/>
              <w:rPr>
                <w:sz w:val="21"/>
                <w:szCs w:val="21"/>
                <w:color w:val="auto"/>
              </w:rPr>
            </w:pPr>
          </w:p>
        </w:tc>
        <w:tc>
          <w:tcPr>
            <w:tcW w:w="660" w:type="dxa"/>
            <w:vAlign w:val="bottom"/>
            <w:tcBorders>
              <w:bottom w:val="single" w:sz="8" w:color="auto"/>
              <w:right w:val="single" w:sz="8" w:color="auto"/>
            </w:tcBorders>
          </w:tcPr>
          <w:p>
            <w:pPr>
              <w:spacing w:after="0"/>
              <w:rPr>
                <w:sz w:val="21"/>
                <w:szCs w:val="21"/>
                <w:color w:val="auto"/>
              </w:rPr>
            </w:pPr>
          </w:p>
        </w:tc>
        <w:tc>
          <w:tcPr>
            <w:tcW w:w="640" w:type="dxa"/>
            <w:vAlign w:val="bottom"/>
            <w:tcBorders>
              <w:bottom w:val="single" w:sz="8" w:color="auto"/>
              <w:right w:val="single" w:sz="8" w:color="auto"/>
            </w:tcBorders>
          </w:tcPr>
          <w:p>
            <w:pPr>
              <w:spacing w:after="0"/>
              <w:rPr>
                <w:sz w:val="21"/>
                <w:szCs w:val="21"/>
                <w:color w:val="auto"/>
              </w:rPr>
            </w:pPr>
          </w:p>
        </w:tc>
        <w:tc>
          <w:tcPr>
            <w:tcW w:w="7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1780" w:type="dxa"/>
            <w:vAlign w:val="bottom"/>
            <w:tcBorders>
              <w:left w:val="single" w:sz="8" w:color="auto"/>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1020" w:type="dxa"/>
            <w:vAlign w:val="bottom"/>
          </w:tcPr>
          <w:p>
            <w:pPr>
              <w:jc w:val="center"/>
              <w:ind w:left="52"/>
              <w:spacing w:after="0" w:line="205" w:lineRule="exact"/>
              <w:rPr>
                <w:sz w:val="20"/>
                <w:szCs w:val="20"/>
                <w:color w:val="auto"/>
              </w:rPr>
            </w:pPr>
            <w:r>
              <w:rPr>
                <w:rFonts w:ascii="Times New Roman" w:cs="Times New Roman" w:eastAsia="Times New Roman" w:hAnsi="Times New Roman"/>
                <w:sz w:val="18"/>
                <w:szCs w:val="18"/>
                <w:color w:val="auto"/>
              </w:rPr>
              <w:t>Rule 456(b)</w:t>
            </w:r>
          </w:p>
        </w:tc>
        <w:tc>
          <w:tcPr>
            <w:tcW w:w="8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8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Depositary</w:t>
            </w:r>
          </w:p>
        </w:tc>
        <w:tc>
          <w:tcPr>
            <w:tcW w:w="102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99"/>
              </w:rPr>
              <w:t>and</w:t>
            </w:r>
          </w:p>
        </w:tc>
        <w:tc>
          <w:tcPr>
            <w:tcW w:w="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780" w:type="dxa"/>
            <w:vAlign w:val="bottom"/>
            <w:tcBorders>
              <w:left w:val="single" w:sz="8" w:color="auto"/>
              <w:bottom w:val="single" w:sz="8" w:color="auto"/>
              <w:right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1020" w:type="dxa"/>
            <w:vAlign w:val="bottom"/>
            <w:tcBorders>
              <w:bottom w:val="single" w:sz="8" w:color="auto"/>
            </w:tcBorders>
          </w:tcPr>
          <w:p>
            <w:pPr>
              <w:jc w:val="center"/>
              <w:ind w:left="52"/>
              <w:spacing w:after="0"/>
              <w:rPr>
                <w:sz w:val="20"/>
                <w:szCs w:val="20"/>
                <w:color w:val="auto"/>
              </w:rPr>
            </w:pPr>
            <w:r>
              <w:rPr>
                <w:rFonts w:ascii="Times New Roman" w:cs="Times New Roman" w:eastAsia="Times New Roman" w:hAnsi="Times New Roman"/>
                <w:sz w:val="18"/>
                <w:szCs w:val="18"/>
                <w:color w:val="auto"/>
              </w:rPr>
              <w:t>Rule 457(r)</w:t>
            </w:r>
          </w:p>
        </w:tc>
        <w:tc>
          <w:tcPr>
            <w:tcW w:w="80" w:type="dxa"/>
            <w:vAlign w:val="bottom"/>
            <w:tcBorders>
              <w:bottom w:val="single" w:sz="8" w:color="auto"/>
              <w:right w:val="single" w:sz="8" w:color="auto"/>
            </w:tcBorders>
          </w:tcPr>
          <w:p>
            <w:pPr>
              <w:spacing w:after="0"/>
              <w:rPr>
                <w:sz w:val="21"/>
                <w:szCs w:val="21"/>
                <w:color w:val="auto"/>
              </w:rPr>
            </w:pPr>
          </w:p>
        </w:tc>
        <w:tc>
          <w:tcPr>
            <w:tcW w:w="740" w:type="dxa"/>
            <w:vAlign w:val="bottom"/>
            <w:tcBorders>
              <w:bottom w:val="single" w:sz="8" w:color="auto"/>
              <w:right w:val="single" w:sz="8" w:color="auto"/>
            </w:tcBorders>
          </w:tcPr>
          <w:p>
            <w:pPr>
              <w:spacing w:after="0"/>
              <w:rPr>
                <w:sz w:val="21"/>
                <w:szCs w:val="21"/>
                <w:color w:val="auto"/>
              </w:rPr>
            </w:pPr>
          </w:p>
        </w:tc>
        <w:tc>
          <w:tcPr>
            <w:tcW w:w="760" w:type="dxa"/>
            <w:vAlign w:val="bottom"/>
            <w:tcBorders>
              <w:bottom w:val="single" w:sz="8" w:color="auto"/>
              <w:right w:val="single" w:sz="8" w:color="auto"/>
            </w:tcBorders>
          </w:tcPr>
          <w:p>
            <w:pPr>
              <w:spacing w:after="0"/>
              <w:rPr>
                <w:sz w:val="21"/>
                <w:szCs w:val="21"/>
                <w:color w:val="auto"/>
              </w:rPr>
            </w:pPr>
          </w:p>
        </w:tc>
        <w:tc>
          <w:tcPr>
            <w:tcW w:w="760" w:type="dxa"/>
            <w:vAlign w:val="bottom"/>
            <w:tcBorders>
              <w:bottom w:val="single" w:sz="8" w:color="auto"/>
              <w:right w:val="single" w:sz="8" w:color="auto"/>
            </w:tcBorders>
          </w:tcPr>
          <w:p>
            <w:pPr>
              <w:spacing w:after="0"/>
              <w:rPr>
                <w:sz w:val="21"/>
                <w:szCs w:val="21"/>
                <w:color w:val="auto"/>
              </w:rPr>
            </w:pPr>
          </w:p>
        </w:tc>
        <w:tc>
          <w:tcPr>
            <w:tcW w:w="440" w:type="dxa"/>
            <w:vAlign w:val="bottom"/>
            <w:tcBorders>
              <w:bottom w:val="single" w:sz="8" w:color="auto"/>
              <w:right w:val="single" w:sz="8" w:color="auto"/>
            </w:tcBorders>
          </w:tcPr>
          <w:p>
            <w:pPr>
              <w:spacing w:after="0"/>
              <w:rPr>
                <w:sz w:val="21"/>
                <w:szCs w:val="21"/>
                <w:color w:val="auto"/>
              </w:rPr>
            </w:pPr>
          </w:p>
        </w:tc>
        <w:tc>
          <w:tcPr>
            <w:tcW w:w="860" w:type="dxa"/>
            <w:vAlign w:val="bottom"/>
            <w:tcBorders>
              <w:bottom w:val="single" w:sz="8" w:color="auto"/>
              <w:right w:val="single" w:sz="8" w:color="auto"/>
            </w:tcBorders>
          </w:tcPr>
          <w:p>
            <w:pPr>
              <w:spacing w:after="0"/>
              <w:rPr>
                <w:sz w:val="21"/>
                <w:szCs w:val="21"/>
                <w:color w:val="auto"/>
              </w:rPr>
            </w:pPr>
          </w:p>
        </w:tc>
        <w:tc>
          <w:tcPr>
            <w:tcW w:w="640" w:type="dxa"/>
            <w:vAlign w:val="bottom"/>
            <w:tcBorders>
              <w:bottom w:val="single" w:sz="8" w:color="auto"/>
              <w:right w:val="single" w:sz="8" w:color="auto"/>
            </w:tcBorders>
          </w:tcPr>
          <w:p>
            <w:pPr>
              <w:spacing w:after="0"/>
              <w:rPr>
                <w:sz w:val="21"/>
                <w:szCs w:val="21"/>
                <w:color w:val="auto"/>
              </w:rPr>
            </w:pPr>
          </w:p>
        </w:tc>
        <w:tc>
          <w:tcPr>
            <w:tcW w:w="660" w:type="dxa"/>
            <w:vAlign w:val="bottom"/>
            <w:tcBorders>
              <w:bottom w:val="single" w:sz="8" w:color="auto"/>
              <w:right w:val="single" w:sz="8" w:color="auto"/>
            </w:tcBorders>
          </w:tcPr>
          <w:p>
            <w:pPr>
              <w:spacing w:after="0"/>
              <w:rPr>
                <w:sz w:val="21"/>
                <w:szCs w:val="21"/>
                <w:color w:val="auto"/>
              </w:rPr>
            </w:pPr>
          </w:p>
        </w:tc>
        <w:tc>
          <w:tcPr>
            <w:tcW w:w="640" w:type="dxa"/>
            <w:vAlign w:val="bottom"/>
            <w:tcBorders>
              <w:bottom w:val="single" w:sz="8" w:color="auto"/>
              <w:right w:val="single" w:sz="8" w:color="auto"/>
            </w:tcBorders>
          </w:tcPr>
          <w:p>
            <w:pPr>
              <w:spacing w:after="0"/>
              <w:rPr>
                <w:sz w:val="21"/>
                <w:szCs w:val="21"/>
                <w:color w:val="auto"/>
              </w:rPr>
            </w:pPr>
          </w:p>
        </w:tc>
        <w:tc>
          <w:tcPr>
            <w:tcW w:w="7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1780" w:type="dxa"/>
            <w:vAlign w:val="bottom"/>
            <w:tcBorders>
              <w:left w:val="single" w:sz="8" w:color="auto"/>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1020" w:type="dxa"/>
            <w:vAlign w:val="bottom"/>
          </w:tcPr>
          <w:p>
            <w:pPr>
              <w:jc w:val="center"/>
              <w:ind w:left="52"/>
              <w:spacing w:after="0" w:line="205" w:lineRule="exact"/>
              <w:rPr>
                <w:sz w:val="20"/>
                <w:szCs w:val="20"/>
                <w:color w:val="auto"/>
              </w:rPr>
            </w:pPr>
            <w:r>
              <w:rPr>
                <w:rFonts w:ascii="Times New Roman" w:cs="Times New Roman" w:eastAsia="Times New Roman" w:hAnsi="Times New Roman"/>
                <w:sz w:val="18"/>
                <w:szCs w:val="18"/>
                <w:color w:val="auto"/>
              </w:rPr>
              <w:t>Rule 456(b)</w:t>
            </w:r>
          </w:p>
        </w:tc>
        <w:tc>
          <w:tcPr>
            <w:tcW w:w="8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8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02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99"/>
              </w:rPr>
              <w:t>and</w:t>
            </w:r>
          </w:p>
        </w:tc>
        <w:tc>
          <w:tcPr>
            <w:tcW w:w="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780" w:type="dxa"/>
            <w:vAlign w:val="bottom"/>
            <w:tcBorders>
              <w:left w:val="single" w:sz="8" w:color="auto"/>
              <w:bottom w:val="single" w:sz="8" w:color="auto"/>
              <w:right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Warrants</w:t>
            </w:r>
          </w:p>
        </w:tc>
        <w:tc>
          <w:tcPr>
            <w:tcW w:w="1020" w:type="dxa"/>
            <w:vAlign w:val="bottom"/>
            <w:tcBorders>
              <w:bottom w:val="single" w:sz="8" w:color="auto"/>
            </w:tcBorders>
          </w:tcPr>
          <w:p>
            <w:pPr>
              <w:jc w:val="center"/>
              <w:ind w:left="52"/>
              <w:spacing w:after="0"/>
              <w:rPr>
                <w:sz w:val="20"/>
                <w:szCs w:val="20"/>
                <w:color w:val="auto"/>
              </w:rPr>
            </w:pPr>
            <w:r>
              <w:rPr>
                <w:rFonts w:ascii="Times New Roman" w:cs="Times New Roman" w:eastAsia="Times New Roman" w:hAnsi="Times New Roman"/>
                <w:sz w:val="18"/>
                <w:szCs w:val="18"/>
                <w:color w:val="auto"/>
              </w:rPr>
              <w:t>Rule 457(r)</w:t>
            </w:r>
          </w:p>
        </w:tc>
        <w:tc>
          <w:tcPr>
            <w:tcW w:w="80" w:type="dxa"/>
            <w:vAlign w:val="bottom"/>
            <w:tcBorders>
              <w:bottom w:val="single" w:sz="8" w:color="auto"/>
              <w:right w:val="single" w:sz="8" w:color="auto"/>
            </w:tcBorders>
          </w:tcPr>
          <w:p>
            <w:pPr>
              <w:spacing w:after="0"/>
              <w:rPr>
                <w:sz w:val="21"/>
                <w:szCs w:val="21"/>
                <w:color w:val="auto"/>
              </w:rPr>
            </w:pPr>
          </w:p>
        </w:tc>
        <w:tc>
          <w:tcPr>
            <w:tcW w:w="740" w:type="dxa"/>
            <w:vAlign w:val="bottom"/>
            <w:tcBorders>
              <w:bottom w:val="single" w:sz="8" w:color="auto"/>
              <w:right w:val="single" w:sz="8" w:color="auto"/>
            </w:tcBorders>
          </w:tcPr>
          <w:p>
            <w:pPr>
              <w:spacing w:after="0"/>
              <w:rPr>
                <w:sz w:val="21"/>
                <w:szCs w:val="21"/>
                <w:color w:val="auto"/>
              </w:rPr>
            </w:pPr>
          </w:p>
        </w:tc>
        <w:tc>
          <w:tcPr>
            <w:tcW w:w="760" w:type="dxa"/>
            <w:vAlign w:val="bottom"/>
            <w:tcBorders>
              <w:bottom w:val="single" w:sz="8" w:color="auto"/>
              <w:right w:val="single" w:sz="8" w:color="auto"/>
            </w:tcBorders>
          </w:tcPr>
          <w:p>
            <w:pPr>
              <w:spacing w:after="0"/>
              <w:rPr>
                <w:sz w:val="21"/>
                <w:szCs w:val="21"/>
                <w:color w:val="auto"/>
              </w:rPr>
            </w:pPr>
          </w:p>
        </w:tc>
        <w:tc>
          <w:tcPr>
            <w:tcW w:w="760" w:type="dxa"/>
            <w:vAlign w:val="bottom"/>
            <w:tcBorders>
              <w:bottom w:val="single" w:sz="8" w:color="auto"/>
              <w:right w:val="single" w:sz="8" w:color="auto"/>
            </w:tcBorders>
          </w:tcPr>
          <w:p>
            <w:pPr>
              <w:spacing w:after="0"/>
              <w:rPr>
                <w:sz w:val="21"/>
                <w:szCs w:val="21"/>
                <w:color w:val="auto"/>
              </w:rPr>
            </w:pPr>
          </w:p>
        </w:tc>
        <w:tc>
          <w:tcPr>
            <w:tcW w:w="440" w:type="dxa"/>
            <w:vAlign w:val="bottom"/>
            <w:tcBorders>
              <w:bottom w:val="single" w:sz="8" w:color="auto"/>
              <w:right w:val="single" w:sz="8" w:color="auto"/>
            </w:tcBorders>
          </w:tcPr>
          <w:p>
            <w:pPr>
              <w:spacing w:after="0"/>
              <w:rPr>
                <w:sz w:val="21"/>
                <w:szCs w:val="21"/>
                <w:color w:val="auto"/>
              </w:rPr>
            </w:pPr>
          </w:p>
        </w:tc>
        <w:tc>
          <w:tcPr>
            <w:tcW w:w="860" w:type="dxa"/>
            <w:vAlign w:val="bottom"/>
            <w:tcBorders>
              <w:bottom w:val="single" w:sz="8" w:color="auto"/>
              <w:right w:val="single" w:sz="8" w:color="auto"/>
            </w:tcBorders>
          </w:tcPr>
          <w:p>
            <w:pPr>
              <w:spacing w:after="0"/>
              <w:rPr>
                <w:sz w:val="21"/>
                <w:szCs w:val="21"/>
                <w:color w:val="auto"/>
              </w:rPr>
            </w:pPr>
          </w:p>
        </w:tc>
        <w:tc>
          <w:tcPr>
            <w:tcW w:w="640" w:type="dxa"/>
            <w:vAlign w:val="bottom"/>
            <w:tcBorders>
              <w:bottom w:val="single" w:sz="8" w:color="auto"/>
              <w:right w:val="single" w:sz="8" w:color="auto"/>
            </w:tcBorders>
          </w:tcPr>
          <w:p>
            <w:pPr>
              <w:spacing w:after="0"/>
              <w:rPr>
                <w:sz w:val="21"/>
                <w:szCs w:val="21"/>
                <w:color w:val="auto"/>
              </w:rPr>
            </w:pPr>
          </w:p>
        </w:tc>
        <w:tc>
          <w:tcPr>
            <w:tcW w:w="660" w:type="dxa"/>
            <w:vAlign w:val="bottom"/>
            <w:tcBorders>
              <w:bottom w:val="single" w:sz="8" w:color="auto"/>
              <w:right w:val="single" w:sz="8" w:color="auto"/>
            </w:tcBorders>
          </w:tcPr>
          <w:p>
            <w:pPr>
              <w:spacing w:after="0"/>
              <w:rPr>
                <w:sz w:val="21"/>
                <w:szCs w:val="21"/>
                <w:color w:val="auto"/>
              </w:rPr>
            </w:pPr>
          </w:p>
        </w:tc>
        <w:tc>
          <w:tcPr>
            <w:tcW w:w="640" w:type="dxa"/>
            <w:vAlign w:val="bottom"/>
            <w:tcBorders>
              <w:bottom w:val="single" w:sz="8" w:color="auto"/>
              <w:right w:val="single" w:sz="8" w:color="auto"/>
            </w:tcBorders>
          </w:tcPr>
          <w:p>
            <w:pPr>
              <w:spacing w:after="0"/>
              <w:rPr>
                <w:sz w:val="21"/>
                <w:szCs w:val="21"/>
                <w:color w:val="auto"/>
              </w:rPr>
            </w:pPr>
          </w:p>
        </w:tc>
        <w:tc>
          <w:tcPr>
            <w:tcW w:w="7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1780" w:type="dxa"/>
            <w:vAlign w:val="bottom"/>
            <w:tcBorders>
              <w:left w:val="single" w:sz="8" w:color="auto"/>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1020" w:type="dxa"/>
            <w:vAlign w:val="bottom"/>
          </w:tcPr>
          <w:p>
            <w:pPr>
              <w:jc w:val="center"/>
              <w:ind w:left="52"/>
              <w:spacing w:after="0" w:line="205" w:lineRule="exact"/>
              <w:rPr>
                <w:sz w:val="20"/>
                <w:szCs w:val="20"/>
                <w:color w:val="auto"/>
              </w:rPr>
            </w:pPr>
            <w:r>
              <w:rPr>
                <w:rFonts w:ascii="Times New Roman" w:cs="Times New Roman" w:eastAsia="Times New Roman" w:hAnsi="Times New Roman"/>
                <w:sz w:val="18"/>
                <w:szCs w:val="18"/>
                <w:color w:val="auto"/>
              </w:rPr>
              <w:t>Rule 456(b)</w:t>
            </w:r>
          </w:p>
        </w:tc>
        <w:tc>
          <w:tcPr>
            <w:tcW w:w="8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8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Purchase</w:t>
            </w:r>
          </w:p>
        </w:tc>
        <w:tc>
          <w:tcPr>
            <w:tcW w:w="102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99"/>
              </w:rPr>
              <w:t>and</w:t>
            </w:r>
          </w:p>
        </w:tc>
        <w:tc>
          <w:tcPr>
            <w:tcW w:w="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780" w:type="dxa"/>
            <w:vAlign w:val="bottom"/>
            <w:tcBorders>
              <w:left w:val="single" w:sz="8" w:color="auto"/>
              <w:bottom w:val="single" w:sz="8" w:color="auto"/>
              <w:right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Contracts</w:t>
            </w:r>
          </w:p>
        </w:tc>
        <w:tc>
          <w:tcPr>
            <w:tcW w:w="1020" w:type="dxa"/>
            <w:vAlign w:val="bottom"/>
            <w:tcBorders>
              <w:bottom w:val="single" w:sz="8" w:color="auto"/>
            </w:tcBorders>
          </w:tcPr>
          <w:p>
            <w:pPr>
              <w:jc w:val="center"/>
              <w:ind w:left="52"/>
              <w:spacing w:after="0"/>
              <w:rPr>
                <w:sz w:val="20"/>
                <w:szCs w:val="20"/>
                <w:color w:val="auto"/>
              </w:rPr>
            </w:pPr>
            <w:r>
              <w:rPr>
                <w:rFonts w:ascii="Times New Roman" w:cs="Times New Roman" w:eastAsia="Times New Roman" w:hAnsi="Times New Roman"/>
                <w:sz w:val="18"/>
                <w:szCs w:val="18"/>
                <w:color w:val="auto"/>
              </w:rPr>
              <w:t>Rule 457(r)</w:t>
            </w:r>
          </w:p>
        </w:tc>
        <w:tc>
          <w:tcPr>
            <w:tcW w:w="80" w:type="dxa"/>
            <w:vAlign w:val="bottom"/>
            <w:tcBorders>
              <w:bottom w:val="single" w:sz="8" w:color="auto"/>
              <w:right w:val="single" w:sz="8" w:color="auto"/>
            </w:tcBorders>
          </w:tcPr>
          <w:p>
            <w:pPr>
              <w:spacing w:after="0"/>
              <w:rPr>
                <w:sz w:val="21"/>
                <w:szCs w:val="21"/>
                <w:color w:val="auto"/>
              </w:rPr>
            </w:pPr>
          </w:p>
        </w:tc>
        <w:tc>
          <w:tcPr>
            <w:tcW w:w="740" w:type="dxa"/>
            <w:vAlign w:val="bottom"/>
            <w:tcBorders>
              <w:bottom w:val="single" w:sz="8" w:color="auto"/>
              <w:right w:val="single" w:sz="8" w:color="auto"/>
            </w:tcBorders>
          </w:tcPr>
          <w:p>
            <w:pPr>
              <w:spacing w:after="0"/>
              <w:rPr>
                <w:sz w:val="21"/>
                <w:szCs w:val="21"/>
                <w:color w:val="auto"/>
              </w:rPr>
            </w:pPr>
          </w:p>
        </w:tc>
        <w:tc>
          <w:tcPr>
            <w:tcW w:w="760" w:type="dxa"/>
            <w:vAlign w:val="bottom"/>
            <w:tcBorders>
              <w:bottom w:val="single" w:sz="8" w:color="auto"/>
              <w:right w:val="single" w:sz="8" w:color="auto"/>
            </w:tcBorders>
          </w:tcPr>
          <w:p>
            <w:pPr>
              <w:spacing w:after="0"/>
              <w:rPr>
                <w:sz w:val="21"/>
                <w:szCs w:val="21"/>
                <w:color w:val="auto"/>
              </w:rPr>
            </w:pPr>
          </w:p>
        </w:tc>
        <w:tc>
          <w:tcPr>
            <w:tcW w:w="760" w:type="dxa"/>
            <w:vAlign w:val="bottom"/>
            <w:tcBorders>
              <w:bottom w:val="single" w:sz="8" w:color="auto"/>
              <w:right w:val="single" w:sz="8" w:color="auto"/>
            </w:tcBorders>
          </w:tcPr>
          <w:p>
            <w:pPr>
              <w:spacing w:after="0"/>
              <w:rPr>
                <w:sz w:val="21"/>
                <w:szCs w:val="21"/>
                <w:color w:val="auto"/>
              </w:rPr>
            </w:pPr>
          </w:p>
        </w:tc>
        <w:tc>
          <w:tcPr>
            <w:tcW w:w="440" w:type="dxa"/>
            <w:vAlign w:val="bottom"/>
            <w:tcBorders>
              <w:bottom w:val="single" w:sz="8" w:color="auto"/>
              <w:right w:val="single" w:sz="8" w:color="auto"/>
            </w:tcBorders>
          </w:tcPr>
          <w:p>
            <w:pPr>
              <w:spacing w:after="0"/>
              <w:rPr>
                <w:sz w:val="21"/>
                <w:szCs w:val="21"/>
                <w:color w:val="auto"/>
              </w:rPr>
            </w:pPr>
          </w:p>
        </w:tc>
        <w:tc>
          <w:tcPr>
            <w:tcW w:w="860" w:type="dxa"/>
            <w:vAlign w:val="bottom"/>
            <w:tcBorders>
              <w:bottom w:val="single" w:sz="8" w:color="auto"/>
              <w:right w:val="single" w:sz="8" w:color="auto"/>
            </w:tcBorders>
          </w:tcPr>
          <w:p>
            <w:pPr>
              <w:spacing w:after="0"/>
              <w:rPr>
                <w:sz w:val="21"/>
                <w:szCs w:val="21"/>
                <w:color w:val="auto"/>
              </w:rPr>
            </w:pPr>
          </w:p>
        </w:tc>
        <w:tc>
          <w:tcPr>
            <w:tcW w:w="640" w:type="dxa"/>
            <w:vAlign w:val="bottom"/>
            <w:tcBorders>
              <w:bottom w:val="single" w:sz="8" w:color="auto"/>
              <w:right w:val="single" w:sz="8" w:color="auto"/>
            </w:tcBorders>
          </w:tcPr>
          <w:p>
            <w:pPr>
              <w:spacing w:after="0"/>
              <w:rPr>
                <w:sz w:val="21"/>
                <w:szCs w:val="21"/>
                <w:color w:val="auto"/>
              </w:rPr>
            </w:pPr>
          </w:p>
        </w:tc>
        <w:tc>
          <w:tcPr>
            <w:tcW w:w="660" w:type="dxa"/>
            <w:vAlign w:val="bottom"/>
            <w:tcBorders>
              <w:bottom w:val="single" w:sz="8" w:color="auto"/>
              <w:right w:val="single" w:sz="8" w:color="auto"/>
            </w:tcBorders>
          </w:tcPr>
          <w:p>
            <w:pPr>
              <w:spacing w:after="0"/>
              <w:rPr>
                <w:sz w:val="21"/>
                <w:szCs w:val="21"/>
                <w:color w:val="auto"/>
              </w:rPr>
            </w:pPr>
          </w:p>
        </w:tc>
        <w:tc>
          <w:tcPr>
            <w:tcW w:w="640" w:type="dxa"/>
            <w:vAlign w:val="bottom"/>
            <w:tcBorders>
              <w:bottom w:val="single" w:sz="8" w:color="auto"/>
              <w:right w:val="single" w:sz="8" w:color="auto"/>
            </w:tcBorders>
          </w:tcPr>
          <w:p>
            <w:pPr>
              <w:spacing w:after="0"/>
              <w:rPr>
                <w:sz w:val="21"/>
                <w:szCs w:val="21"/>
                <w:color w:val="auto"/>
              </w:rPr>
            </w:pPr>
          </w:p>
        </w:tc>
        <w:tc>
          <w:tcPr>
            <w:tcW w:w="7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1780" w:type="dxa"/>
            <w:vAlign w:val="bottom"/>
            <w:tcBorders>
              <w:left w:val="single" w:sz="8" w:color="auto"/>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1020" w:type="dxa"/>
            <w:vAlign w:val="bottom"/>
          </w:tcPr>
          <w:p>
            <w:pPr>
              <w:jc w:val="center"/>
              <w:ind w:left="52"/>
              <w:spacing w:after="0" w:line="205" w:lineRule="exact"/>
              <w:rPr>
                <w:sz w:val="20"/>
                <w:szCs w:val="20"/>
                <w:color w:val="auto"/>
              </w:rPr>
            </w:pPr>
            <w:r>
              <w:rPr>
                <w:rFonts w:ascii="Times New Roman" w:cs="Times New Roman" w:eastAsia="Times New Roman" w:hAnsi="Times New Roman"/>
                <w:sz w:val="18"/>
                <w:szCs w:val="18"/>
                <w:color w:val="auto"/>
              </w:rPr>
              <w:t>Rule 456(b)</w:t>
            </w:r>
          </w:p>
        </w:tc>
        <w:tc>
          <w:tcPr>
            <w:tcW w:w="8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8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02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99"/>
              </w:rPr>
              <w:t>and</w:t>
            </w:r>
          </w:p>
        </w:tc>
        <w:tc>
          <w:tcPr>
            <w:tcW w:w="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780" w:type="dxa"/>
            <w:vAlign w:val="bottom"/>
            <w:tcBorders>
              <w:left w:val="single" w:sz="8" w:color="auto"/>
              <w:bottom w:val="single" w:sz="8" w:color="auto"/>
              <w:right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Units</w:t>
            </w:r>
          </w:p>
        </w:tc>
        <w:tc>
          <w:tcPr>
            <w:tcW w:w="1020" w:type="dxa"/>
            <w:vAlign w:val="bottom"/>
            <w:tcBorders>
              <w:bottom w:val="single" w:sz="8" w:color="auto"/>
            </w:tcBorders>
          </w:tcPr>
          <w:p>
            <w:pPr>
              <w:jc w:val="center"/>
              <w:ind w:left="52"/>
              <w:spacing w:after="0"/>
              <w:rPr>
                <w:sz w:val="20"/>
                <w:szCs w:val="20"/>
                <w:color w:val="auto"/>
              </w:rPr>
            </w:pPr>
            <w:r>
              <w:rPr>
                <w:rFonts w:ascii="Times New Roman" w:cs="Times New Roman" w:eastAsia="Times New Roman" w:hAnsi="Times New Roman"/>
                <w:sz w:val="18"/>
                <w:szCs w:val="18"/>
                <w:color w:val="auto"/>
              </w:rPr>
              <w:t>Rule 457(r)</w:t>
            </w:r>
          </w:p>
        </w:tc>
        <w:tc>
          <w:tcPr>
            <w:tcW w:w="80" w:type="dxa"/>
            <w:vAlign w:val="bottom"/>
            <w:tcBorders>
              <w:bottom w:val="single" w:sz="8" w:color="auto"/>
              <w:right w:val="single" w:sz="8" w:color="auto"/>
            </w:tcBorders>
          </w:tcPr>
          <w:p>
            <w:pPr>
              <w:spacing w:after="0"/>
              <w:rPr>
                <w:sz w:val="21"/>
                <w:szCs w:val="21"/>
                <w:color w:val="auto"/>
              </w:rPr>
            </w:pPr>
          </w:p>
        </w:tc>
        <w:tc>
          <w:tcPr>
            <w:tcW w:w="740" w:type="dxa"/>
            <w:vAlign w:val="bottom"/>
            <w:tcBorders>
              <w:bottom w:val="single" w:sz="8" w:color="auto"/>
              <w:right w:val="single" w:sz="8" w:color="auto"/>
            </w:tcBorders>
          </w:tcPr>
          <w:p>
            <w:pPr>
              <w:spacing w:after="0"/>
              <w:rPr>
                <w:sz w:val="21"/>
                <w:szCs w:val="21"/>
                <w:color w:val="auto"/>
              </w:rPr>
            </w:pPr>
          </w:p>
        </w:tc>
        <w:tc>
          <w:tcPr>
            <w:tcW w:w="760" w:type="dxa"/>
            <w:vAlign w:val="bottom"/>
            <w:tcBorders>
              <w:bottom w:val="single" w:sz="8" w:color="auto"/>
              <w:right w:val="single" w:sz="8" w:color="auto"/>
            </w:tcBorders>
          </w:tcPr>
          <w:p>
            <w:pPr>
              <w:spacing w:after="0"/>
              <w:rPr>
                <w:sz w:val="21"/>
                <w:szCs w:val="21"/>
                <w:color w:val="auto"/>
              </w:rPr>
            </w:pPr>
          </w:p>
        </w:tc>
        <w:tc>
          <w:tcPr>
            <w:tcW w:w="760" w:type="dxa"/>
            <w:vAlign w:val="bottom"/>
            <w:tcBorders>
              <w:bottom w:val="single" w:sz="8" w:color="auto"/>
              <w:right w:val="single" w:sz="8" w:color="auto"/>
            </w:tcBorders>
          </w:tcPr>
          <w:p>
            <w:pPr>
              <w:spacing w:after="0"/>
              <w:rPr>
                <w:sz w:val="21"/>
                <w:szCs w:val="21"/>
                <w:color w:val="auto"/>
              </w:rPr>
            </w:pPr>
          </w:p>
        </w:tc>
        <w:tc>
          <w:tcPr>
            <w:tcW w:w="440" w:type="dxa"/>
            <w:vAlign w:val="bottom"/>
            <w:tcBorders>
              <w:bottom w:val="single" w:sz="8" w:color="auto"/>
              <w:right w:val="single" w:sz="8" w:color="auto"/>
            </w:tcBorders>
          </w:tcPr>
          <w:p>
            <w:pPr>
              <w:spacing w:after="0"/>
              <w:rPr>
                <w:sz w:val="21"/>
                <w:szCs w:val="21"/>
                <w:color w:val="auto"/>
              </w:rPr>
            </w:pPr>
          </w:p>
        </w:tc>
        <w:tc>
          <w:tcPr>
            <w:tcW w:w="860" w:type="dxa"/>
            <w:vAlign w:val="bottom"/>
            <w:tcBorders>
              <w:bottom w:val="single" w:sz="8" w:color="auto"/>
              <w:right w:val="single" w:sz="8" w:color="auto"/>
            </w:tcBorders>
          </w:tcPr>
          <w:p>
            <w:pPr>
              <w:spacing w:after="0"/>
              <w:rPr>
                <w:sz w:val="21"/>
                <w:szCs w:val="21"/>
                <w:color w:val="auto"/>
              </w:rPr>
            </w:pPr>
          </w:p>
        </w:tc>
        <w:tc>
          <w:tcPr>
            <w:tcW w:w="640" w:type="dxa"/>
            <w:vAlign w:val="bottom"/>
            <w:tcBorders>
              <w:bottom w:val="single" w:sz="8" w:color="auto"/>
              <w:right w:val="single" w:sz="8" w:color="auto"/>
            </w:tcBorders>
          </w:tcPr>
          <w:p>
            <w:pPr>
              <w:spacing w:after="0"/>
              <w:rPr>
                <w:sz w:val="21"/>
                <w:szCs w:val="21"/>
                <w:color w:val="auto"/>
              </w:rPr>
            </w:pPr>
          </w:p>
        </w:tc>
        <w:tc>
          <w:tcPr>
            <w:tcW w:w="660" w:type="dxa"/>
            <w:vAlign w:val="bottom"/>
            <w:tcBorders>
              <w:bottom w:val="single" w:sz="8" w:color="auto"/>
              <w:right w:val="single" w:sz="8" w:color="auto"/>
            </w:tcBorders>
          </w:tcPr>
          <w:p>
            <w:pPr>
              <w:spacing w:after="0"/>
              <w:rPr>
                <w:sz w:val="21"/>
                <w:szCs w:val="21"/>
                <w:color w:val="auto"/>
              </w:rPr>
            </w:pPr>
          </w:p>
        </w:tc>
        <w:tc>
          <w:tcPr>
            <w:tcW w:w="640" w:type="dxa"/>
            <w:vAlign w:val="bottom"/>
            <w:tcBorders>
              <w:bottom w:val="single" w:sz="8" w:color="auto"/>
              <w:right w:val="single" w:sz="8" w:color="auto"/>
            </w:tcBorders>
          </w:tcPr>
          <w:p>
            <w:pPr>
              <w:spacing w:after="0"/>
              <w:rPr>
                <w:sz w:val="21"/>
                <w:szCs w:val="21"/>
                <w:color w:val="auto"/>
              </w:rPr>
            </w:pPr>
          </w:p>
        </w:tc>
        <w:tc>
          <w:tcPr>
            <w:tcW w:w="7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1780" w:type="dxa"/>
            <w:vAlign w:val="bottom"/>
            <w:tcBorders>
              <w:left w:val="single" w:sz="8" w:color="auto"/>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ind w:left="160"/>
              <w:spacing w:after="0" w:line="205" w:lineRule="exact"/>
              <w:rPr>
                <w:sz w:val="20"/>
                <w:szCs w:val="20"/>
                <w:color w:val="auto"/>
              </w:rPr>
            </w:pPr>
            <w:r>
              <w:rPr>
                <w:rFonts w:ascii="Times New Roman" w:cs="Times New Roman" w:eastAsia="Times New Roman" w:hAnsi="Times New Roman"/>
                <w:sz w:val="18"/>
                <w:szCs w:val="18"/>
                <w:color w:val="auto"/>
              </w:rPr>
              <w:t>Guarantees</w:t>
            </w:r>
          </w:p>
        </w:tc>
        <w:tc>
          <w:tcPr>
            <w:tcW w:w="1020" w:type="dxa"/>
            <w:vAlign w:val="bottom"/>
            <w:vMerge w:val="restart"/>
          </w:tcPr>
          <w:p>
            <w:pPr>
              <w:jc w:val="center"/>
              <w:ind w:left="52"/>
              <w:spacing w:after="0"/>
              <w:rPr>
                <w:sz w:val="20"/>
                <w:szCs w:val="20"/>
                <w:color w:val="auto"/>
              </w:rPr>
            </w:pPr>
            <w:r>
              <w:rPr>
                <w:rFonts w:ascii="Times New Roman" w:cs="Times New Roman" w:eastAsia="Times New Roman" w:hAnsi="Times New Roman"/>
                <w:sz w:val="18"/>
                <w:szCs w:val="18"/>
                <w:color w:val="auto"/>
              </w:rPr>
              <w:t>Rule 456(b)</w:t>
            </w:r>
          </w:p>
        </w:tc>
        <w:tc>
          <w:tcPr>
            <w:tcW w:w="8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7"/>
              </w:rPr>
              <w:t>of Warrants,</w:t>
            </w:r>
          </w:p>
        </w:tc>
        <w:tc>
          <w:tcPr>
            <w:tcW w:w="1020" w:type="dxa"/>
            <w:vAlign w:val="bottom"/>
            <w:vMerge w:val="continue"/>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8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Purchase</w:t>
            </w:r>
          </w:p>
        </w:tc>
        <w:tc>
          <w:tcPr>
            <w:tcW w:w="102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99"/>
              </w:rPr>
              <w:t>and</w:t>
            </w:r>
          </w:p>
        </w:tc>
        <w:tc>
          <w:tcPr>
            <w:tcW w:w="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Contracts or</w:t>
            </w:r>
          </w:p>
        </w:tc>
        <w:tc>
          <w:tcPr>
            <w:tcW w:w="102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rPr>
              <w:t>Rule 457(r)</w:t>
            </w:r>
          </w:p>
        </w:tc>
        <w:tc>
          <w:tcPr>
            <w:tcW w:w="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780" w:type="dxa"/>
            <w:vAlign w:val="bottom"/>
            <w:tcBorders>
              <w:left w:val="single" w:sz="8" w:color="auto"/>
              <w:bottom w:val="single" w:sz="8" w:color="auto"/>
              <w:right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Units</w:t>
            </w:r>
          </w:p>
        </w:tc>
        <w:tc>
          <w:tcPr>
            <w:tcW w:w="1020" w:type="dxa"/>
            <w:vAlign w:val="bottom"/>
            <w:tcBorders>
              <w:bottom w:val="single" w:sz="8" w:color="auto"/>
            </w:tcBorders>
          </w:tcPr>
          <w:p>
            <w:pPr>
              <w:jc w:val="center"/>
              <w:ind w:left="52"/>
              <w:spacing w:after="0"/>
              <w:rPr>
                <w:sz w:val="20"/>
                <w:szCs w:val="20"/>
                <w:color w:val="auto"/>
              </w:rPr>
            </w:pPr>
            <w:r>
              <w:rPr>
                <w:rFonts w:ascii="Times New Roman" w:cs="Times New Roman" w:eastAsia="Times New Roman" w:hAnsi="Times New Roman"/>
                <w:sz w:val="18"/>
                <w:szCs w:val="18"/>
                <w:color w:val="auto"/>
                <w:w w:val="95"/>
              </w:rPr>
              <w:t>(3)</w:t>
            </w:r>
          </w:p>
        </w:tc>
        <w:tc>
          <w:tcPr>
            <w:tcW w:w="80" w:type="dxa"/>
            <w:vAlign w:val="bottom"/>
            <w:tcBorders>
              <w:bottom w:val="single" w:sz="8" w:color="auto"/>
              <w:right w:val="single" w:sz="8" w:color="auto"/>
            </w:tcBorders>
          </w:tcPr>
          <w:p>
            <w:pPr>
              <w:spacing w:after="0"/>
              <w:rPr>
                <w:sz w:val="21"/>
                <w:szCs w:val="21"/>
                <w:color w:val="auto"/>
              </w:rPr>
            </w:pPr>
          </w:p>
        </w:tc>
        <w:tc>
          <w:tcPr>
            <w:tcW w:w="740" w:type="dxa"/>
            <w:vAlign w:val="bottom"/>
            <w:tcBorders>
              <w:bottom w:val="single" w:sz="8" w:color="auto"/>
              <w:right w:val="single" w:sz="8" w:color="auto"/>
            </w:tcBorders>
          </w:tcPr>
          <w:p>
            <w:pPr>
              <w:spacing w:after="0"/>
              <w:rPr>
                <w:sz w:val="21"/>
                <w:szCs w:val="21"/>
                <w:color w:val="auto"/>
              </w:rPr>
            </w:pPr>
          </w:p>
        </w:tc>
        <w:tc>
          <w:tcPr>
            <w:tcW w:w="760" w:type="dxa"/>
            <w:vAlign w:val="bottom"/>
            <w:tcBorders>
              <w:bottom w:val="single" w:sz="8" w:color="auto"/>
              <w:right w:val="single" w:sz="8" w:color="auto"/>
            </w:tcBorders>
          </w:tcPr>
          <w:p>
            <w:pPr>
              <w:spacing w:after="0"/>
              <w:rPr>
                <w:sz w:val="21"/>
                <w:szCs w:val="21"/>
                <w:color w:val="auto"/>
              </w:rPr>
            </w:pPr>
          </w:p>
        </w:tc>
        <w:tc>
          <w:tcPr>
            <w:tcW w:w="760" w:type="dxa"/>
            <w:vAlign w:val="bottom"/>
            <w:tcBorders>
              <w:bottom w:val="single" w:sz="8" w:color="auto"/>
              <w:right w:val="single" w:sz="8" w:color="auto"/>
            </w:tcBorders>
          </w:tcPr>
          <w:p>
            <w:pPr>
              <w:spacing w:after="0"/>
              <w:rPr>
                <w:sz w:val="21"/>
                <w:szCs w:val="21"/>
                <w:color w:val="auto"/>
              </w:rPr>
            </w:pPr>
          </w:p>
        </w:tc>
        <w:tc>
          <w:tcPr>
            <w:tcW w:w="440" w:type="dxa"/>
            <w:vAlign w:val="bottom"/>
            <w:tcBorders>
              <w:bottom w:val="single" w:sz="8" w:color="auto"/>
              <w:right w:val="single" w:sz="8" w:color="auto"/>
            </w:tcBorders>
          </w:tcPr>
          <w:p>
            <w:pPr>
              <w:spacing w:after="0"/>
              <w:rPr>
                <w:sz w:val="21"/>
                <w:szCs w:val="21"/>
                <w:color w:val="auto"/>
              </w:rPr>
            </w:pPr>
          </w:p>
        </w:tc>
        <w:tc>
          <w:tcPr>
            <w:tcW w:w="860" w:type="dxa"/>
            <w:vAlign w:val="bottom"/>
            <w:tcBorders>
              <w:bottom w:val="single" w:sz="8" w:color="auto"/>
              <w:right w:val="single" w:sz="8" w:color="auto"/>
            </w:tcBorders>
          </w:tcPr>
          <w:p>
            <w:pPr>
              <w:spacing w:after="0"/>
              <w:rPr>
                <w:sz w:val="21"/>
                <w:szCs w:val="21"/>
                <w:color w:val="auto"/>
              </w:rPr>
            </w:pPr>
          </w:p>
        </w:tc>
        <w:tc>
          <w:tcPr>
            <w:tcW w:w="640" w:type="dxa"/>
            <w:vAlign w:val="bottom"/>
            <w:tcBorders>
              <w:bottom w:val="single" w:sz="8" w:color="auto"/>
              <w:right w:val="single" w:sz="8" w:color="auto"/>
            </w:tcBorders>
          </w:tcPr>
          <w:p>
            <w:pPr>
              <w:spacing w:after="0"/>
              <w:rPr>
                <w:sz w:val="21"/>
                <w:szCs w:val="21"/>
                <w:color w:val="auto"/>
              </w:rPr>
            </w:pPr>
          </w:p>
        </w:tc>
        <w:tc>
          <w:tcPr>
            <w:tcW w:w="660" w:type="dxa"/>
            <w:vAlign w:val="bottom"/>
            <w:tcBorders>
              <w:bottom w:val="single" w:sz="8" w:color="auto"/>
              <w:right w:val="single" w:sz="8" w:color="auto"/>
            </w:tcBorders>
          </w:tcPr>
          <w:p>
            <w:pPr>
              <w:spacing w:after="0"/>
              <w:rPr>
                <w:sz w:val="21"/>
                <w:szCs w:val="21"/>
                <w:color w:val="auto"/>
              </w:rPr>
            </w:pPr>
          </w:p>
        </w:tc>
        <w:tc>
          <w:tcPr>
            <w:tcW w:w="640" w:type="dxa"/>
            <w:vAlign w:val="bottom"/>
            <w:tcBorders>
              <w:bottom w:val="single" w:sz="8" w:color="auto"/>
              <w:right w:val="single" w:sz="8" w:color="auto"/>
            </w:tcBorders>
          </w:tcPr>
          <w:p>
            <w:pPr>
              <w:spacing w:after="0"/>
              <w:rPr>
                <w:sz w:val="21"/>
                <w:szCs w:val="21"/>
                <w:color w:val="auto"/>
              </w:rPr>
            </w:pPr>
          </w:p>
        </w:tc>
        <w:tc>
          <w:tcPr>
            <w:tcW w:w="7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1780" w:type="dxa"/>
            <w:vAlign w:val="bottom"/>
            <w:tcBorders>
              <w:left w:val="single" w:sz="8" w:color="auto"/>
              <w:right w:val="single" w:sz="8" w:color="auto"/>
            </w:tcBorders>
          </w:tcPr>
          <w:p>
            <w:pPr>
              <w:jc w:val="center"/>
              <w:ind w:left="30"/>
              <w:spacing w:after="0" w:line="205" w:lineRule="exact"/>
              <w:rPr>
                <w:sz w:val="20"/>
                <w:szCs w:val="20"/>
                <w:color w:val="auto"/>
              </w:rPr>
            </w:pPr>
            <w:r>
              <w:rPr>
                <w:rFonts w:ascii="Times New Roman" w:cs="Times New Roman" w:eastAsia="Times New Roman" w:hAnsi="Times New Roman"/>
                <w:sz w:val="18"/>
                <w:szCs w:val="18"/>
                <w:color w:val="auto"/>
              </w:rPr>
              <w:t>Fees</w:t>
            </w:r>
          </w:p>
        </w:tc>
        <w:tc>
          <w:tcPr>
            <w:tcW w:w="68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8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Previously</w:t>
            </w:r>
          </w:p>
        </w:tc>
        <w:tc>
          <w:tcPr>
            <w:tcW w:w="68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78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Paid</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020" w:type="dxa"/>
            <w:vAlign w:val="bottom"/>
            <w:tcBorders>
              <w:bottom w:val="single" w:sz="8" w:color="auto"/>
            </w:tcBorders>
          </w:tcPr>
          <w:p>
            <w:pPr>
              <w:jc w:val="center"/>
              <w:ind w:left="52"/>
              <w:spacing w:after="0"/>
              <w:rPr>
                <w:sz w:val="20"/>
                <w:szCs w:val="20"/>
                <w:color w:val="auto"/>
              </w:rPr>
            </w:pPr>
            <w:r>
              <w:rPr>
                <w:rFonts w:ascii="Times New Roman" w:cs="Times New Roman" w:eastAsia="Times New Roman" w:hAnsi="Times New Roman"/>
                <w:sz w:val="18"/>
                <w:szCs w:val="18"/>
                <w:color w:val="auto"/>
              </w:rPr>
              <w:t>N/A</w:t>
            </w:r>
          </w:p>
        </w:tc>
        <w:tc>
          <w:tcPr>
            <w:tcW w:w="80" w:type="dxa"/>
            <w:vAlign w:val="bottom"/>
            <w:tcBorders>
              <w:bottom w:val="single" w:sz="8" w:color="auto"/>
              <w:right w:val="single" w:sz="8" w:color="auto"/>
            </w:tcBorders>
          </w:tcPr>
          <w:p>
            <w:pPr>
              <w:spacing w:after="0"/>
              <w:rPr>
                <w:sz w:val="21"/>
                <w:szCs w:val="21"/>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760" w:type="dxa"/>
            <w:vAlign w:val="bottom"/>
            <w:tcBorders>
              <w:bottom w:val="single" w:sz="8" w:color="auto"/>
              <w:right w:val="single" w:sz="8" w:color="auto"/>
            </w:tcBorders>
          </w:tcPr>
          <w:p>
            <w:pPr>
              <w:jc w:val="center"/>
              <w:ind w:left="13"/>
              <w:spacing w:after="0"/>
              <w:rPr>
                <w:sz w:val="20"/>
                <w:szCs w:val="20"/>
                <w:color w:val="auto"/>
              </w:rPr>
            </w:pPr>
            <w:r>
              <w:rPr>
                <w:rFonts w:ascii="Times New Roman" w:cs="Times New Roman" w:eastAsia="Times New Roman" w:hAnsi="Times New Roman"/>
                <w:sz w:val="18"/>
                <w:szCs w:val="18"/>
                <w:color w:val="auto"/>
              </w:rPr>
              <w:t>N/A</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640" w:type="dxa"/>
            <w:vAlign w:val="bottom"/>
            <w:tcBorders>
              <w:bottom w:val="single" w:sz="8" w:color="auto"/>
              <w:right w:val="single" w:sz="8" w:color="auto"/>
            </w:tcBorders>
          </w:tcPr>
          <w:p>
            <w:pPr>
              <w:spacing w:after="0"/>
              <w:rPr>
                <w:sz w:val="21"/>
                <w:szCs w:val="21"/>
                <w:color w:val="auto"/>
              </w:rPr>
            </w:pPr>
          </w:p>
        </w:tc>
        <w:tc>
          <w:tcPr>
            <w:tcW w:w="660" w:type="dxa"/>
            <w:vAlign w:val="bottom"/>
            <w:tcBorders>
              <w:bottom w:val="single" w:sz="8" w:color="auto"/>
              <w:right w:val="single" w:sz="8" w:color="auto"/>
            </w:tcBorders>
          </w:tcPr>
          <w:p>
            <w:pPr>
              <w:spacing w:after="0"/>
              <w:rPr>
                <w:sz w:val="21"/>
                <w:szCs w:val="21"/>
                <w:color w:val="auto"/>
              </w:rPr>
            </w:pPr>
          </w:p>
        </w:tc>
        <w:tc>
          <w:tcPr>
            <w:tcW w:w="640" w:type="dxa"/>
            <w:vAlign w:val="bottom"/>
            <w:tcBorders>
              <w:bottom w:val="single" w:sz="8" w:color="auto"/>
              <w:right w:val="single" w:sz="8" w:color="auto"/>
            </w:tcBorders>
          </w:tcPr>
          <w:p>
            <w:pPr>
              <w:spacing w:after="0"/>
              <w:rPr>
                <w:sz w:val="21"/>
                <w:szCs w:val="21"/>
                <w:color w:val="auto"/>
              </w:rPr>
            </w:pPr>
          </w:p>
        </w:tc>
        <w:tc>
          <w:tcPr>
            <w:tcW w:w="7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780" w:type="dxa"/>
            <w:vAlign w:val="bottom"/>
            <w:tcBorders>
              <w:left w:val="single" w:sz="8" w:color="auto"/>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4"/>
          </w:tcPr>
          <w:p>
            <w:pPr>
              <w:jc w:val="center"/>
              <w:ind w:right="405"/>
              <w:spacing w:after="0"/>
              <w:rPr>
                <w:sz w:val="20"/>
                <w:szCs w:val="20"/>
                <w:color w:val="auto"/>
              </w:rPr>
            </w:pPr>
            <w:r>
              <w:rPr>
                <w:rFonts w:ascii="Times New Roman" w:cs="Times New Roman" w:eastAsia="Times New Roman" w:hAnsi="Times New Roman"/>
                <w:sz w:val="18"/>
                <w:szCs w:val="18"/>
                <w:color w:val="auto"/>
                <w:w w:val="99"/>
              </w:rPr>
              <w:t>Carry Forward Securities</w:t>
            </w: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780" w:type="dxa"/>
            <w:vAlign w:val="bottom"/>
            <w:tcBorders>
              <w:left w:val="single" w:sz="8" w:color="auto"/>
              <w:right w:val="single" w:sz="8" w:color="auto"/>
            </w:tcBorders>
          </w:tcPr>
          <w:p>
            <w:pPr>
              <w:jc w:val="center"/>
              <w:ind w:left="30"/>
              <w:spacing w:after="0" w:line="205" w:lineRule="exact"/>
              <w:rPr>
                <w:sz w:val="20"/>
                <w:szCs w:val="20"/>
                <w:color w:val="auto"/>
              </w:rPr>
            </w:pPr>
            <w:r>
              <w:rPr>
                <w:rFonts w:ascii="Times New Roman" w:cs="Times New Roman" w:eastAsia="Times New Roman" w:hAnsi="Times New Roman"/>
                <w:sz w:val="18"/>
                <w:szCs w:val="18"/>
                <w:color w:val="auto"/>
              </w:rPr>
              <w:t>Carry</w:t>
            </w:r>
          </w:p>
        </w:tc>
        <w:tc>
          <w:tcPr>
            <w:tcW w:w="68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8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Forward</w:t>
            </w:r>
          </w:p>
        </w:tc>
        <w:tc>
          <w:tcPr>
            <w:tcW w:w="68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78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8"/>
              </w:rPr>
              <w:t>Securities</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020" w:type="dxa"/>
            <w:vAlign w:val="bottom"/>
            <w:tcBorders>
              <w:bottom w:val="single" w:sz="8" w:color="auto"/>
            </w:tcBorders>
          </w:tcPr>
          <w:p>
            <w:pPr>
              <w:jc w:val="center"/>
              <w:ind w:left="52"/>
              <w:spacing w:after="0"/>
              <w:rPr>
                <w:sz w:val="20"/>
                <w:szCs w:val="20"/>
                <w:color w:val="auto"/>
              </w:rPr>
            </w:pPr>
            <w:r>
              <w:rPr>
                <w:rFonts w:ascii="Times New Roman" w:cs="Times New Roman" w:eastAsia="Times New Roman" w:hAnsi="Times New Roman"/>
                <w:sz w:val="18"/>
                <w:szCs w:val="18"/>
                <w:color w:val="auto"/>
              </w:rPr>
              <w:t>N/A</w:t>
            </w:r>
          </w:p>
        </w:tc>
        <w:tc>
          <w:tcPr>
            <w:tcW w:w="80" w:type="dxa"/>
            <w:vAlign w:val="bottom"/>
            <w:tcBorders>
              <w:bottom w:val="single" w:sz="8" w:color="auto"/>
              <w:right w:val="single" w:sz="8" w:color="auto"/>
            </w:tcBorders>
          </w:tcPr>
          <w:p>
            <w:pPr>
              <w:spacing w:after="0"/>
              <w:rPr>
                <w:sz w:val="21"/>
                <w:szCs w:val="21"/>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760" w:type="dxa"/>
            <w:vAlign w:val="bottom"/>
            <w:tcBorders>
              <w:bottom w:val="single" w:sz="8" w:color="auto"/>
              <w:right w:val="single" w:sz="8" w:color="auto"/>
            </w:tcBorders>
          </w:tcPr>
          <w:p>
            <w:pPr>
              <w:spacing w:after="0"/>
              <w:rPr>
                <w:sz w:val="21"/>
                <w:szCs w:val="21"/>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440" w:type="dxa"/>
            <w:vAlign w:val="bottom"/>
            <w:tcBorders>
              <w:bottom w:val="single" w:sz="8" w:color="auto"/>
              <w:right w:val="single" w:sz="8" w:color="auto"/>
            </w:tcBorders>
          </w:tcPr>
          <w:p>
            <w:pPr>
              <w:spacing w:after="0"/>
              <w:rPr>
                <w:sz w:val="21"/>
                <w:szCs w:val="21"/>
                <w:color w:val="auto"/>
              </w:rPr>
            </w:pPr>
          </w:p>
        </w:tc>
        <w:tc>
          <w:tcPr>
            <w:tcW w:w="860" w:type="dxa"/>
            <w:vAlign w:val="bottom"/>
            <w:tcBorders>
              <w:bottom w:val="single" w:sz="8" w:color="auto"/>
              <w:right w:val="single" w:sz="8" w:color="auto"/>
            </w:tcBorders>
          </w:tcPr>
          <w:p>
            <w:pPr>
              <w:spacing w:after="0"/>
              <w:rPr>
                <w:sz w:val="21"/>
                <w:szCs w:val="21"/>
                <w:color w:val="auto"/>
              </w:rPr>
            </w:pP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23"/>
        </w:trPr>
        <w:tc>
          <w:tcPr>
            <w:tcW w:w="1780" w:type="dxa"/>
            <w:vAlign w:val="bottom"/>
            <w:tcBorders>
              <w:left w:val="single" w:sz="8" w:color="auto"/>
              <w:bottom w:val="single" w:sz="8" w:color="auto"/>
              <w:right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84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Total Offering Amounts</w:t>
            </w:r>
          </w:p>
        </w:tc>
        <w:tc>
          <w:tcPr>
            <w:tcW w:w="76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440" w:type="dxa"/>
            <w:vAlign w:val="bottom"/>
            <w:tcBorders>
              <w:bottom w:val="single" w:sz="8" w:color="auto"/>
              <w:right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64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64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80" w:type="dxa"/>
            <w:vAlign w:val="bottom"/>
            <w:tcBorders>
              <w:left w:val="single" w:sz="8" w:color="auto"/>
              <w:bottom w:val="single" w:sz="8" w:color="auto"/>
              <w:right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940" w:type="dxa"/>
            <w:vAlign w:val="bottom"/>
            <w:tcBorders>
              <w:bottom w:val="single" w:sz="8" w:color="auto"/>
              <w:right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Total Fees Previously Paid</w:t>
            </w:r>
          </w:p>
        </w:tc>
        <w:tc>
          <w:tcPr>
            <w:tcW w:w="76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440" w:type="dxa"/>
            <w:vAlign w:val="bottom"/>
            <w:tcBorders>
              <w:bottom w:val="single" w:sz="8" w:color="auto"/>
              <w:right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64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64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80" w:type="dxa"/>
            <w:vAlign w:val="bottom"/>
            <w:tcBorders>
              <w:left w:val="single" w:sz="8" w:color="auto"/>
              <w:bottom w:val="single" w:sz="8" w:color="auto"/>
              <w:right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84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Total Fee Offsets</w:t>
            </w:r>
          </w:p>
        </w:tc>
        <w:tc>
          <w:tcPr>
            <w:tcW w:w="76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440" w:type="dxa"/>
            <w:vAlign w:val="bottom"/>
            <w:tcBorders>
              <w:bottom w:val="single" w:sz="8" w:color="auto"/>
              <w:right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64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64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80" w:type="dxa"/>
            <w:vAlign w:val="bottom"/>
            <w:tcBorders>
              <w:left w:val="single" w:sz="8" w:color="auto"/>
              <w:bottom w:val="single" w:sz="8" w:color="auto"/>
              <w:right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84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Net Fee Due</w:t>
            </w:r>
          </w:p>
        </w:tc>
        <w:tc>
          <w:tcPr>
            <w:tcW w:w="76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440" w:type="dxa"/>
            <w:vAlign w:val="bottom"/>
            <w:tcBorders>
              <w:bottom w:val="single" w:sz="8" w:color="auto"/>
              <w:right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64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64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ind w:left="4" w:right="20" w:hanging="4"/>
        <w:spacing w:after="0" w:line="255" w:lineRule="auto"/>
        <w:tabs>
          <w:tab w:leader="none" w:pos="259"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Rules 456(b) and 457(r) under the Securities Act of 1933, as amended, Comcast Corporation (“Comcast”) is deferring payment of all of the registration fee. Registration fees will be paid subsequently on a “pay as you go” basis. Comcast will calculate the registration fee applicable to an offer of securities pursuant to this Registration Statement based on the fee payment rate in effect on the date of such fee payment.</w:t>
      </w:r>
    </w:p>
    <w:p>
      <w:pPr>
        <w:spacing w:after="0" w:line="118" w:lineRule="exact"/>
        <w:rPr>
          <w:rFonts w:ascii="Times New Roman" w:cs="Times New Roman" w:eastAsia="Times New Roman" w:hAnsi="Times New Roman"/>
          <w:sz w:val="18"/>
          <w:szCs w:val="18"/>
          <w:color w:val="auto"/>
        </w:rPr>
      </w:pPr>
    </w:p>
    <w:p>
      <w:pPr>
        <w:ind w:left="4" w:right="40" w:hanging="4"/>
        <w:spacing w:after="0" w:line="266" w:lineRule="auto"/>
        <w:tabs>
          <w:tab w:leader="none" w:pos="259"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indeterminate aggregate initial offering price and number or amount of the securities of each identified class is being registered as may from time to time be issued at indeterminate prices, including securities that may be issued upon exercise, conversion, settlement or exchange of, any securities offered hereunder.</w:t>
      </w:r>
    </w:p>
    <w:p>
      <w:pPr>
        <w:spacing w:after="0" w:line="94" w:lineRule="exact"/>
        <w:rPr>
          <w:rFonts w:ascii="Times New Roman" w:cs="Times New Roman" w:eastAsia="Times New Roman" w:hAnsi="Times New Roman"/>
          <w:sz w:val="18"/>
          <w:szCs w:val="18"/>
          <w:color w:val="auto"/>
        </w:rPr>
      </w:pPr>
    </w:p>
    <w:p>
      <w:pPr>
        <w:ind w:left="4" w:right="320" w:hanging="4"/>
        <w:spacing w:after="0" w:line="282" w:lineRule="auto"/>
        <w:tabs>
          <w:tab w:leader="none" w:pos="259"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separate consideration will be received for the guarantees of securities being registered. In accordance with Rule 457(n), no registration fee is payable with respect to such guarantees.</w:t>
      </w:r>
    </w:p>
    <w:sectPr>
      <w:pgSz w:w="11900" w:h="16838" w:orient="portrait"/>
      <w:cols w:equalWidth="0" w:num="1">
        <w:col w:w="11024"/>
      </w:cols>
      <w:pgMar w:left="436" w:top="114" w:right="439" w:bottom="50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A6D8D3C"/>
    <w:multiLevelType w:val="hybridMultilevel"/>
    <w:lvl w:ilvl="0">
      <w:lvlJc w:val="left"/>
      <w:lvlText w:val="•"/>
      <w:numFmt w:val="bullet"/>
      <w:start w:val="1"/>
    </w:lvl>
  </w:abstractNum>
  <w:abstractNum w:abstractNumId="1">
    <w:nsid w:val="4B588F54"/>
    <w:multiLevelType w:val="hybridMultilevel"/>
    <w:lvl w:ilvl="0">
      <w:lvlJc w:val="left"/>
      <w:lvlText w:val="•"/>
      <w:numFmt w:val="bullet"/>
      <w:start w:val="1"/>
    </w:lvl>
  </w:abstractNum>
  <w:abstractNum w:abstractNumId="2">
    <w:nsid w:val="542289EC"/>
    <w:multiLevelType w:val="hybridMultilevel"/>
    <w:lvl w:ilvl="0">
      <w:lvlJc w:val="left"/>
      <w:lvlText w:val="•"/>
      <w:numFmt w:val="bullet"/>
      <w:start w:val="1"/>
    </w:lvl>
  </w:abstractNum>
  <w:abstractNum w:abstractNumId="3">
    <w:nsid w:val="6DE91B18"/>
    <w:multiLevelType w:val="hybridMultilevel"/>
    <w:lvl w:ilvl="0">
      <w:lvlJc w:val="left"/>
      <w:lvlText w:val="•"/>
      <w:numFmt w:val="bullet"/>
      <w:start w:val="1"/>
    </w:lvl>
  </w:abstractNum>
  <w:abstractNum w:abstractNumId="4">
    <w:nsid w:val="38437FDB"/>
    <w:multiLevelType w:val="hybridMultilevel"/>
    <w:lvl w:ilvl="0">
      <w:lvlJc w:val="left"/>
      <w:lvlText w:val="•"/>
      <w:numFmt w:val="bullet"/>
      <w:start w:val="1"/>
    </w:lvl>
  </w:abstractNum>
  <w:abstractNum w:abstractNumId="5">
    <w:nsid w:val="7644A45C"/>
    <w:multiLevelType w:val="hybridMultilevel"/>
    <w:lvl w:ilvl="0">
      <w:lvlJc w:val="left"/>
      <w:lvlText w:val="•"/>
      <w:numFmt w:val="bullet"/>
      <w:start w:val="1"/>
    </w:lvl>
  </w:abstractNum>
  <w:abstractNum w:abstractNumId="6">
    <w:nsid w:val="32FFF902"/>
    <w:multiLevelType w:val="hybridMultilevel"/>
    <w:lvl w:ilvl="0">
      <w:lvlJc w:val="left"/>
      <w:lvlText w:val="(%1)"/>
      <w:numFmt w:val="lowerLetter"/>
      <w:start w:val="1"/>
    </w:lvl>
  </w:abstractNum>
  <w:abstractNum w:abstractNumId="7">
    <w:nsid w:val="684A481A"/>
    <w:multiLevelType w:val="hybridMultilevel"/>
    <w:lvl w:ilvl="0">
      <w:lvlJc w:val="left"/>
      <w:lvlText w:val="(%1)"/>
      <w:numFmt w:val="lowerLetter"/>
      <w:start w:val="2"/>
    </w:lvl>
  </w:abstractNum>
  <w:abstractNum w:abstractNumId="8">
    <w:nsid w:val="579478FE"/>
    <w:multiLevelType w:val="hybridMultilevel"/>
    <w:lvl w:ilvl="0">
      <w:lvlJc w:val="left"/>
      <w:lvlText w:val="(%1)"/>
      <w:numFmt w:val="lowerLetter"/>
      <w:start w:val="1"/>
    </w:lvl>
  </w:abstractNum>
  <w:abstractNum w:abstractNumId="9">
    <w:nsid w:val="749ABB43"/>
    <w:multiLevelType w:val="hybridMultilevel"/>
    <w:lvl w:ilvl="0">
      <w:lvlJc w:val="left"/>
      <w:lvlText w:val="(%1)"/>
      <w:numFmt w:val="lowerLetter"/>
      <w:start w:val="1"/>
    </w:lvl>
  </w:abstractNum>
  <w:abstractNum w:abstractNumId="10">
    <w:nsid w:val="3DC240FB"/>
    <w:multiLevelType w:val="hybridMultilevel"/>
    <w:lvl w:ilvl="0">
      <w:lvlJc w:val="left"/>
      <w:lvlText w:val="(%1)"/>
      <w:numFmt w:val="lowerLetter"/>
      <w:start w:val="13"/>
    </w:lvl>
  </w:abstractNum>
  <w:abstractNum w:abstractNumId="11">
    <w:nsid w:val="1BA026FA"/>
    <w:multiLevelType w:val="hybridMultilevel"/>
    <w:lvl w:ilvl="0">
      <w:lvlJc w:val="left"/>
      <w:lvlText w:val="•"/>
      <w:numFmt w:val="bullet"/>
      <w:start w:val="1"/>
    </w:lvl>
  </w:abstractNum>
  <w:abstractNum w:abstractNumId="12">
    <w:nsid w:val="79A1DEAA"/>
    <w:multiLevelType w:val="hybridMultilevel"/>
    <w:lvl w:ilvl="0">
      <w:lvlJc w:val="left"/>
      <w:lvlText w:val="•"/>
      <w:numFmt w:val="bullet"/>
      <w:start w:val="1"/>
    </w:lvl>
  </w:abstractNum>
  <w:abstractNum w:abstractNumId="13">
    <w:nsid w:val="75C6C33A"/>
    <w:multiLevelType w:val="hybridMultilevel"/>
    <w:lvl w:ilvl="0">
      <w:lvlJc w:val="left"/>
      <w:lvlText w:val="•"/>
      <w:numFmt w:val="bullet"/>
      <w:start w:val="1"/>
    </w:lvl>
  </w:abstractNum>
  <w:abstractNum w:abstractNumId="14">
    <w:nsid w:val="12E685FB"/>
    <w:multiLevelType w:val="hybridMultilevel"/>
    <w:lvl w:ilvl="0">
      <w:lvlJc w:val="left"/>
      <w:lvlText w:val="•"/>
      <w:numFmt w:val="bullet"/>
      <w:start w:val="1"/>
    </w:lvl>
  </w:abstractNum>
  <w:abstractNum w:abstractNumId="15">
    <w:nsid w:val="70C6A529"/>
    <w:multiLevelType w:val="hybridMultilevel"/>
    <w:lvl w:ilvl="0">
      <w:lvlJc w:val="left"/>
      <w:lvlText w:val="•"/>
      <w:numFmt w:val="bullet"/>
      <w:start w:val="1"/>
    </w:lvl>
  </w:abstractNum>
  <w:abstractNum w:abstractNumId="16">
    <w:nsid w:val="520EEDD1"/>
    <w:multiLevelType w:val="hybridMultilevel"/>
    <w:lvl w:ilvl="0">
      <w:lvlJc w:val="left"/>
      <w:lvlText w:val="•"/>
      <w:numFmt w:val="bullet"/>
      <w:start w:val="1"/>
    </w:lvl>
  </w:abstractNum>
  <w:abstractNum w:abstractNumId="17">
    <w:nsid w:val="374A3FE6"/>
    <w:multiLevelType w:val="hybridMultilevel"/>
    <w:lvl w:ilvl="0">
      <w:lvlJc w:val="left"/>
      <w:lvlText w:val="(%1)"/>
      <w:numFmt w:val="lowerLetter"/>
      <w:start w:val="2"/>
    </w:lvl>
  </w:abstractNum>
  <w:abstractNum w:abstractNumId="18">
    <w:nsid w:val="4F4EF005"/>
    <w:multiLevelType w:val="hybridMultilevel"/>
    <w:lvl w:ilvl="0">
      <w:lvlJc w:val="left"/>
      <w:lvlText w:val="•"/>
      <w:numFmt w:val="bullet"/>
      <w:start w:val="1"/>
    </w:lvl>
  </w:abstractNum>
  <w:abstractNum w:abstractNumId="19">
    <w:nsid w:val="23F9C13C"/>
    <w:multiLevelType w:val="hybridMultilevel"/>
    <w:lvl w:ilvl="0">
      <w:lvlJc w:val="left"/>
      <w:lvlText w:val="•"/>
      <w:numFmt w:val="bullet"/>
      <w:start w:val="1"/>
    </w:lvl>
  </w:abstractNum>
  <w:abstractNum w:abstractNumId="20">
    <w:nsid w:val="649BB77C"/>
    <w:multiLevelType w:val="hybridMultilevel"/>
    <w:lvl w:ilvl="0">
      <w:lvlJc w:val="left"/>
      <w:lvlText w:val="•"/>
      <w:numFmt w:val="bullet"/>
      <w:start w:val="1"/>
    </w:lvl>
  </w:abstractNum>
  <w:abstractNum w:abstractNumId="21">
    <w:nsid w:val="275AC794"/>
    <w:multiLevelType w:val="hybridMultilevel"/>
    <w:lvl w:ilvl="0">
      <w:lvlJc w:val="left"/>
      <w:lvlText w:val="•"/>
      <w:numFmt w:val="bullet"/>
      <w:start w:val="1"/>
    </w:lvl>
  </w:abstractNum>
  <w:abstractNum w:abstractNumId="22">
    <w:nsid w:val="39386575"/>
    <w:multiLevelType w:val="hybridMultilevel"/>
    <w:lvl w:ilvl="0">
      <w:lvlJc w:val="left"/>
      <w:lvlText w:val="•"/>
      <w:numFmt w:val="bullet"/>
      <w:start w:val="1"/>
    </w:lvl>
  </w:abstractNum>
  <w:abstractNum w:abstractNumId="23">
    <w:nsid w:val="1CF10FD8"/>
    <w:multiLevelType w:val="hybridMultilevel"/>
    <w:lvl w:ilvl="0">
      <w:lvlJc w:val="left"/>
      <w:lvlText w:val="•"/>
      <w:numFmt w:val="bullet"/>
      <w:start w:val="1"/>
    </w:lvl>
  </w:abstractNum>
  <w:abstractNum w:abstractNumId="24">
    <w:nsid w:val="180115BE"/>
    <w:multiLevelType w:val="hybridMultilevel"/>
    <w:lvl w:ilvl="0">
      <w:lvlJc w:val="left"/>
      <w:lvlText w:val="•"/>
      <w:numFmt w:val="bullet"/>
      <w:start w:val="1"/>
    </w:lvl>
  </w:abstractNum>
  <w:abstractNum w:abstractNumId="25">
    <w:nsid w:val="235BA861"/>
    <w:multiLevelType w:val="hybridMultilevel"/>
    <w:lvl w:ilvl="0">
      <w:lvlJc w:val="left"/>
      <w:lvlText w:val="•"/>
      <w:numFmt w:val="bullet"/>
      <w:start w:val="1"/>
    </w:lvl>
  </w:abstractNum>
  <w:abstractNum w:abstractNumId="26">
    <w:nsid w:val="47398C89"/>
    <w:multiLevelType w:val="hybridMultilevel"/>
    <w:lvl w:ilvl="0">
      <w:lvlJc w:val="left"/>
      <w:lvlText w:val="•"/>
      <w:numFmt w:val="bullet"/>
      <w:start w:val="1"/>
    </w:lvl>
  </w:abstractNum>
  <w:abstractNum w:abstractNumId="27">
    <w:nsid w:val="354FE9F9"/>
    <w:multiLevelType w:val="hybridMultilevel"/>
    <w:lvl w:ilvl="0">
      <w:lvlJc w:val="left"/>
      <w:lvlText w:val="$"/>
      <w:numFmt w:val="bullet"/>
      <w:start w:val="1"/>
    </w:lvl>
  </w:abstractNum>
  <w:abstractNum w:abstractNumId="28">
    <w:nsid w:val="15B5AF5C"/>
    <w:multiLevelType w:val="hybridMultilevel"/>
    <w:lvl w:ilvl="0">
      <w:lvlJc w:val="left"/>
      <w:lvlText w:val="$"/>
      <w:numFmt w:val="bullet"/>
      <w:start w:val="1"/>
    </w:lvl>
  </w:abstractNum>
  <w:abstractNum w:abstractNumId="29">
    <w:nsid w:val="741226BB"/>
    <w:multiLevelType w:val="hybridMultilevel"/>
    <w:lvl w:ilvl="0">
      <w:lvlJc w:val="left"/>
      <w:lvlText w:val="*"/>
      <w:numFmt w:val="bullet"/>
      <w:start w:val="1"/>
    </w:lvl>
  </w:abstractNum>
  <w:abstractNum w:abstractNumId="30">
    <w:nsid w:val="D34B6A8"/>
    <w:multiLevelType w:val="hybridMultilevel"/>
    <w:lvl w:ilvl="0">
      <w:lvlJc w:val="left"/>
      <w:lvlText w:val="**"/>
      <w:numFmt w:val="bullet"/>
      <w:start w:val="1"/>
    </w:lvl>
  </w:abstractNum>
  <w:abstractNum w:abstractNumId="31">
    <w:nsid w:val="10233C99"/>
    <w:multiLevelType w:val="hybridMultilevel"/>
    <w:lvl w:ilvl="0">
      <w:lvlJc w:val="left"/>
      <w:lvlText w:val="%1"/>
      <w:numFmt w:val="decimal"/>
      <w:start w:val="107"/>
    </w:lvl>
  </w:abstractNum>
  <w:abstractNum w:abstractNumId="32">
    <w:nsid w:val="3F6AB60F"/>
    <w:multiLevelType w:val="hybridMultilevel"/>
    <w:lvl w:ilvl="0">
      <w:lvlJc w:val="left"/>
      <w:lvlText w:val="*"/>
      <w:numFmt w:val="bullet"/>
      <w:start w:val="1"/>
    </w:lvl>
  </w:abstractNum>
  <w:abstractNum w:abstractNumId="33">
    <w:nsid w:val="61574095"/>
    <w:multiLevelType w:val="hybridMultilevel"/>
    <w:lvl w:ilvl="0">
      <w:lvlJc w:val="left"/>
      <w:lvlText w:val="**"/>
      <w:numFmt w:val="bullet"/>
      <w:start w:val="1"/>
    </w:lvl>
  </w:abstractNum>
  <w:abstractNum w:abstractNumId="34">
    <w:nsid w:val="7E0C57B1"/>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5">
    <w:nsid w:val="77AE35EB"/>
    <w:multiLevelType w:val="hybridMultilevel"/>
    <w:lvl w:ilvl="0">
      <w:lvlJc w:val="left"/>
      <w:lvlText w:val="(%1)"/>
      <w:numFmt w:val="decimal"/>
      <w:start w:val="2"/>
    </w:lvl>
    <w:lvl w:ilvl="1">
      <w:lvlJc w:val="left"/>
      <w:lvlText w:val="(%2)"/>
      <w:numFmt w:val="lowerRoman"/>
      <w:start w:val="1"/>
    </w:lvl>
  </w:abstractNum>
  <w:abstractNum w:abstractNumId="36">
    <w:nsid w:val="579BE4F1"/>
    <w:multiLevelType w:val="hybridMultilevel"/>
    <w:lvl w:ilvl="0">
      <w:lvlJc w:val="left"/>
      <w:lvlText w:val="%1"/>
      <w:numFmt w:val="lowerLetter"/>
      <w:start w:val="1"/>
    </w:lvl>
    <w:lvl w:ilvl="1">
      <w:lvlJc w:val="left"/>
      <w:lvlText w:val="(%2)"/>
      <w:numFmt w:val="lowerRoman"/>
      <w:start w:val="1"/>
    </w:lvl>
  </w:abstractNum>
  <w:abstractNum w:abstractNumId="37">
    <w:nsid w:val="310C50B3"/>
    <w:multiLevelType w:val="hybridMultilevel"/>
    <w:lvl w:ilvl="0">
      <w:lvlJc w:val="left"/>
      <w:lvlText w:val="(%1)"/>
      <w:numFmt w:val="lowerLetter"/>
      <w:start w:val="2"/>
    </w:lvl>
    <w:lvl w:ilvl="1">
      <w:lvlJc w:val="left"/>
      <w:lvlText w:val="%2"/>
      <w:numFmt w:val="lowerRoman"/>
      <w:start w:val="1"/>
    </w:lvl>
  </w:abstractNum>
  <w:abstractNum w:abstractNumId="38">
    <w:nsid w:val="5FF87E05"/>
    <w:multiLevelType w:val="hybridMultilevel"/>
    <w:lvl w:ilvl="0">
      <w:lvlJc w:val="left"/>
      <w:lvlText w:val="(%1)"/>
      <w:numFmt w:val="lowerLetter"/>
      <w:start w:val="3"/>
    </w:lvl>
  </w:abstractNum>
  <w:abstractNum w:abstractNumId="39">
    <w:nsid w:val="2F305DEF"/>
    <w:multiLevelType w:val="hybridMultilevel"/>
    <w:lvl w:ilvl="0">
      <w:lvlJc w:val="left"/>
      <w:lvlText w:val="["/>
      <w:numFmt w:val="bullet"/>
      <w:start w:val="1"/>
    </w:lvl>
  </w:abstractNum>
  <w:abstractNum w:abstractNumId="40">
    <w:nsid w:val="25A70BF7"/>
    <w:multiLevelType w:val="hybridMultilevel"/>
    <w:lvl w:ilvl="0">
      <w:lvlJc w:val="left"/>
      <w:lvlText w:val="(%1)"/>
      <w:numFmt w:val="lowerLetter"/>
      <w:start w:val="1"/>
    </w:lvl>
  </w:abstractNum>
  <w:abstractNum w:abstractNumId="41">
    <w:nsid w:val="1DBABF00"/>
    <w:multiLevelType w:val="hybridMultilevel"/>
    <w:lvl w:ilvl="0">
      <w:lvlJc w:val="left"/>
      <w:lvlText w:val="(%1)"/>
      <w:numFmt w:val="lowerLetter"/>
      <w:start w:val="6"/>
    </w:lvl>
  </w:abstractNum>
  <w:abstractNum w:abstractNumId="42">
    <w:nsid w:val="4AD084E9"/>
    <w:multiLevelType w:val="hybridMultilevel"/>
    <w:lvl w:ilvl="0">
      <w:lvlJc w:val="left"/>
      <w:lvlText w:val="%1."/>
      <w:numFmt w:val="decimal"/>
      <w:start w:val="2"/>
    </w:lvl>
  </w:abstractNum>
  <w:abstractNum w:abstractNumId="43">
    <w:nsid w:val="1F48EAA1"/>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44">
    <w:nsid w:val="1381823A"/>
    <w:multiLevelType w:val="hybridMultilevel"/>
    <w:lvl w:ilvl="0">
      <w:lvlJc w:val="left"/>
      <w:lvlText w:val="(%1)"/>
      <w:numFmt w:val="lowerRoman"/>
      <w:start w:val="2"/>
    </w:lvl>
  </w:abstractNum>
  <w:abstractNum w:abstractNumId="45">
    <w:nsid w:val="5DB70AE5"/>
    <w:multiLevelType w:val="hybridMultilevel"/>
    <w:lvl w:ilvl="0">
      <w:lvlJc w:val="left"/>
      <w:lvlText w:val="%1"/>
      <w:numFmt w:val="upperLetter"/>
      <w:start w:val="1"/>
    </w:lvl>
    <w:lvl w:ilvl="1">
      <w:lvlJc w:val="left"/>
      <w:lvlText w:val="(%2)"/>
      <w:numFmt w:val="lowerRoman"/>
      <w:start w:val="9"/>
    </w:lvl>
  </w:abstractNum>
  <w:abstractNum w:abstractNumId="46">
    <w:nsid w:val="100F8FCA"/>
    <w:multiLevelType w:val="hybridMultilevel"/>
    <w:lvl w:ilvl="0">
      <w:lvlJc w:val="left"/>
      <w:lvlText w:val="(%1)"/>
      <w:numFmt w:val="upperLetter"/>
      <w:start w:val="3"/>
    </w:lvl>
    <w:lvl w:ilvl="1">
      <w:lvlJc w:val="left"/>
      <w:lvlText w:val="(%2)"/>
      <w:numFmt w:val="lowerRoman"/>
      <w:start w:val="11"/>
    </w:lvl>
  </w:abstractNum>
  <w:abstractNum w:abstractNumId="47">
    <w:nsid w:val="6590700B"/>
    <w:multiLevelType w:val="hybridMultilevel"/>
    <w:lvl w:ilvl="0">
      <w:lvlJc w:val="left"/>
      <w:lvlText w:val="1"/>
      <w:numFmt w:val="bullet"/>
      <w:start w:val="1"/>
    </w:lvl>
  </w:abstractNum>
  <w:abstractNum w:abstractNumId="48">
    <w:nsid w:val="15014ACB"/>
    <w:multiLevelType w:val="hybridMultilevel"/>
    <w:lvl w:ilvl="0">
      <w:lvlJc w:val="left"/>
      <w:lvlText w:val="(%1)"/>
      <w:numFmt w:val="lowerRoman"/>
      <w:start w:val="12"/>
    </w:lvl>
  </w:abstractNum>
  <w:abstractNum w:abstractNumId="49">
    <w:nsid w:val="5F5E7FD0"/>
    <w:multiLevelType w:val="hybridMultilevel"/>
    <w:lvl w:ilvl="0">
      <w:lvlJc w:val="left"/>
      <w:lvlText w:val="(%1)"/>
      <w:numFmt w:val="lowerLetter"/>
      <w:start w:val="4"/>
    </w:lvl>
    <w:lvl w:ilvl="1">
      <w:lvlJc w:val="left"/>
      <w:lvlText w:val="(%2)"/>
      <w:numFmt w:val="lowerRoman"/>
      <w:start w:val="1"/>
    </w:lvl>
  </w:abstractNum>
  <w:abstractNum w:abstractNumId="50">
    <w:nsid w:val="98A3148"/>
    <w:multiLevelType w:val="hybridMultilevel"/>
    <w:lvl w:ilvl="0">
      <w:lvlJc w:val="left"/>
      <w:lvlText w:val="(%1)"/>
      <w:numFmt w:val="lowerRoman"/>
      <w:start w:val="6"/>
    </w:lvl>
  </w:abstractNum>
  <w:abstractNum w:abstractNumId="51">
    <w:nsid w:val="799D0247"/>
    <w:multiLevelType w:val="hybridMultilevel"/>
    <w:lvl w:ilvl="0">
      <w:lvlJc w:val="left"/>
      <w:lvlText w:val="(%1)"/>
      <w:numFmt w:val="lowerLetter"/>
      <w:start w:val="5"/>
    </w:lvl>
    <w:lvl w:ilvl="1">
      <w:lvlJc w:val="left"/>
      <w:lvlText w:val="(%2)"/>
      <w:numFmt w:val="lowerRoman"/>
      <w:start w:val="1"/>
    </w:lvl>
  </w:abstractNum>
  <w:abstractNum w:abstractNumId="52">
    <w:nsid w:val="6B94764"/>
    <w:multiLevelType w:val="hybridMultilevel"/>
    <w:lvl w:ilvl="0">
      <w:lvlJc w:val="left"/>
      <w:lvlText w:val="%1"/>
      <w:numFmt w:val="decimal"/>
      <w:start w:val="1"/>
    </w:lvl>
    <w:lvl w:ilvl="1">
      <w:lvlJc w:val="left"/>
      <w:lvlText w:val="(%2)"/>
      <w:numFmt w:val="lowerLetter"/>
      <w:start w:val="6"/>
    </w:lvl>
  </w:abstractNum>
  <w:abstractNum w:abstractNumId="53">
    <w:nsid w:val="42C296BD"/>
    <w:multiLevelType w:val="hybridMultilevel"/>
    <w:lvl w:ilvl="0">
      <w:lvlJc w:val="left"/>
      <w:lvlText w:val="%1."/>
      <w:numFmt w:val="decimal"/>
      <w:start w:val="5"/>
    </w:lvl>
    <w:lvl w:ilvl="1">
      <w:lvlJc w:val="left"/>
      <w:lvlText w:val="(%2)"/>
      <w:numFmt w:val="lowerLetter"/>
      <w:start w:val="1"/>
    </w:lvl>
  </w:abstractNum>
  <w:abstractNum w:abstractNumId="54">
    <w:nsid w:val="168E121F"/>
    <w:multiLevelType w:val="hybridMultilevel"/>
    <w:lvl w:ilvl="0">
      <w:lvlJc w:val="left"/>
      <w:lvlText w:val="(%1)"/>
      <w:numFmt w:val="lowerLetter"/>
      <w:start w:val="4"/>
    </w:lvl>
  </w:abstractNum>
  <w:abstractNum w:abstractNumId="55">
    <w:nsid w:val="1EBA5D23"/>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56">
    <w:nsid w:val="661E3F1E"/>
    <w:multiLevelType w:val="hybridMultilevel"/>
    <w:lvl w:ilvl="0">
      <w:lvlJc w:val="left"/>
      <w:lvlText w:val="%1."/>
      <w:numFmt w:val="decimal"/>
      <w:start w:val="8"/>
    </w:lvl>
  </w:abstractNum>
  <w:abstractNum w:abstractNumId="57">
    <w:nsid w:val="5DC79EA8"/>
    <w:multiLevelType w:val="hybridMultilevel"/>
    <w:lvl w:ilvl="0">
      <w:lvlJc w:val="left"/>
      <w:lvlText w:val="%1."/>
      <w:numFmt w:val="decimal"/>
      <w:start w:val="9"/>
    </w:lvl>
    <w:lvl w:ilvl="1">
      <w:lvlJc w:val="left"/>
      <w:lvlText w:val="(%2)"/>
      <w:numFmt w:val="lowerLetter"/>
      <w:start w:val="1"/>
    </w:lvl>
  </w:abstractNum>
  <w:abstractNum w:abstractNumId="58">
    <w:nsid w:val="540A471C"/>
    <w:multiLevelType w:val="hybridMultilevel"/>
    <w:lvl w:ilvl="0">
      <w:lvlJc w:val="left"/>
      <w:lvlText w:val="%1."/>
      <w:numFmt w:val="decimal"/>
      <w:start w:val="1"/>
    </w:lvl>
  </w:abstractNum>
  <w:abstractNum w:abstractNumId="59">
    <w:nsid w:val="7BD3EE7B"/>
    <w:multiLevelType w:val="hybridMultilevel"/>
    <w:lvl w:ilvl="0">
      <w:lvlJc w:val="left"/>
      <w:lvlText w:val="%1."/>
      <w:numFmt w:val="decimal"/>
      <w:start w:val="2"/>
    </w:lvl>
  </w:abstractNum>
  <w:abstractNum w:abstractNumId="60">
    <w:nsid w:val="51D9C564"/>
    <w:multiLevelType w:val="hybridMultilevel"/>
    <w:lvl w:ilvl="0">
      <w:lvlJc w:val="left"/>
      <w:lvlText w:val="%1."/>
      <w:numFmt w:val="decimal"/>
      <w:start w:val="3"/>
    </w:lvl>
  </w:abstractNum>
  <w:abstractNum w:abstractNumId="61">
    <w:nsid w:val="613EFDC5"/>
    <w:multiLevelType w:val="hybridMultilevel"/>
    <w:lvl w:ilvl="0">
      <w:lvlJc w:val="left"/>
      <w:lvlText w:val="%1."/>
      <w:numFmt w:val="decimal"/>
      <w:start w:val="4"/>
    </w:lvl>
  </w:abstractNum>
  <w:abstractNum w:abstractNumId="62">
    <w:nsid w:val="BF72B14"/>
    <w:multiLevelType w:val="hybridMultilevel"/>
    <w:lvl w:ilvl="0">
      <w:lvlJc w:val="left"/>
      <w:lvlText w:val="%1."/>
      <w:numFmt w:val="decimal"/>
      <w:start w:val="5"/>
    </w:lvl>
  </w:abstractNum>
  <w:abstractNum w:abstractNumId="63">
    <w:nsid w:val="11447B73"/>
    <w:multiLevelType w:val="hybridMultilevel"/>
    <w:lvl w:ilvl="0">
      <w:lvlJc w:val="left"/>
      <w:lvlText w:val="%1."/>
      <w:numFmt w:val="decimal"/>
      <w:start w:val="7"/>
    </w:lvl>
  </w:abstractNum>
  <w:abstractNum w:abstractNumId="64">
    <w:nsid w:val="42963E5A"/>
    <w:multiLevelType w:val="hybridMultilevel"/>
    <w:lvl w:ilvl="0">
      <w:lvlJc w:val="left"/>
      <w:lvlText w:val="%1."/>
      <w:numFmt w:val="decimal"/>
      <w:start w:val="8"/>
    </w:lvl>
  </w:abstractNum>
  <w:abstractNum w:abstractNumId="65">
    <w:nsid w:val="A0382C5"/>
    <w:multiLevelType w:val="hybridMultilevel"/>
    <w:lvl w:ilvl="0">
      <w:lvlJc w:val="left"/>
      <w:lvlText w:val="%1."/>
      <w:numFmt w:val="decimal"/>
      <w:start w:val="9"/>
    </w:lvl>
  </w:abstractNum>
  <w:abstractNum w:abstractNumId="66">
    <w:nsid w:val="8F2B15E"/>
    <w:multiLevelType w:val="hybridMultilevel"/>
    <w:lvl w:ilvl="0">
      <w:lvlJc w:val="left"/>
      <w:lvlText w:val="%1."/>
      <w:numFmt w:val="decimal"/>
      <w:start w:val="10"/>
    </w:lvl>
  </w:abstractNum>
  <w:abstractNum w:abstractNumId="67">
    <w:nsid w:val="1A32234B"/>
    <w:multiLevelType w:val="hybridMultilevel"/>
    <w:lvl w:ilvl="0">
      <w:lvlJc w:val="left"/>
      <w:lvlText w:val="%1."/>
      <w:numFmt w:val="decimal"/>
      <w:start w:val="11"/>
    </w:lvl>
  </w:abstractNum>
  <w:abstractNum w:abstractNumId="68">
    <w:nsid w:val="3B0FD379"/>
    <w:multiLevelType w:val="hybridMultilevel"/>
    <w:lvl w:ilvl="0">
      <w:lvlJc w:val="left"/>
      <w:lvlText w:val="%1."/>
      <w:numFmt w:val="decimal"/>
      <w:start w:val="12"/>
    </w:lvl>
  </w:abstractNum>
  <w:abstractNum w:abstractNumId="69">
    <w:nsid w:val="68EB2F63"/>
    <w:multiLevelType w:val="hybridMultilevel"/>
    <w:lvl w:ilvl="0">
      <w:lvlJc w:val="left"/>
      <w:lvlText w:val="(%1)"/>
      <w:numFmt w:val="decimal"/>
      <w:start w:val="1"/>
    </w:lvl>
  </w:abstractNum>
  <w:abstractNum w:abstractNumId="70">
    <w:nsid w:val="4962813B"/>
    <w:multiLevelType w:val="hybridMultilevel"/>
    <w:lvl w:ilvl="0">
      <w:lvlJc w:val="left"/>
      <w:lvlText w:val="%1."/>
      <w:numFmt w:val="decimal"/>
      <w:start w:val="13"/>
    </w:lvl>
  </w:abstractNum>
  <w:abstractNum w:abstractNumId="71">
    <w:nsid w:val="60B6DF70"/>
    <w:multiLevelType w:val="hybridMultilevel"/>
    <w:lvl w:ilvl="0">
      <w:lvlJc w:val="left"/>
      <w:lvlText w:val="%1."/>
      <w:numFmt w:val="decimal"/>
      <w:start w:val="14"/>
    </w:lvl>
  </w:abstractNum>
  <w:abstractNum w:abstractNumId="72">
    <w:nsid w:val="6A5EE64"/>
    <w:multiLevelType w:val="hybridMultilevel"/>
    <w:lvl w:ilvl="0">
      <w:lvlJc w:val="left"/>
      <w:lvlText w:val="%1."/>
      <w:numFmt w:val="decimal"/>
      <w:start w:val="15"/>
    </w:lvl>
  </w:abstractNum>
  <w:abstractNum w:abstractNumId="73">
    <w:nsid w:val="14330624"/>
    <w:multiLevelType w:val="hybridMultilevel"/>
    <w:lvl w:ilvl="0">
      <w:lvlJc w:val="left"/>
      <w:lvlText w:val="%1."/>
      <w:numFmt w:val="decimal"/>
      <w:start w:val="16"/>
    </w:lvl>
  </w:abstractNum>
  <w:abstractNum w:abstractNumId="74">
    <w:nsid w:val="7FFFCA11"/>
    <w:multiLevelType w:val="hybridMultilevel"/>
    <w:lvl w:ilvl="0">
      <w:lvlJc w:val="left"/>
      <w:lvlText w:val="%1."/>
      <w:numFmt w:val="decimal"/>
      <w:start w:val="17"/>
    </w:lvl>
  </w:abstractNum>
  <w:abstractNum w:abstractNumId="75">
    <w:nsid w:val="1A27709E"/>
    <w:multiLevelType w:val="hybridMultilevel"/>
    <w:lvl w:ilvl="0">
      <w:lvlJc w:val="left"/>
      <w:lvlText w:val="%1."/>
      <w:numFmt w:val="decimal"/>
      <w:start w:val="18"/>
    </w:lvl>
  </w:abstractNum>
  <w:abstractNum w:abstractNumId="76">
    <w:nsid w:val="71EA1109"/>
    <w:multiLevelType w:val="hybridMultilevel"/>
    <w:lvl w:ilvl="0">
      <w:lvlJc w:val="left"/>
      <w:lvlText w:val="%1."/>
      <w:numFmt w:val="decimal"/>
      <w:start w:val="19"/>
    </w:lvl>
  </w:abstractNum>
  <w:abstractNum w:abstractNumId="77">
    <w:nsid w:val="100F59DC"/>
    <w:multiLevelType w:val="hybridMultilevel"/>
    <w:lvl w:ilvl="0">
      <w:lvlJc w:val="left"/>
      <w:lvlText w:val="(%1)"/>
      <w:numFmt w:val="upperLetter"/>
      <w:start w:val="2"/>
    </w:lvl>
  </w:abstractNum>
  <w:abstractNum w:abstractNumId="78">
    <w:nsid w:val="7FB7E0AA"/>
    <w:multiLevelType w:val="hybridMultilevel"/>
    <w:lvl w:ilvl="0">
      <w:lvlJc w:val="left"/>
      <w:lvlText w:val="%1."/>
      <w:numFmt w:val="decimal"/>
      <w:start w:val="1"/>
    </w:lvl>
  </w:abstractNum>
  <w:abstractNum w:abstractNumId="79">
    <w:nsid w:val="6EB5BD4"/>
    <w:multiLevelType w:val="hybridMultilevel"/>
    <w:lvl w:ilvl="0">
      <w:lvlJc w:val="left"/>
      <w:lvlText w:val="(%1)"/>
      <w:numFmt w:val="upperLetter"/>
      <w:start w:val="3"/>
    </w:lvl>
  </w:abstractNum>
  <w:abstractNum w:abstractNumId="80">
    <w:nsid w:val="6F6DD9AC"/>
    <w:multiLevelType w:val="hybridMultilevel"/>
    <w:lvl w:ilvl="0">
      <w:lvlJc w:val="left"/>
      <w:lvlText w:val="%1."/>
      <w:numFmt w:val="decimal"/>
      <w:start w:val="1"/>
    </w:lvl>
  </w:abstractNum>
  <w:abstractNum w:abstractNumId="81">
    <w:nsid w:val="94211F2"/>
    <w:multiLevelType w:val="hybridMultilevel"/>
    <w:lvl w:ilvl="0">
      <w:lvlJc w:val="left"/>
      <w:lvlText w:val="%1."/>
      <w:numFmt w:val="decimal"/>
      <w:start w:val="4"/>
    </w:lvl>
  </w:abstractNum>
  <w:abstractNum w:abstractNumId="82">
    <w:nsid w:val="885E1B"/>
    <w:multiLevelType w:val="hybridMultilevel"/>
    <w:lvl w:ilvl="0">
      <w:lvlJc w:val="left"/>
      <w:lvlText w:val="(%1)"/>
      <w:numFmt w:val="lowerRoman"/>
      <w:start w:val="3"/>
    </w:lvl>
  </w:abstractNum>
  <w:abstractNum w:abstractNumId="83">
    <w:nsid w:val="76272110"/>
    <w:multiLevelType w:val="hybridMultilevel"/>
    <w:lvl w:ilvl="0">
      <w:lvlJc w:val="left"/>
      <w:lvlText w:val="☐"/>
      <w:numFmt w:val="bullet"/>
      <w:start w:val="1"/>
    </w:lvl>
  </w:abstractNum>
  <w:abstractNum w:abstractNumId="84">
    <w:nsid w:val="4C04A8AF"/>
    <w:multiLevelType w:val="hybridMultilevel"/>
    <w:lvl w:ilvl="0">
      <w:lvlJc w:val="left"/>
      <w:lvlText w:val="%1."/>
      <w:numFmt w:val="decimal"/>
      <w:start w:val="1"/>
    </w:lvl>
    <w:lvl w:ilvl="1">
      <w:lvlJc w:val="left"/>
      <w:lvlText w:val="(%2)"/>
      <w:numFmt w:val="lowerLetter"/>
      <w:start w:val="1"/>
    </w:lvl>
  </w:abstractNum>
  <w:abstractNum w:abstractNumId="85">
    <w:nsid w:val="1716703B"/>
    <w:multiLevelType w:val="hybridMultilevel"/>
    <w:lvl w:ilvl="0">
      <w:lvlJc w:val="left"/>
      <w:lvlText w:val="%1."/>
      <w:numFmt w:val="decimal"/>
      <w:start w:val="2"/>
    </w:lvl>
  </w:abstractNum>
  <w:abstractNum w:abstractNumId="86">
    <w:nsid w:val="14E17E33"/>
    <w:multiLevelType w:val="hybridMultilevel"/>
    <w:lvl w:ilvl="0">
      <w:lvlJc w:val="left"/>
      <w:lvlText w:val="%1."/>
      <w:numFmt w:val="decimal"/>
      <w:start w:val="16"/>
    </w:lvl>
    <w:lvl w:ilvl="1">
      <w:lvlJc w:val="left"/>
      <w:lvlText w:val="%2."/>
      <w:numFmt w:val="decimal"/>
      <w:start w:val="1"/>
    </w:lvl>
    <w:lvl w:ilvl="2">
      <w:lvlJc w:val="left"/>
      <w:lvlText w:val="-"/>
      <w:numFmt w:val="bullet"/>
      <w:start w:val="1"/>
    </w:lvl>
  </w:abstractNum>
  <w:abstractNum w:abstractNumId="87">
    <w:nsid w:val="3222E7CD"/>
    <w:multiLevelType w:val="hybridMultilevel"/>
    <w:lvl w:ilvl="0">
      <w:lvlJc w:val="left"/>
      <w:lvlText w:val="%1."/>
      <w:numFmt w:val="decimal"/>
      <w:start w:val="4"/>
    </w:lvl>
  </w:abstractNum>
  <w:abstractNum w:abstractNumId="88">
    <w:nsid w:val="74DE0EE3"/>
    <w:multiLevelType w:val="hybridMultilevel"/>
    <w:lvl w:ilvl="0">
      <w:lvlJc w:val="left"/>
      <w:lvlText w:val="%1."/>
      <w:numFmt w:val="decimal"/>
      <w:start w:val="6"/>
    </w:lvl>
    <w:lvl w:ilvl="1">
      <w:lvlJc w:val="left"/>
      <w:lvlText w:val="-"/>
      <w:numFmt w:val="bullet"/>
      <w:start w:val="1"/>
    </w:lvl>
  </w:abstractNum>
  <w:abstractNum w:abstractNumId="89">
    <w:nsid w:val="68EBC55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7"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png"/><Relationship Id="rId95" Type="http://schemas.openxmlformats.org/officeDocument/2006/relationships/image" Target="media/image78.png"/><Relationship Id="rId96" Type="http://schemas.openxmlformats.org/officeDocument/2006/relationships/image" Target="media/image79.png"/><Relationship Id="rId97" Type="http://schemas.openxmlformats.org/officeDocument/2006/relationships/image" Target="media/image80.png"/><Relationship Id="rId98" Type="http://schemas.openxmlformats.org/officeDocument/2006/relationships/image" Target="media/image81.png"/><Relationship Id="rId99" Type="http://schemas.openxmlformats.org/officeDocument/2006/relationships/image" Target="media/image82.png"/><Relationship Id="rId100" Type="http://schemas.openxmlformats.org/officeDocument/2006/relationships/image" Target="media/image83.png"/><Relationship Id="rId101" Type="http://schemas.openxmlformats.org/officeDocument/2006/relationships/image" Target="media/image84.png"/><Relationship Id="rId102" Type="http://schemas.openxmlformats.org/officeDocument/2006/relationships/image" Target="media/image85.png"/><Relationship Id="rId103" Type="http://schemas.openxmlformats.org/officeDocument/2006/relationships/image" Target="media/image86.png"/><Relationship Id="rId104" Type="http://schemas.openxmlformats.org/officeDocument/2006/relationships/image" Target="media/image87.png"/><Relationship Id="rId105" Type="http://schemas.openxmlformats.org/officeDocument/2006/relationships/image" Target="media/image88.png"/><Relationship Id="rId106" Type="http://schemas.openxmlformats.org/officeDocument/2006/relationships/image" Target="media/image89.png"/><Relationship Id="rId107" Type="http://schemas.openxmlformats.org/officeDocument/2006/relationships/image" Target="media/image90.png"/><Relationship Id="rId108" Type="http://schemas.openxmlformats.org/officeDocument/2006/relationships/image" Target="media/image91.png"/><Relationship Id="rId109" Type="http://schemas.openxmlformats.org/officeDocument/2006/relationships/image" Target="media/image92.png"/><Relationship Id="rId110" Type="http://schemas.openxmlformats.org/officeDocument/2006/relationships/image" Target="media/image93.png"/><Relationship Id="rId111" Type="http://schemas.openxmlformats.org/officeDocument/2006/relationships/image" Target="media/image94.png"/><Relationship Id="rId112" Type="http://schemas.openxmlformats.org/officeDocument/2006/relationships/image" Target="media/image95.png"/><Relationship Id="rId113" Type="http://schemas.openxmlformats.org/officeDocument/2006/relationships/image" Target="media/image96.png"/><Relationship Id="rId114" Type="http://schemas.openxmlformats.org/officeDocument/2006/relationships/image" Target="media/image97.png"/><Relationship Id="rId115" Type="http://schemas.openxmlformats.org/officeDocument/2006/relationships/image" Target="media/image98.png"/><Relationship Id="rId116" Type="http://schemas.openxmlformats.org/officeDocument/2006/relationships/image" Target="media/image99.png"/><Relationship Id="rId117" Type="http://schemas.openxmlformats.org/officeDocument/2006/relationships/image" Target="media/image100.png"/><Relationship Id="rId118" Type="http://schemas.openxmlformats.org/officeDocument/2006/relationships/image" Target="media/image101.png"/><Relationship Id="rId119" Type="http://schemas.openxmlformats.org/officeDocument/2006/relationships/image" Target="media/image102.png"/><Relationship Id="rId120" Type="http://schemas.openxmlformats.org/officeDocument/2006/relationships/image" Target="media/image103.png"/><Relationship Id="rId121" Type="http://schemas.openxmlformats.org/officeDocument/2006/relationships/image" Target="media/image104.png"/><Relationship Id="rId122" Type="http://schemas.openxmlformats.org/officeDocument/2006/relationships/image" Target="media/image105.png"/><Relationship Id="rId123" Type="http://schemas.openxmlformats.org/officeDocument/2006/relationships/image" Target="media/image106.png"/><Relationship Id="rId124" Type="http://schemas.openxmlformats.org/officeDocument/2006/relationships/image" Target="media/image107.png"/><Relationship Id="rId125" Type="http://schemas.openxmlformats.org/officeDocument/2006/relationships/image" Target="media/image108.png"/><Relationship Id="rId126" Type="http://schemas.openxmlformats.org/officeDocument/2006/relationships/image" Target="media/image109.png"/><Relationship Id="rId127" Type="http://schemas.openxmlformats.org/officeDocument/2006/relationships/image" Target="media/image110.png"/><Relationship Id="rId128" Type="http://schemas.openxmlformats.org/officeDocument/2006/relationships/image" Target="media/image111.png"/><Relationship Id="rId129" Type="http://schemas.openxmlformats.org/officeDocument/2006/relationships/image" Target="media/image112.png"/><Relationship Id="rId130" Type="http://schemas.openxmlformats.org/officeDocument/2006/relationships/image" Target="media/image113.png"/><Relationship Id="rId131" Type="http://schemas.openxmlformats.org/officeDocument/2006/relationships/image" Target="media/image114.png"/><Relationship Id="rId132" Type="http://schemas.openxmlformats.org/officeDocument/2006/relationships/image" Target="media/image115.png"/><Relationship Id="rId133" Type="http://schemas.openxmlformats.org/officeDocument/2006/relationships/image" Target="media/image116.png"/><Relationship Id="rId134" Type="http://schemas.openxmlformats.org/officeDocument/2006/relationships/image" Target="media/image117.png"/><Relationship Id="rId135" Type="http://schemas.openxmlformats.org/officeDocument/2006/relationships/image" Target="media/image118.jpeg"/><Relationship Id="rId136" Type="http://schemas.openxmlformats.org/officeDocument/2006/relationships/image" Target="media/image119.png"/><Relationship Id="rId137" Type="http://schemas.openxmlformats.org/officeDocument/2006/relationships/image" Target="media/image120.png"/><Relationship Id="rId138" Type="http://schemas.openxmlformats.org/officeDocument/2006/relationships/image" Target="media/image121.png"/><Relationship Id="rId139" Type="http://schemas.openxmlformats.org/officeDocument/2006/relationships/image" Target="media/image122.jpeg"/><Relationship Id="rId140" Type="http://schemas.openxmlformats.org/officeDocument/2006/relationships/image" Target="media/image123.png"/><Relationship Id="rId141" Type="http://schemas.openxmlformats.org/officeDocument/2006/relationships/image" Target="media/image124.png"/><Relationship Id="rId142" Type="http://schemas.openxmlformats.org/officeDocument/2006/relationships/image" Target="media/image125.png"/><Relationship Id="rId143" Type="http://schemas.openxmlformats.org/officeDocument/2006/relationships/image" Target="media/image126.png"/><Relationship Id="rId144" Type="http://schemas.openxmlformats.org/officeDocument/2006/relationships/image" Target="media/image127.png"/><Relationship Id="rId145" Type="http://schemas.openxmlformats.org/officeDocument/2006/relationships/image" Target="media/image128.png"/><Relationship Id="rId146" Type="http://schemas.openxmlformats.org/officeDocument/2006/relationships/image" Target="media/image129.png"/><Relationship Id="rId147" Type="http://schemas.openxmlformats.org/officeDocument/2006/relationships/image" Target="media/image130.png"/><Relationship Id="rId148" Type="http://schemas.openxmlformats.org/officeDocument/2006/relationships/image" Target="media/image131.png"/><Relationship Id="rId149" Type="http://schemas.openxmlformats.org/officeDocument/2006/relationships/image" Target="media/image132.png"/><Relationship Id="rId150" Type="http://schemas.openxmlformats.org/officeDocument/2006/relationships/image" Target="media/image133.png"/><Relationship Id="rId151" Type="http://schemas.openxmlformats.org/officeDocument/2006/relationships/image" Target="media/image134.png"/><Relationship Id="rId152" Type="http://schemas.openxmlformats.org/officeDocument/2006/relationships/image" Target="media/image135.png"/><Relationship Id="rId153" Type="http://schemas.openxmlformats.org/officeDocument/2006/relationships/image" Target="media/image136.png"/><Relationship Id="rId154" Type="http://schemas.openxmlformats.org/officeDocument/2006/relationships/image" Target="media/image137.png"/><Relationship Id="rId155" Type="http://schemas.openxmlformats.org/officeDocument/2006/relationships/image" Target="media/image138.png"/><Relationship Id="rId156" Type="http://schemas.openxmlformats.org/officeDocument/2006/relationships/image" Target="media/image139.png"/><Relationship Id="rId157" Type="http://schemas.openxmlformats.org/officeDocument/2006/relationships/image" Target="media/image140.png"/><Relationship Id="rId158" Type="http://schemas.openxmlformats.org/officeDocument/2006/relationships/image" Target="media/image141.png"/><Relationship Id="rId159" Type="http://schemas.openxmlformats.org/officeDocument/2006/relationships/image" Target="media/image142.png"/><Relationship Id="rId160" Type="http://schemas.openxmlformats.org/officeDocument/2006/relationships/image" Target="media/image143.png"/><Relationship Id="rId161" Type="http://schemas.openxmlformats.org/officeDocument/2006/relationships/image" Target="media/image144.png"/><Relationship Id="rId162" Type="http://schemas.openxmlformats.org/officeDocument/2006/relationships/image" Target="media/image145.png"/><Relationship Id="rId163" Type="http://schemas.openxmlformats.org/officeDocument/2006/relationships/image" Target="media/image146.png"/><Relationship Id="rId164" Type="http://schemas.openxmlformats.org/officeDocument/2006/relationships/image" Target="media/image147.png"/><Relationship Id="rId165" Type="http://schemas.openxmlformats.org/officeDocument/2006/relationships/image" Target="media/image148.png"/><Relationship Id="rId166" Type="http://schemas.openxmlformats.org/officeDocument/2006/relationships/image" Target="media/image149.png"/><Relationship Id="rId167" Type="http://schemas.openxmlformats.org/officeDocument/2006/relationships/image" Target="media/image150.png"/><Relationship Id="rId168" Type="http://schemas.openxmlformats.org/officeDocument/2006/relationships/image" Target="media/image151.png"/><Relationship Id="rId47" Type="http://schemas.openxmlformats.org/officeDocument/2006/relationships/hyperlink" Target="http://www.sec.gov/ix?doc=/Archives/edgar/data/1166691/000116669122000009/cmcsa-20211231.htm" TargetMode="External"/><Relationship Id="rId48" Type="http://schemas.openxmlformats.org/officeDocument/2006/relationships/hyperlink" Target="http://www.sec.gov/ix?doc=/Archives/edgar/data/1166691/000116669122000018/cmcsa-20220331.htm" TargetMode="External"/><Relationship Id="rId49" Type="http://schemas.openxmlformats.org/officeDocument/2006/relationships/hyperlink" Target="http://www.sec.gov/ix?doc=/Archives/edgar/data/1166691/000116669122000030/cmcsa-20220630.htm" TargetMode="External"/><Relationship Id="rId50" Type="http://schemas.openxmlformats.org/officeDocument/2006/relationships/hyperlink" Target="http://www.sec.gov/ix?doc=/Archives/edgar/data/1166691/000095010322010112/dp174738_8k.htm" TargetMode="External"/><Relationship Id="rId51" Type="http://schemas.openxmlformats.org/officeDocument/2006/relationships/hyperlink" Target="http://www.sec.gov/Archives/edgar/data/1166691/000120677422001186/cmcsa4011221-def14a.htm" TargetMode="External"/><Relationship Id="rId52" Type="http://schemas.openxmlformats.org/officeDocument/2006/relationships/hyperlink" Target="http://www.sec.gov/Archives/edgar/data/1166691/000095010315009516/dp61838_8k.htm" TargetMode="External"/><Relationship Id="rId64" Type="http://schemas.openxmlformats.org/officeDocument/2006/relationships/hyperlink" Target="http://www.sec.gov/Archives/edgar/data/1166691/000095015903000238/comcast200210k.txt" TargetMode="External"/><Relationship Id="rId65" Type="http://schemas.openxmlformats.org/officeDocument/2006/relationships/hyperlink" Target="http://www.sec.gov/Archives/edgar/data/355069/000119312513370526/d554661dex43.htm" TargetMode="External"/><Relationship Id="rId66" Type="http://schemas.openxmlformats.org/officeDocument/2006/relationships/hyperlink" Target="http://www.sec.gov/Archives/edgar/data/902739/000119312515384253/d60854dex44.htm" TargetMode="External"/><Relationship Id="rId68" Type="http://schemas.openxmlformats.org/officeDocument/2006/relationships/hyperlink" Target="http://www.sec.gov/Archives/edgar/data/1166691/000116669121000036/ex22-093020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2022-07-29T07:48:38Z</dcterms:created>
  <dcterms:modified xsi:type="dcterms:W3CDTF">2022-07-29T07:48:38Z</dcterms:modified>
</cp:coreProperties>
</file>