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30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Pursuant to Section 13 or 15(d) of the</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Exchange Act of 1934</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September 14, 2021</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Comcast Corporation</w:t>
      </w:r>
    </w:p>
    <w:p>
      <w:pPr>
        <w:spacing w:after="0" w:line="34" w:lineRule="exact"/>
        <w:rPr>
          <w:sz w:val="24"/>
          <w:szCs w:val="24"/>
          <w:color w:val="auto"/>
        </w:rPr>
      </w:pPr>
    </w:p>
    <w:p>
      <w:pPr>
        <w:ind w:left="4660"/>
        <w:spacing w:after="0"/>
        <w:rPr>
          <w:sz w:val="20"/>
          <w:szCs w:val="20"/>
          <w:color w:val="auto"/>
        </w:rPr>
      </w:pPr>
      <w:r>
        <w:rPr>
          <w:rFonts w:ascii="Arial" w:cs="Arial" w:eastAsia="Arial" w:hAnsi="Arial"/>
          <w:sz w:val="18"/>
          <w:szCs w:val="18"/>
          <w:color w:val="auto"/>
        </w:rPr>
        <w:t>(Exact Name of Registrant</w:t>
      </w:r>
    </w:p>
    <w:p>
      <w:pPr>
        <w:spacing w:after="0" w:line="7" w:lineRule="exact"/>
        <w:rPr>
          <w:sz w:val="24"/>
          <w:szCs w:val="24"/>
          <w:color w:val="auto"/>
        </w:rPr>
      </w:pPr>
    </w:p>
    <w:p>
      <w:pPr>
        <w:ind w:left="4660"/>
        <w:spacing w:after="0"/>
        <w:rPr>
          <w:sz w:val="20"/>
          <w:szCs w:val="20"/>
          <w:color w:val="auto"/>
        </w:rPr>
      </w:pPr>
      <w:r>
        <w:rPr>
          <w:rFonts w:ascii="Arial" w:cs="Arial" w:eastAsia="Arial" w:hAnsi="Arial"/>
          <w:sz w:val="18"/>
          <w:szCs w:val="18"/>
          <w:color w:val="auto"/>
        </w:rPr>
        <w:t>as Specified in its Charter)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Pennsylvania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1340" w:type="dxa"/>
        <w:tblCellMar>
          <w:top w:w="0" w:type="dxa"/>
          <w:left w:w="0" w:type="dxa"/>
          <w:bottom w:w="0" w:type="dxa"/>
          <w:right w:w="0" w:type="dxa"/>
        </w:tblCellMar>
      </w:tblPr>
      <w:tr>
        <w:trPr>
          <w:trHeight w:val="220"/>
        </w:trPr>
        <w:tc>
          <w:tcPr>
            <w:tcW w:w="4400" w:type="dxa"/>
            <w:vAlign w:val="bottom"/>
          </w:tcPr>
          <w:p>
            <w:pPr>
              <w:jc w:val="center"/>
              <w:ind w:right="1370"/>
              <w:spacing w:after="0"/>
              <w:rPr>
                <w:sz w:val="20"/>
                <w:szCs w:val="20"/>
                <w:color w:val="auto"/>
              </w:rPr>
            </w:pPr>
            <w:r>
              <w:rPr>
                <w:rFonts w:ascii="Arial" w:cs="Arial" w:eastAsia="Arial" w:hAnsi="Arial"/>
                <w:sz w:val="18"/>
                <w:szCs w:val="18"/>
                <w:b w:val="1"/>
                <w:bCs w:val="1"/>
                <w:color w:val="auto"/>
                <w:w w:val="90"/>
              </w:rPr>
              <w:t>001-32871</w:t>
            </w:r>
          </w:p>
        </w:tc>
        <w:tc>
          <w:tcPr>
            <w:tcW w:w="3940" w:type="dxa"/>
            <w:vAlign w:val="bottom"/>
          </w:tcPr>
          <w:p>
            <w:pPr>
              <w:jc w:val="center"/>
              <w:ind w:left="1350"/>
              <w:spacing w:after="0"/>
              <w:rPr>
                <w:sz w:val="20"/>
                <w:szCs w:val="20"/>
                <w:color w:val="auto"/>
              </w:rPr>
            </w:pPr>
            <w:r>
              <w:rPr>
                <w:rFonts w:ascii="Arial" w:cs="Arial" w:eastAsia="Arial" w:hAnsi="Arial"/>
                <w:sz w:val="18"/>
                <w:szCs w:val="18"/>
                <w:b w:val="1"/>
                <w:bCs w:val="1"/>
                <w:color w:val="auto"/>
                <w:w w:val="89"/>
              </w:rPr>
              <w:t>27-0000798</w:t>
            </w:r>
          </w:p>
        </w:tc>
      </w:tr>
      <w:tr>
        <w:trPr>
          <w:trHeight w:val="230"/>
        </w:trPr>
        <w:tc>
          <w:tcPr>
            <w:tcW w:w="4400" w:type="dxa"/>
            <w:vAlign w:val="bottom"/>
          </w:tcPr>
          <w:p>
            <w:pPr>
              <w:jc w:val="center"/>
              <w:ind w:right="1350"/>
              <w:spacing w:after="0"/>
              <w:rPr>
                <w:sz w:val="20"/>
                <w:szCs w:val="20"/>
                <w:color w:val="auto"/>
              </w:rPr>
            </w:pPr>
            <w:r>
              <w:rPr>
                <w:rFonts w:ascii="Arial" w:cs="Arial" w:eastAsia="Arial" w:hAnsi="Arial"/>
                <w:sz w:val="18"/>
                <w:szCs w:val="18"/>
                <w:color w:val="auto"/>
                <w:w w:val="93"/>
              </w:rPr>
              <w:t>(Commission File Number)</w:t>
            </w:r>
          </w:p>
        </w:tc>
        <w:tc>
          <w:tcPr>
            <w:tcW w:w="3940" w:type="dxa"/>
            <w:vAlign w:val="bottom"/>
          </w:tcPr>
          <w:p>
            <w:pPr>
              <w:jc w:val="center"/>
              <w:ind w:left="137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4400" w:type="dxa"/>
            <w:vAlign w:val="bottom"/>
          </w:tcPr>
          <w:p>
            <w:pPr>
              <w:jc w:val="center"/>
              <w:ind w:right="1350"/>
              <w:spacing w:after="0"/>
              <w:rPr>
                <w:sz w:val="20"/>
                <w:szCs w:val="20"/>
                <w:color w:val="auto"/>
              </w:rPr>
            </w:pPr>
            <w:r>
              <w:rPr>
                <w:rFonts w:ascii="Arial" w:cs="Arial" w:eastAsia="Arial" w:hAnsi="Arial"/>
                <w:sz w:val="18"/>
                <w:szCs w:val="18"/>
                <w:b w:val="1"/>
                <w:bCs w:val="1"/>
                <w:color w:val="auto"/>
                <w:w w:val="89"/>
              </w:rPr>
              <w:t>One Comcast Center</w:t>
            </w:r>
          </w:p>
        </w:tc>
        <w:tc>
          <w:tcPr>
            <w:tcW w:w="3940" w:type="dxa"/>
            <w:vAlign w:val="bottom"/>
          </w:tcPr>
          <w:p>
            <w:pPr>
              <w:spacing w:after="0"/>
              <w:rPr>
                <w:sz w:val="24"/>
                <w:szCs w:val="24"/>
                <w:color w:val="auto"/>
              </w:rPr>
            </w:pPr>
          </w:p>
        </w:tc>
      </w:tr>
      <w:tr>
        <w:trPr>
          <w:trHeight w:val="220"/>
        </w:trPr>
        <w:tc>
          <w:tcPr>
            <w:tcW w:w="4400" w:type="dxa"/>
            <w:vAlign w:val="bottom"/>
          </w:tcPr>
          <w:p>
            <w:pPr>
              <w:jc w:val="center"/>
              <w:ind w:right="1350"/>
              <w:spacing w:after="0"/>
              <w:rPr>
                <w:sz w:val="20"/>
                <w:szCs w:val="20"/>
                <w:color w:val="auto"/>
              </w:rPr>
            </w:pPr>
            <w:r>
              <w:rPr>
                <w:rFonts w:ascii="Arial" w:cs="Arial" w:eastAsia="Arial" w:hAnsi="Arial"/>
                <w:sz w:val="18"/>
                <w:szCs w:val="18"/>
                <w:b w:val="1"/>
                <w:bCs w:val="1"/>
                <w:color w:val="auto"/>
                <w:w w:val="90"/>
              </w:rPr>
              <w:t>Philadelphia, PA</w:t>
            </w:r>
          </w:p>
        </w:tc>
        <w:tc>
          <w:tcPr>
            <w:tcW w:w="3940" w:type="dxa"/>
            <w:vAlign w:val="bottom"/>
          </w:tcPr>
          <w:p>
            <w:pPr>
              <w:jc w:val="center"/>
              <w:ind w:left="1350"/>
              <w:spacing w:after="0"/>
              <w:rPr>
                <w:sz w:val="20"/>
                <w:szCs w:val="20"/>
                <w:color w:val="auto"/>
              </w:rPr>
            </w:pPr>
            <w:r>
              <w:rPr>
                <w:rFonts w:ascii="Arial" w:cs="Arial" w:eastAsia="Arial" w:hAnsi="Arial"/>
                <w:sz w:val="18"/>
                <w:szCs w:val="18"/>
                <w:b w:val="1"/>
                <w:bCs w:val="1"/>
                <w:color w:val="auto"/>
                <w:w w:val="89"/>
              </w:rPr>
              <w:t>19103-2838</w:t>
            </w:r>
          </w:p>
        </w:tc>
      </w:tr>
      <w:tr>
        <w:trPr>
          <w:trHeight w:val="230"/>
        </w:trPr>
        <w:tc>
          <w:tcPr>
            <w:tcW w:w="4400" w:type="dxa"/>
            <w:vAlign w:val="bottom"/>
          </w:tcPr>
          <w:p>
            <w:pPr>
              <w:jc w:val="center"/>
              <w:ind w:right="1370"/>
              <w:spacing w:after="0"/>
              <w:rPr>
                <w:sz w:val="20"/>
                <w:szCs w:val="20"/>
                <w:color w:val="auto"/>
              </w:rPr>
            </w:pPr>
            <w:r>
              <w:rPr>
                <w:rFonts w:ascii="Arial" w:cs="Arial" w:eastAsia="Arial" w:hAnsi="Arial"/>
                <w:sz w:val="18"/>
                <w:szCs w:val="18"/>
                <w:color w:val="auto"/>
                <w:w w:val="92"/>
              </w:rPr>
              <w:t>(Address of Principal Executive Offices)</w:t>
            </w:r>
          </w:p>
        </w:tc>
        <w:tc>
          <w:tcPr>
            <w:tcW w:w="3940" w:type="dxa"/>
            <w:vAlign w:val="bottom"/>
          </w:tcPr>
          <w:p>
            <w:pPr>
              <w:jc w:val="center"/>
              <w:ind w:left="1350"/>
              <w:spacing w:after="0"/>
              <w:rPr>
                <w:sz w:val="20"/>
                <w:szCs w:val="20"/>
                <w:color w:val="auto"/>
              </w:rPr>
            </w:pPr>
            <w:r>
              <w:rPr>
                <w:rFonts w:ascii="Arial" w:cs="Arial" w:eastAsia="Arial" w:hAnsi="Arial"/>
                <w:sz w:val="18"/>
                <w:szCs w:val="18"/>
                <w:color w:val="auto"/>
                <w:w w:val="91"/>
              </w:rPr>
              <w:t>(Zip Code)</w:t>
            </w: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(215) 286-1700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4"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34"/>
        </w:trPr>
        <w:tc>
          <w:tcPr>
            <w:tcW w:w="50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Title of Each Class</w:t>
            </w:r>
          </w:p>
        </w:tc>
        <w:tc>
          <w:tcPr>
            <w:tcW w:w="18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Trading symbol(s)</w:t>
            </w:r>
          </w:p>
        </w:tc>
        <w:tc>
          <w:tcPr>
            <w:tcW w:w="4420" w:type="dxa"/>
            <w:vAlign w:val="bottom"/>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195"/>
        </w:trPr>
        <w:tc>
          <w:tcPr>
            <w:tcW w:w="49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Class A Common Stock, $0.01 par value</w:t>
            </w:r>
          </w:p>
        </w:tc>
        <w:tc>
          <w:tcPr>
            <w:tcW w:w="40" w:type="dxa"/>
            <w:vAlign w:val="bottom"/>
          </w:tcPr>
          <w:p>
            <w:pPr>
              <w:spacing w:after="0"/>
              <w:rPr>
                <w:sz w:val="16"/>
                <w:szCs w:val="16"/>
                <w:color w:val="auto"/>
              </w:rPr>
            </w:pPr>
          </w:p>
        </w:tc>
        <w:tc>
          <w:tcPr>
            <w:tcW w:w="17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CMCSA</w:t>
            </w:r>
          </w:p>
        </w:tc>
        <w:tc>
          <w:tcPr>
            <w:tcW w:w="40" w:type="dxa"/>
            <w:vAlign w:val="bottom"/>
          </w:tcPr>
          <w:p>
            <w:pPr>
              <w:spacing w:after="0"/>
              <w:rPr>
                <w:sz w:val="16"/>
                <w:szCs w:val="16"/>
                <w:color w:val="auto"/>
              </w:rPr>
            </w:pPr>
          </w:p>
        </w:tc>
        <w:tc>
          <w:tcPr>
            <w:tcW w:w="4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The Nasdaq Stock Market LLC</w:t>
            </w:r>
          </w:p>
        </w:tc>
      </w:tr>
      <w:tr>
        <w:trPr>
          <w:trHeight w:val="216"/>
        </w:trPr>
        <w:tc>
          <w:tcPr>
            <w:tcW w:w="502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0.250% Notes due 2027</w:t>
            </w:r>
          </w:p>
        </w:tc>
        <w:tc>
          <w:tcPr>
            <w:tcW w:w="180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CMCS27</w:t>
            </w:r>
          </w:p>
        </w:tc>
        <w:tc>
          <w:tcPr>
            <w:tcW w:w="442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502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1.500% Notes due 2029</w:t>
            </w:r>
          </w:p>
        </w:tc>
        <w:tc>
          <w:tcPr>
            <w:tcW w:w="180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CMCS29</w:t>
            </w:r>
          </w:p>
        </w:tc>
        <w:tc>
          <w:tcPr>
            <w:tcW w:w="442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502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0.750% Notes due 2032</w:t>
            </w:r>
          </w:p>
        </w:tc>
        <w:tc>
          <w:tcPr>
            <w:tcW w:w="180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CMCS32</w:t>
            </w:r>
          </w:p>
        </w:tc>
        <w:tc>
          <w:tcPr>
            <w:tcW w:w="442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502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1.875% Notes due 2036</w:t>
            </w:r>
          </w:p>
        </w:tc>
        <w:tc>
          <w:tcPr>
            <w:tcW w:w="180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CMCS36</w:t>
            </w:r>
          </w:p>
        </w:tc>
        <w:tc>
          <w:tcPr>
            <w:tcW w:w="442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502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1.250% Notes due 2040</w:t>
            </w:r>
          </w:p>
        </w:tc>
        <w:tc>
          <w:tcPr>
            <w:tcW w:w="180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CMCS40</w:t>
            </w:r>
          </w:p>
        </w:tc>
        <w:tc>
          <w:tcPr>
            <w:tcW w:w="442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502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9.455% Guaranteed Notes due 2022</w:t>
            </w:r>
          </w:p>
        </w:tc>
        <w:tc>
          <w:tcPr>
            <w:tcW w:w="180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CMCSA/22</w:t>
            </w:r>
          </w:p>
        </w:tc>
        <w:tc>
          <w:tcPr>
            <w:tcW w:w="442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16"/>
        </w:trPr>
        <w:tc>
          <w:tcPr>
            <w:tcW w:w="50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5.50% Notes due 2029</w:t>
            </w:r>
          </w:p>
        </w:tc>
        <w:tc>
          <w:tcPr>
            <w:tcW w:w="180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CCGBP29</w:t>
            </w:r>
          </w:p>
        </w:tc>
        <w:tc>
          <w:tcPr>
            <w:tcW w:w="442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30"/>
        </w:trPr>
        <w:tc>
          <w:tcPr>
            <w:tcW w:w="502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2.0% Exchangeable Subordinated Debentures due 2029</w:t>
            </w:r>
          </w:p>
        </w:tc>
        <w:tc>
          <w:tcPr>
            <w:tcW w:w="1800" w:type="dxa"/>
            <w:vAlign w:val="bottom"/>
            <w:gridSpan w:val="2"/>
          </w:tcPr>
          <w:p>
            <w:pPr>
              <w:jc w:val="center"/>
              <w:ind w:right="40"/>
              <w:spacing w:after="0"/>
              <w:rPr>
                <w:sz w:val="20"/>
                <w:szCs w:val="20"/>
                <w:color w:val="auto"/>
              </w:rPr>
            </w:pPr>
            <w:r>
              <w:rPr>
                <w:rFonts w:ascii="Arial" w:cs="Arial" w:eastAsia="Arial" w:hAnsi="Arial"/>
                <w:sz w:val="18"/>
                <w:szCs w:val="18"/>
                <w:color w:val="auto"/>
                <w:w w:val="97"/>
              </w:rPr>
              <w:t>CCZ</w:t>
            </w:r>
          </w:p>
        </w:tc>
        <w:tc>
          <w:tcPr>
            <w:tcW w:w="442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873" w:right="339" w:bottom="482"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tabs>
          <w:tab w:leader="none" w:pos="11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508635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27"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On September 14, 2021 Comcast Corporation (“Comcast”) consummated the issuance and sale of €1,250,000,000 aggregate principal amount of its 0.000% Notes due 2026 and €500,000,000 aggregate principal amount of its 0.250% Notes due 2029 (collectively, the “Notes”) pursuant to an underwriting agreement dated September 7, 2021 among Comcast, the Guarantors (defined below) and the underwriters named therein. The Notes were issued pursuant to an Indenture dated as of September 18, 2013 (the “Base Indenture”) among Comcast, the guarantors named therein and The Bank of New York Mellon, as trustee (the “Trustee”), as supplemented by the First Supplemental Indenture dated as of November 17, 2015 (the “First Supplemental Indenture”) among Comcast, the guarantors named therein and the Trustee, and an officers’ certificate issued pursuant thereto. The Notes are guaranteed on an unsecured and unsubordinated basis by Comcast Cable Communications, LLC and NBCUniversal Media, LLC (the “Guarantors”).</w:t>
      </w:r>
    </w:p>
    <w:p>
      <w:pPr>
        <w:spacing w:after="0" w:line="168" w:lineRule="exact"/>
        <w:rPr>
          <w:sz w:val="20"/>
          <w:szCs w:val="20"/>
          <w:color w:val="auto"/>
        </w:rPr>
      </w:pPr>
    </w:p>
    <w:p>
      <w:pPr>
        <w:ind w:right="60" w:firstLine="441"/>
        <w:spacing w:after="0" w:line="342" w:lineRule="auto"/>
        <w:rPr>
          <w:sz w:val="20"/>
          <w:szCs w:val="20"/>
          <w:color w:val="auto"/>
        </w:rPr>
      </w:pPr>
      <w:r>
        <w:rPr>
          <w:rFonts w:ascii="Arial" w:cs="Arial" w:eastAsia="Arial" w:hAnsi="Arial"/>
          <w:sz w:val="16"/>
          <w:szCs w:val="16"/>
          <w:color w:val="auto"/>
        </w:rPr>
        <w:t>The Notes were offered pursuant to Comcast’s Registration Statement on Form S-3 filed on August 1, 2019, as amended at the date of the underwriting agreement (Reg. No. 333-232941), including the prospectus contained therein, and a related prospectus supplement dated September 7, 2021.</w:t>
      </w:r>
    </w:p>
    <w:p>
      <w:pPr>
        <w:spacing w:after="0" w:line="124" w:lineRule="exact"/>
        <w:rPr>
          <w:sz w:val="20"/>
          <w:szCs w:val="20"/>
          <w:color w:val="auto"/>
        </w:rPr>
      </w:pPr>
    </w:p>
    <w:p>
      <w:pPr>
        <w:ind w:right="360" w:firstLine="441"/>
        <w:spacing w:after="0" w:line="311" w:lineRule="auto"/>
        <w:rPr>
          <w:sz w:val="20"/>
          <w:szCs w:val="20"/>
          <w:color w:val="auto"/>
        </w:rPr>
      </w:pPr>
      <w:r>
        <w:rPr>
          <w:rFonts w:ascii="Arial" w:cs="Arial" w:eastAsia="Arial" w:hAnsi="Arial"/>
          <w:sz w:val="16"/>
          <w:szCs w:val="16"/>
          <w:color w:val="auto"/>
        </w:rPr>
        <w:t>The material terms and conditions of the Notes are set forth in the Form of Officers’ Certificate filed herewith as Exhibit 4.1 and incorporated by reference herein and in the Base Indenture and First Supplemental Indenture, which are incorporated by reference as Exhibit 4.2 and Exhibit 4.3, respectively, to Comcast’s Registration Statement on Form S-3 filed on August 1, 2019, and incorporated by reference herein.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9.01(d) Exhibits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5"/>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5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500" w:type="dxa"/>
            <w:vAlign w:val="bottom"/>
          </w:tcPr>
          <w:p>
            <w:pPr>
              <w:spacing w:after="0"/>
              <w:rPr>
                <w:sz w:val="18"/>
                <w:szCs w:val="18"/>
                <w:color w:val="auto"/>
              </w:rPr>
            </w:pPr>
          </w:p>
        </w:tc>
      </w:tr>
      <w:tr>
        <w:trPr>
          <w:trHeight w:val="241"/>
        </w:trPr>
        <w:tc>
          <w:tcPr>
            <w:tcW w:w="138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1"/>
              </w:rPr>
              <w:t>Number</w:t>
            </w:r>
          </w:p>
        </w:tc>
        <w:tc>
          <w:tcPr>
            <w:tcW w:w="540" w:type="dxa"/>
            <w:vAlign w:val="bottom"/>
          </w:tcPr>
          <w:p>
            <w:pPr>
              <w:spacing w:after="0"/>
              <w:rPr>
                <w:sz w:val="20"/>
                <w:szCs w:val="20"/>
                <w:color w:val="auto"/>
              </w:rPr>
            </w:pPr>
          </w:p>
        </w:tc>
        <w:tc>
          <w:tcPr>
            <w:tcW w:w="932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rPr>
              <w:t>Description</w:t>
            </w:r>
          </w:p>
        </w:tc>
      </w:tr>
      <w:tr>
        <w:trPr>
          <w:trHeight w:val="378"/>
        </w:trPr>
        <w:tc>
          <w:tcPr>
            <w:tcW w:w="920" w:type="dxa"/>
            <w:vAlign w:val="bottom"/>
            <w:gridSpan w:val="3"/>
          </w:tcPr>
          <w:p>
            <w:pPr>
              <w:jc w:val="center"/>
              <w:ind w:left="610"/>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320" w:type="dxa"/>
            <w:vAlign w:val="bottom"/>
            <w:gridSpan w:val="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Form of Officers’ Certificate setting forth the terms of the Notes</w:t>
              </w:r>
            </w:hyperlink>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412"/>
        </w:trPr>
        <w:tc>
          <w:tcPr>
            <w:tcW w:w="920" w:type="dxa"/>
            <w:vAlign w:val="bottom"/>
            <w:gridSpan w:val="3"/>
          </w:tcPr>
          <w:p>
            <w:pPr>
              <w:jc w:val="center"/>
              <w:ind w:left="610"/>
              <w:spacing w:after="0"/>
              <w:rPr>
                <w:rFonts w:ascii="Arial" w:cs="Arial" w:eastAsia="Arial" w:hAnsi="Arial"/>
                <w:sz w:val="18"/>
                <w:szCs w:val="18"/>
                <w:color w:val="0000EE"/>
                <w:w w:val="87"/>
              </w:rPr>
            </w:pPr>
            <w:hyperlink w:anchor="page35">
              <w:r>
                <w:rPr>
                  <w:rFonts w:ascii="Arial" w:cs="Arial" w:eastAsia="Arial" w:hAnsi="Arial"/>
                  <w:sz w:val="18"/>
                  <w:szCs w:val="18"/>
                  <w:color w:val="0000EE"/>
                  <w:w w:val="87"/>
                </w:rPr>
                <w:t>5.</w:t>
              </w:r>
              <w:r>
                <w:rPr>
                  <w:rFonts w:ascii="Arial" w:cs="Arial" w:eastAsia="Arial" w:hAnsi="Arial"/>
                  <w:sz w:val="18"/>
                  <w:szCs w:val="18"/>
                  <w:u w:val="single" w:color="auto"/>
                  <w:color w:val="0000EE"/>
                  <w:w w:val="87"/>
                </w:rPr>
                <w:t>1</w:t>
              </w:r>
            </w:hyperlink>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320" w:type="dxa"/>
            <w:vAlign w:val="bottom"/>
            <w:gridSpan w:val="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Opinion of Elizabeth Wideman, Esq.</w:t>
              </w:r>
            </w:hyperlink>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412"/>
        </w:trPr>
        <w:tc>
          <w:tcPr>
            <w:tcW w:w="920" w:type="dxa"/>
            <w:vAlign w:val="bottom"/>
            <w:gridSpan w:val="3"/>
          </w:tcPr>
          <w:p>
            <w:pPr>
              <w:jc w:val="center"/>
              <w:ind w:left="610"/>
              <w:spacing w:after="0"/>
              <w:rPr>
                <w:rFonts w:ascii="Arial" w:cs="Arial" w:eastAsia="Arial" w:hAnsi="Arial"/>
                <w:sz w:val="18"/>
                <w:szCs w:val="18"/>
                <w:color w:val="0000EE"/>
                <w:w w:val="87"/>
              </w:rPr>
            </w:pPr>
            <w:hyperlink w:anchor="page37">
              <w:r>
                <w:rPr>
                  <w:rFonts w:ascii="Arial" w:cs="Arial" w:eastAsia="Arial" w:hAnsi="Arial"/>
                  <w:sz w:val="18"/>
                  <w:szCs w:val="18"/>
                  <w:color w:val="0000EE"/>
                  <w:w w:val="87"/>
                </w:rPr>
                <w:t>5.</w:t>
              </w:r>
              <w:r>
                <w:rPr>
                  <w:rFonts w:ascii="Arial" w:cs="Arial" w:eastAsia="Arial" w:hAnsi="Arial"/>
                  <w:sz w:val="18"/>
                  <w:szCs w:val="18"/>
                  <w:u w:val="single" w:color="auto"/>
                  <w:color w:val="0000EE"/>
                  <w:w w:val="87"/>
                </w:rPr>
                <w:t>2</w:t>
              </w:r>
            </w:hyperlink>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320" w:type="dxa"/>
            <w:vAlign w:val="bottom"/>
            <w:gridSpan w:val="6"/>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Opinion of Davis Polk &amp; Wardwell LLP</w:t>
              </w:r>
            </w:hyperlink>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412"/>
        </w:trPr>
        <w:tc>
          <w:tcPr>
            <w:tcW w:w="640" w:type="dxa"/>
            <w:vAlign w:val="bottom"/>
          </w:tcPr>
          <w:p>
            <w:pPr>
              <w:spacing w:after="0"/>
              <w:rPr>
                <w:sz w:val="24"/>
                <w:szCs w:val="24"/>
                <w:color w:val="auto"/>
              </w:rPr>
            </w:pPr>
          </w:p>
        </w:tc>
        <w:tc>
          <w:tcPr>
            <w:tcW w:w="320" w:type="dxa"/>
            <w:vAlign w:val="bottom"/>
            <w:gridSpan w:val="3"/>
          </w:tcPr>
          <w:p>
            <w:pPr>
              <w:jc w:val="cente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23.</w:t>
              </w:r>
              <w:r>
                <w:rPr>
                  <w:rFonts w:ascii="Arial" w:cs="Arial" w:eastAsia="Arial" w:hAnsi="Arial"/>
                  <w:sz w:val="18"/>
                  <w:szCs w:val="18"/>
                  <w:u w:val="single" w:color="auto"/>
                  <w:color w:val="0000EE"/>
                  <w:w w:val="91"/>
                </w:rPr>
                <w:t>1</w:t>
              </w:r>
            </w:hyperlink>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320" w:type="dxa"/>
            <w:vAlign w:val="bottom"/>
            <w:gridSpan w:val="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Consent of Elizabeth Wideman, Esq. (contained in Exhibit 5.1)</w:t>
              </w:r>
            </w:hyperlink>
          </w:p>
        </w:tc>
      </w:tr>
      <w:tr>
        <w:trPr>
          <w:trHeight w:val="20"/>
        </w:trPr>
        <w:tc>
          <w:tcPr>
            <w:tcW w:w="6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540" w:type="dxa"/>
            <w:vAlign w:val="bottom"/>
            <w:gridSpan w:val="3"/>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412"/>
        </w:trPr>
        <w:tc>
          <w:tcPr>
            <w:tcW w:w="640" w:type="dxa"/>
            <w:vAlign w:val="bottom"/>
          </w:tcPr>
          <w:p>
            <w:pPr>
              <w:spacing w:after="0"/>
              <w:rPr>
                <w:sz w:val="24"/>
                <w:szCs w:val="24"/>
                <w:color w:val="auto"/>
              </w:rPr>
            </w:pPr>
          </w:p>
        </w:tc>
        <w:tc>
          <w:tcPr>
            <w:tcW w:w="320" w:type="dxa"/>
            <w:vAlign w:val="bottom"/>
            <w:tcBorders>
              <w:bottom w:val="single" w:sz="8" w:color="0000EE"/>
            </w:tcBorders>
            <w:gridSpan w:val="3"/>
          </w:tcPr>
          <w:p>
            <w:pPr>
              <w:jc w:val="center"/>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23.</w:t>
              </w:r>
              <w:r>
                <w:rPr>
                  <w:rFonts w:ascii="Arial" w:cs="Arial" w:eastAsia="Arial" w:hAnsi="Arial"/>
                  <w:sz w:val="18"/>
                  <w:szCs w:val="18"/>
                  <w:u w:val="single" w:color="auto"/>
                  <w:color w:val="0000EE"/>
                  <w:w w:val="91"/>
                </w:rPr>
                <w:t>2</w:t>
              </w:r>
            </w:hyperlink>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2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37">
              <w:r>
                <w:rPr>
                  <w:rFonts w:ascii="Arial" w:cs="Arial" w:eastAsia="Arial" w:hAnsi="Arial"/>
                  <w:sz w:val="18"/>
                  <w:szCs w:val="18"/>
                  <w:color w:val="0000EE"/>
                  <w:w w:val="93"/>
                </w:rPr>
                <w:t>Consent of Davis Polk &amp; Wardwell LLP (contained in Exhibit 5.2)</w:t>
              </w:r>
            </w:hyperlink>
          </w:p>
        </w:tc>
        <w:tc>
          <w:tcPr>
            <w:tcW w:w="4500" w:type="dxa"/>
            <w:vAlign w:val="bottom"/>
          </w:tcPr>
          <w:p>
            <w:pPr>
              <w:spacing w:after="0"/>
              <w:rPr>
                <w:sz w:val="24"/>
                <w:szCs w:val="24"/>
                <w:color w:val="auto"/>
              </w:rPr>
            </w:pPr>
          </w:p>
        </w:tc>
      </w:tr>
      <w:tr>
        <w:trPr>
          <w:trHeight w:val="453"/>
        </w:trPr>
        <w:tc>
          <w:tcPr>
            <w:tcW w:w="960" w:type="dxa"/>
            <w:vAlign w:val="bottom"/>
            <w:gridSpan w:val="4"/>
          </w:tcPr>
          <w:p>
            <w:pPr>
              <w:jc w:val="center"/>
              <w:ind w:left="550"/>
              <w:spacing w:after="0"/>
              <w:rPr>
                <w:sz w:val="20"/>
                <w:szCs w:val="20"/>
                <w:color w:val="auto"/>
              </w:rPr>
            </w:pPr>
            <w:r>
              <w:rPr>
                <w:rFonts w:ascii="Arial" w:cs="Arial" w:eastAsia="Arial" w:hAnsi="Arial"/>
                <w:sz w:val="18"/>
                <w:szCs w:val="18"/>
                <w:color w:val="auto"/>
                <w:w w:val="93"/>
              </w:rPr>
              <w:t>104</w:t>
            </w: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320" w:type="dxa"/>
            <w:vAlign w:val="bottom"/>
            <w:gridSpan w:val="6"/>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810"/>
        </w:trPr>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39" w:right="33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492125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t>SIGNATURES</w:t>
      </w:r>
    </w:p>
    <w:p>
      <w:pPr>
        <w:spacing w:after="0" w:line="229"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99" w:lineRule="exact"/>
        <w:rPr>
          <w:sz w:val="20"/>
          <w:szCs w:val="20"/>
          <w:color w:val="auto"/>
        </w:rPr>
      </w:pPr>
    </w:p>
    <w:p>
      <w:pPr>
        <w:spacing w:after="0"/>
        <w:tabs>
          <w:tab w:leader="none" w:pos="520" w:val="left"/>
          <w:tab w:leader="none" w:pos="5580" w:val="left"/>
          <w:tab w:leader="none" w:pos="6060" w:val="left"/>
        </w:tabs>
        <w:rPr>
          <w:sz w:val="20"/>
          <w:szCs w:val="20"/>
          <w:color w:val="auto"/>
        </w:rPr>
      </w:pPr>
      <w:r>
        <w:rPr>
          <w:rFonts w:ascii="Arial" w:cs="Arial" w:eastAsia="Arial" w:hAnsi="Arial"/>
          <w:sz w:val="18"/>
          <w:szCs w:val="18"/>
          <w:color w:val="auto"/>
        </w:rPr>
        <w:t>Date:</w:t>
        <w:tab/>
        <w:t>September 14,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Elizabeth Wideman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Name:Elizabeth Wideman</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Title: Senior Vice President, Senior Deputy General Counsel and Assistant</w:t>
      </w:r>
    </w:p>
    <w:p>
      <w:pPr>
        <w:spacing w:after="0" w:line="3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320" w:top="985" w:right="5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14, 2021</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Pursuant to Section 2.03 of the Indenture dated as of September 18, 2013, by and among Comcast Corporation (the “</w:t>
      </w:r>
      <w:r>
        <w:rPr>
          <w:rFonts w:ascii="Arial" w:cs="Arial" w:eastAsia="Arial" w:hAnsi="Arial"/>
          <w:sz w:val="18"/>
          <w:szCs w:val="18"/>
          <w:b w:val="1"/>
          <w:bCs w:val="1"/>
          <w:color w:val="auto"/>
        </w:rPr>
        <w:t>Company</w:t>
      </w:r>
      <w:r>
        <w:rPr>
          <w:rFonts w:ascii="Arial" w:cs="Arial" w:eastAsia="Arial" w:hAnsi="Arial"/>
          <w:sz w:val="18"/>
          <w:szCs w:val="18"/>
          <w:color w:val="auto"/>
        </w:rPr>
        <w:t>”), the guarantors named therein and The Bank of New York Mellon, as trustee (the “</w:t>
      </w:r>
      <w:r>
        <w:rPr>
          <w:rFonts w:ascii="Arial" w:cs="Arial" w:eastAsia="Arial" w:hAnsi="Arial"/>
          <w:sz w:val="18"/>
          <w:szCs w:val="18"/>
          <w:b w:val="1"/>
          <w:bCs w:val="1"/>
          <w:color w:val="auto"/>
        </w:rPr>
        <w:t>Trustee</w:t>
      </w:r>
      <w:r>
        <w:rPr>
          <w:rFonts w:ascii="Arial" w:cs="Arial" w:eastAsia="Arial" w:hAnsi="Arial"/>
          <w:sz w:val="18"/>
          <w:szCs w:val="18"/>
          <w:color w:val="auto"/>
        </w:rPr>
        <w:t>”), as supplemented by the First Supplemental Indenture dated as of November 17, 2015 (as amended, the “</w:t>
      </w:r>
      <w:r>
        <w:rPr>
          <w:rFonts w:ascii="Arial" w:cs="Arial" w:eastAsia="Arial" w:hAnsi="Arial"/>
          <w:sz w:val="18"/>
          <w:szCs w:val="18"/>
          <w:b w:val="1"/>
          <w:bCs w:val="1"/>
          <w:color w:val="auto"/>
        </w:rPr>
        <w:t>Indenture</w:t>
      </w:r>
      <w:r>
        <w:rPr>
          <w:rFonts w:ascii="Arial" w:cs="Arial" w:eastAsia="Arial" w:hAnsi="Arial"/>
          <w:sz w:val="18"/>
          <w:szCs w:val="18"/>
          <w:color w:val="auto"/>
        </w:rPr>
        <w:t>”), by and among the Company, the guarantors named therein and the Trustee, and guaranteed on an unsecured and unsubordinated basis by Comcast Cable Communications, LLC and NBCUniversal Media, LLC, the undersigned officers of the Company do hereby certify, in connection with the issuance of the Company’s €1,250,000,000 aggregate principal amount of its 0.000% Notes due 2026 (the “</w:t>
      </w:r>
      <w:r>
        <w:rPr>
          <w:rFonts w:ascii="Arial" w:cs="Arial" w:eastAsia="Arial" w:hAnsi="Arial"/>
          <w:sz w:val="18"/>
          <w:szCs w:val="18"/>
          <w:b w:val="1"/>
          <w:bCs w:val="1"/>
          <w:color w:val="auto"/>
        </w:rPr>
        <w:t>2026 Notes</w:t>
      </w:r>
      <w:r>
        <w:rPr>
          <w:rFonts w:ascii="Arial" w:cs="Arial" w:eastAsia="Arial" w:hAnsi="Arial"/>
          <w:sz w:val="18"/>
          <w:szCs w:val="18"/>
          <w:color w:val="auto"/>
        </w:rPr>
        <w:t>”) and €500,000,000 aggregate principal amount of its 0.250% Notes due 2029 (the “</w:t>
      </w:r>
      <w:r>
        <w:rPr>
          <w:rFonts w:ascii="Arial" w:cs="Arial" w:eastAsia="Arial" w:hAnsi="Arial"/>
          <w:sz w:val="18"/>
          <w:szCs w:val="18"/>
          <w:b w:val="1"/>
          <w:bCs w:val="1"/>
          <w:color w:val="auto"/>
        </w:rPr>
        <w:t>2029 Notes</w:t>
      </w:r>
      <w:r>
        <w:rPr>
          <w:rFonts w:ascii="Arial" w:cs="Arial" w:eastAsia="Arial" w:hAnsi="Arial"/>
          <w:sz w:val="18"/>
          <w:szCs w:val="18"/>
          <w:color w:val="auto"/>
        </w:rPr>
        <w:t>” and together with the 2026 Notes, the “</w:t>
      </w:r>
      <w:r>
        <w:rPr>
          <w:rFonts w:ascii="Arial" w:cs="Arial" w:eastAsia="Arial" w:hAnsi="Arial"/>
          <w:sz w:val="18"/>
          <w:szCs w:val="18"/>
          <w:b w:val="1"/>
          <w:bCs w:val="1"/>
          <w:color w:val="auto"/>
        </w:rPr>
        <w:t>Notes</w:t>
      </w:r>
      <w:r>
        <w:rPr>
          <w:rFonts w:ascii="Arial" w:cs="Arial" w:eastAsia="Arial" w:hAnsi="Arial"/>
          <w:sz w:val="18"/>
          <w:szCs w:val="18"/>
          <w:color w:val="auto"/>
        </w:rPr>
        <w:t>”). The terms of the Notes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0.</w:t>
            </w:r>
            <w:r>
              <w:rPr>
                <w:rFonts w:ascii="Arial" w:cs="Arial" w:eastAsia="Arial" w:hAnsi="Arial"/>
                <w:sz w:val="18"/>
                <w:szCs w:val="18"/>
                <w:b w:val="1"/>
                <w:bCs w:val="1"/>
                <w:u w:val="single" w:color="auto"/>
                <w:color w:val="auto"/>
                <w:w w:val="89"/>
              </w:rPr>
              <w:t>000%</w:t>
            </w:r>
            <w:r>
              <w:rPr>
                <w:rFonts w:ascii="Arial" w:cs="Arial" w:eastAsia="Arial" w:hAnsi="Arial"/>
                <w:sz w:val="18"/>
                <w:szCs w:val="18"/>
                <w:b w:val="1"/>
                <w:bCs w:val="1"/>
                <w:color w:val="auto"/>
                <w:w w:val="89"/>
              </w:rPr>
              <w:t xml:space="preserve"> Notes due 2026</w:t>
            </w:r>
          </w:p>
        </w:tc>
        <w:tc>
          <w:tcPr>
            <w:tcW w:w="4720" w:type="dxa"/>
            <w:vAlign w:val="bottom"/>
          </w:tcPr>
          <w:p>
            <w:pPr>
              <w:spacing w:after="0"/>
              <w:rPr>
                <w:sz w:val="17"/>
                <w:szCs w:val="17"/>
                <w:color w:val="auto"/>
              </w:rPr>
            </w:pPr>
          </w:p>
        </w:tc>
      </w:tr>
      <w:tr>
        <w:trPr>
          <w:trHeight w:val="453"/>
        </w:trPr>
        <w:tc>
          <w:tcPr>
            <w:tcW w:w="376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7480" w:type="dxa"/>
            <w:vAlign w:val="bottom"/>
            <w:gridSpan w:val="3"/>
          </w:tcPr>
          <w:p>
            <w:pPr>
              <w:ind w:left="740"/>
              <w:spacing w:after="0"/>
              <w:rPr>
                <w:sz w:val="20"/>
                <w:szCs w:val="20"/>
                <w:color w:val="auto"/>
              </w:rPr>
            </w:pPr>
            <w:r>
              <w:rPr>
                <w:rFonts w:ascii="Arial" w:cs="Arial" w:eastAsia="Arial" w:hAnsi="Arial"/>
                <w:sz w:val="18"/>
                <w:szCs w:val="18"/>
                <w:color w:val="auto"/>
              </w:rPr>
              <w:t>0.000% Notes due 2026</w:t>
            </w:r>
          </w:p>
        </w:tc>
      </w:tr>
      <w:tr>
        <w:trPr>
          <w:trHeight w:val="432"/>
        </w:trPr>
        <w:tc>
          <w:tcPr>
            <w:tcW w:w="3760" w:type="dxa"/>
            <w:vAlign w:val="bottom"/>
          </w:tcPr>
          <w:p>
            <w:pPr>
              <w:spacing w:after="0"/>
              <w:rPr>
                <w:sz w:val="20"/>
                <w:szCs w:val="20"/>
                <w:color w:val="auto"/>
              </w:rPr>
            </w:pPr>
            <w:r>
              <w:rPr>
                <w:rFonts w:ascii="Arial" w:cs="Arial" w:eastAsia="Arial" w:hAnsi="Arial"/>
                <w:sz w:val="18"/>
                <w:szCs w:val="18"/>
                <w:i w:val="1"/>
                <w:iCs w:val="1"/>
                <w:color w:val="auto"/>
              </w:rPr>
              <w:t>Aggregate Principal Amount at Maturity:</w:t>
            </w:r>
          </w:p>
        </w:tc>
        <w:tc>
          <w:tcPr>
            <w:tcW w:w="7480" w:type="dxa"/>
            <w:vAlign w:val="bottom"/>
            <w:gridSpan w:val="3"/>
          </w:tcPr>
          <w:p>
            <w:pPr>
              <w:ind w:left="740"/>
              <w:spacing w:after="0"/>
              <w:rPr>
                <w:sz w:val="20"/>
                <w:szCs w:val="20"/>
                <w:color w:val="auto"/>
              </w:rPr>
            </w:pPr>
            <w:r>
              <w:rPr>
                <w:rFonts w:ascii="Arial" w:cs="Arial" w:eastAsia="Arial" w:hAnsi="Arial"/>
                <w:sz w:val="18"/>
                <w:szCs w:val="18"/>
                <w:color w:val="auto"/>
              </w:rPr>
              <w:t>€1,250,000,000</w:t>
            </w:r>
          </w:p>
        </w:tc>
      </w:tr>
      <w:tr>
        <w:trPr>
          <w:trHeight w:val="432"/>
        </w:trPr>
        <w:tc>
          <w:tcPr>
            <w:tcW w:w="376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7480" w:type="dxa"/>
            <w:vAlign w:val="bottom"/>
            <w:gridSpan w:val="3"/>
          </w:tcPr>
          <w:p>
            <w:pPr>
              <w:ind w:left="740"/>
              <w:spacing w:after="0"/>
              <w:rPr>
                <w:sz w:val="20"/>
                <w:szCs w:val="20"/>
                <w:color w:val="auto"/>
              </w:rPr>
            </w:pPr>
            <w:r>
              <w:rPr>
                <w:rFonts w:ascii="Arial" w:cs="Arial" w:eastAsia="Arial" w:hAnsi="Arial"/>
                <w:sz w:val="18"/>
                <w:szCs w:val="18"/>
                <w:color w:val="auto"/>
              </w:rPr>
              <w:t>September 14, 2026</w:t>
            </w:r>
          </w:p>
        </w:tc>
      </w:tr>
      <w:tr>
        <w:trPr>
          <w:trHeight w:val="432"/>
        </w:trPr>
        <w:tc>
          <w:tcPr>
            <w:tcW w:w="376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2760" w:type="dxa"/>
            <w:vAlign w:val="bottom"/>
            <w:gridSpan w:val="2"/>
          </w:tcPr>
          <w:p>
            <w:pPr>
              <w:ind w:left="740"/>
              <w:spacing w:after="0"/>
              <w:rPr>
                <w:sz w:val="20"/>
                <w:szCs w:val="20"/>
                <w:color w:val="auto"/>
              </w:rPr>
            </w:pPr>
            <w:r>
              <w:rPr>
                <w:rFonts w:ascii="Arial" w:cs="Arial" w:eastAsia="Arial" w:hAnsi="Arial"/>
                <w:sz w:val="18"/>
                <w:szCs w:val="18"/>
                <w:color w:val="auto"/>
              </w:rPr>
              <w:t>0.000%</w:t>
            </w:r>
          </w:p>
        </w:tc>
        <w:tc>
          <w:tcPr>
            <w:tcW w:w="4720" w:type="dxa"/>
            <w:vAlign w:val="bottom"/>
          </w:tcPr>
          <w:p>
            <w:pPr>
              <w:spacing w:after="0"/>
              <w:rPr>
                <w:sz w:val="24"/>
                <w:szCs w:val="24"/>
                <w:color w:val="auto"/>
              </w:rPr>
            </w:pPr>
          </w:p>
        </w:tc>
      </w:tr>
      <w:tr>
        <w:trPr>
          <w:trHeight w:val="418"/>
        </w:trPr>
        <w:tc>
          <w:tcPr>
            <w:tcW w:w="376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7480" w:type="dxa"/>
            <w:vAlign w:val="bottom"/>
            <w:gridSpan w:val="3"/>
          </w:tcPr>
          <w:p>
            <w:pPr>
              <w:ind w:left="740"/>
              <w:spacing w:after="0"/>
              <w:rPr>
                <w:sz w:val="20"/>
                <w:szCs w:val="20"/>
                <w:color w:val="auto"/>
              </w:rPr>
            </w:pPr>
            <w:r>
              <w:rPr>
                <w:rFonts w:ascii="Arial" w:cs="Arial" w:eastAsia="Arial" w:hAnsi="Arial"/>
                <w:sz w:val="18"/>
                <w:szCs w:val="18"/>
                <w:color w:val="auto"/>
                <w:w w:val="93"/>
              </w:rPr>
              <w:t>The Company will have the right at its option to redeem the 2026 Notes in whole or in part,</w:t>
            </w:r>
          </w:p>
        </w:tc>
      </w:tr>
      <w:tr>
        <w:trPr>
          <w:trHeight w:val="216"/>
        </w:trPr>
        <w:tc>
          <w:tcPr>
            <w:tcW w:w="3760" w:type="dxa"/>
            <w:vAlign w:val="bottom"/>
          </w:tcPr>
          <w:p>
            <w:pPr>
              <w:spacing w:after="0"/>
              <w:rPr>
                <w:sz w:val="18"/>
                <w:szCs w:val="18"/>
                <w:color w:val="auto"/>
              </w:rPr>
            </w:pPr>
          </w:p>
        </w:tc>
        <w:tc>
          <w:tcPr>
            <w:tcW w:w="7480" w:type="dxa"/>
            <w:vAlign w:val="bottom"/>
            <w:gridSpan w:val="3"/>
          </w:tcPr>
          <w:p>
            <w:pPr>
              <w:ind w:left="740"/>
              <w:spacing w:after="0"/>
              <w:rPr>
                <w:sz w:val="20"/>
                <w:szCs w:val="20"/>
                <w:color w:val="auto"/>
              </w:rPr>
            </w:pPr>
            <w:r>
              <w:rPr>
                <w:rFonts w:ascii="Arial" w:cs="Arial" w:eastAsia="Arial" w:hAnsi="Arial"/>
                <w:sz w:val="18"/>
                <w:szCs w:val="18"/>
                <w:color w:val="auto"/>
                <w:w w:val="92"/>
              </w:rPr>
              <w:t>at any time or from time to time prior to their maturity, on at least 15 days, but not more than</w:t>
            </w:r>
          </w:p>
        </w:tc>
      </w:tr>
      <w:tr>
        <w:trPr>
          <w:trHeight w:val="216"/>
        </w:trPr>
        <w:tc>
          <w:tcPr>
            <w:tcW w:w="3760" w:type="dxa"/>
            <w:vAlign w:val="bottom"/>
          </w:tcPr>
          <w:p>
            <w:pPr>
              <w:spacing w:after="0"/>
              <w:rPr>
                <w:sz w:val="18"/>
                <w:szCs w:val="18"/>
                <w:color w:val="auto"/>
              </w:rPr>
            </w:pPr>
          </w:p>
        </w:tc>
        <w:tc>
          <w:tcPr>
            <w:tcW w:w="7480" w:type="dxa"/>
            <w:vAlign w:val="bottom"/>
            <w:gridSpan w:val="3"/>
          </w:tcPr>
          <w:p>
            <w:pPr>
              <w:ind w:left="740"/>
              <w:spacing w:after="0"/>
              <w:rPr>
                <w:sz w:val="20"/>
                <w:szCs w:val="20"/>
                <w:color w:val="auto"/>
              </w:rPr>
            </w:pPr>
            <w:r>
              <w:rPr>
                <w:rFonts w:ascii="Arial" w:cs="Arial" w:eastAsia="Arial" w:hAnsi="Arial"/>
                <w:sz w:val="18"/>
                <w:szCs w:val="18"/>
                <w:color w:val="auto"/>
                <w:w w:val="96"/>
              </w:rPr>
              <w:t>30 days, prior notice delivered electronically or mailed to the registered address of each</w:t>
            </w:r>
          </w:p>
        </w:tc>
      </w:tr>
      <w:tr>
        <w:trPr>
          <w:trHeight w:val="216"/>
        </w:trPr>
        <w:tc>
          <w:tcPr>
            <w:tcW w:w="3760" w:type="dxa"/>
            <w:vAlign w:val="bottom"/>
          </w:tcPr>
          <w:p>
            <w:pPr>
              <w:spacing w:after="0"/>
              <w:rPr>
                <w:sz w:val="18"/>
                <w:szCs w:val="18"/>
                <w:color w:val="auto"/>
              </w:rPr>
            </w:pPr>
          </w:p>
        </w:tc>
        <w:tc>
          <w:tcPr>
            <w:tcW w:w="7480" w:type="dxa"/>
            <w:vAlign w:val="bottom"/>
            <w:gridSpan w:val="3"/>
          </w:tcPr>
          <w:p>
            <w:pPr>
              <w:ind w:left="740"/>
              <w:spacing w:after="0"/>
              <w:rPr>
                <w:sz w:val="20"/>
                <w:szCs w:val="20"/>
                <w:color w:val="auto"/>
              </w:rPr>
            </w:pPr>
            <w:r>
              <w:rPr>
                <w:rFonts w:ascii="Arial" w:cs="Arial" w:eastAsia="Arial" w:hAnsi="Arial"/>
                <w:sz w:val="18"/>
                <w:szCs w:val="18"/>
                <w:color w:val="auto"/>
                <w:w w:val="94"/>
              </w:rPr>
              <w:t>holder of the 2026 Notes, at the Redemption Price. The Redemption Price means (a) any</w:t>
            </w:r>
          </w:p>
        </w:tc>
      </w:tr>
      <w:tr>
        <w:trPr>
          <w:trHeight w:val="212"/>
        </w:trPr>
        <w:tc>
          <w:tcPr>
            <w:tcW w:w="3760" w:type="dxa"/>
            <w:vAlign w:val="bottom"/>
          </w:tcPr>
          <w:p>
            <w:pPr>
              <w:spacing w:after="0"/>
              <w:rPr>
                <w:sz w:val="18"/>
                <w:szCs w:val="18"/>
                <w:color w:val="auto"/>
              </w:rPr>
            </w:pPr>
          </w:p>
        </w:tc>
        <w:tc>
          <w:tcPr>
            <w:tcW w:w="7480" w:type="dxa"/>
            <w:vAlign w:val="bottom"/>
            <w:gridSpan w:val="3"/>
          </w:tcPr>
          <w:p>
            <w:pPr>
              <w:ind w:left="740"/>
              <w:spacing w:after="0"/>
              <w:rPr>
                <w:sz w:val="20"/>
                <w:szCs w:val="20"/>
                <w:color w:val="auto"/>
              </w:rPr>
            </w:pPr>
            <w:r>
              <w:rPr>
                <w:rFonts w:ascii="Arial" w:cs="Arial" w:eastAsia="Arial" w:hAnsi="Arial"/>
                <w:sz w:val="18"/>
                <w:szCs w:val="18"/>
                <w:color w:val="auto"/>
                <w:w w:val="95"/>
              </w:rPr>
              <w:t>time prior to August 14, 2026 (one (1) month prior to the maturity of the 2026 Notes) (the</w:t>
            </w:r>
          </w:p>
        </w:tc>
      </w:tr>
      <w:tr>
        <w:trPr>
          <w:trHeight w:val="220"/>
        </w:trPr>
        <w:tc>
          <w:tcPr>
            <w:tcW w:w="3760" w:type="dxa"/>
            <w:vAlign w:val="bottom"/>
          </w:tcPr>
          <w:p>
            <w:pPr>
              <w:spacing w:after="0"/>
              <w:rPr>
                <w:sz w:val="19"/>
                <w:szCs w:val="19"/>
                <w:color w:val="auto"/>
              </w:rPr>
            </w:pPr>
          </w:p>
        </w:tc>
        <w:tc>
          <w:tcPr>
            <w:tcW w:w="7480" w:type="dxa"/>
            <w:vAlign w:val="bottom"/>
            <w:gridSpan w:val="3"/>
          </w:tcPr>
          <w:p>
            <w:pPr>
              <w:ind w:left="74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b w:val="1"/>
                <w:bCs w:val="1"/>
                <w:color w:val="auto"/>
                <w:w w:val="98"/>
              </w:rPr>
              <w:t>2026 Par Call Date</w:t>
            </w:r>
            <w:r>
              <w:rPr>
                <w:rFonts w:ascii="Arial" w:cs="Arial" w:eastAsia="Arial" w:hAnsi="Arial"/>
                <w:sz w:val="18"/>
                <w:szCs w:val="18"/>
                <w:color w:val="auto"/>
                <w:w w:val="98"/>
              </w:rPr>
              <w:t>”), the Redemption Price is the greater of (i) 100% of the principal</w:t>
            </w:r>
          </w:p>
        </w:tc>
      </w:tr>
      <w:tr>
        <w:trPr>
          <w:trHeight w:val="216"/>
        </w:trPr>
        <w:tc>
          <w:tcPr>
            <w:tcW w:w="3760" w:type="dxa"/>
            <w:vAlign w:val="bottom"/>
          </w:tcPr>
          <w:p>
            <w:pPr>
              <w:spacing w:after="0"/>
              <w:rPr>
                <w:sz w:val="18"/>
                <w:szCs w:val="18"/>
                <w:color w:val="auto"/>
              </w:rPr>
            </w:pPr>
          </w:p>
        </w:tc>
        <w:tc>
          <w:tcPr>
            <w:tcW w:w="7480" w:type="dxa"/>
            <w:vAlign w:val="bottom"/>
            <w:gridSpan w:val="3"/>
          </w:tcPr>
          <w:p>
            <w:pPr>
              <w:ind w:left="740"/>
              <w:spacing w:after="0"/>
              <w:rPr>
                <w:sz w:val="20"/>
                <w:szCs w:val="20"/>
                <w:color w:val="auto"/>
              </w:rPr>
            </w:pPr>
            <w:r>
              <w:rPr>
                <w:rFonts w:ascii="Arial" w:cs="Arial" w:eastAsia="Arial" w:hAnsi="Arial"/>
                <w:sz w:val="18"/>
                <w:szCs w:val="18"/>
                <w:color w:val="auto"/>
                <w:w w:val="93"/>
              </w:rPr>
              <w:t>amount of the 2026 Notes, and (ii) the sum of the present values of the principal amount of</w:t>
            </w:r>
          </w:p>
        </w:tc>
      </w:tr>
      <w:tr>
        <w:trPr>
          <w:trHeight w:val="216"/>
        </w:trPr>
        <w:tc>
          <w:tcPr>
            <w:tcW w:w="3760" w:type="dxa"/>
            <w:vAlign w:val="bottom"/>
          </w:tcPr>
          <w:p>
            <w:pPr>
              <w:spacing w:after="0"/>
              <w:rPr>
                <w:sz w:val="18"/>
                <w:szCs w:val="18"/>
                <w:color w:val="auto"/>
              </w:rPr>
            </w:pPr>
          </w:p>
        </w:tc>
        <w:tc>
          <w:tcPr>
            <w:tcW w:w="7480" w:type="dxa"/>
            <w:vAlign w:val="bottom"/>
            <w:gridSpan w:val="3"/>
          </w:tcPr>
          <w:p>
            <w:pPr>
              <w:ind w:left="740"/>
              <w:spacing w:after="0"/>
              <w:rPr>
                <w:sz w:val="20"/>
                <w:szCs w:val="20"/>
                <w:color w:val="auto"/>
              </w:rPr>
            </w:pPr>
            <w:r>
              <w:rPr>
                <w:rFonts w:ascii="Arial" w:cs="Arial" w:eastAsia="Arial" w:hAnsi="Arial"/>
                <w:sz w:val="18"/>
                <w:szCs w:val="18"/>
                <w:color w:val="auto"/>
                <w:w w:val="92"/>
              </w:rPr>
              <w:t>such notes and the scheduled payments of interest thereon (exclusive of interest accrued to</w:t>
            </w:r>
          </w:p>
        </w:tc>
      </w:tr>
      <w:tr>
        <w:trPr>
          <w:trHeight w:val="216"/>
        </w:trPr>
        <w:tc>
          <w:tcPr>
            <w:tcW w:w="3760" w:type="dxa"/>
            <w:vAlign w:val="bottom"/>
          </w:tcPr>
          <w:p>
            <w:pPr>
              <w:spacing w:after="0"/>
              <w:rPr>
                <w:sz w:val="18"/>
                <w:szCs w:val="18"/>
                <w:color w:val="auto"/>
              </w:rPr>
            </w:pPr>
          </w:p>
        </w:tc>
        <w:tc>
          <w:tcPr>
            <w:tcW w:w="7480" w:type="dxa"/>
            <w:vAlign w:val="bottom"/>
            <w:gridSpan w:val="3"/>
          </w:tcPr>
          <w:p>
            <w:pPr>
              <w:ind w:left="740"/>
              <w:spacing w:after="0"/>
              <w:rPr>
                <w:sz w:val="20"/>
                <w:szCs w:val="20"/>
                <w:color w:val="auto"/>
              </w:rPr>
            </w:pPr>
            <w:r>
              <w:rPr>
                <w:rFonts w:ascii="Arial" w:cs="Arial" w:eastAsia="Arial" w:hAnsi="Arial"/>
                <w:sz w:val="18"/>
                <w:szCs w:val="18"/>
                <w:color w:val="auto"/>
                <w:w w:val="94"/>
              </w:rPr>
              <w:t>the date of redemption) from the redemption date to the 2026 Par Call Date, in each case</w:t>
            </w:r>
          </w:p>
        </w:tc>
      </w:tr>
      <w:tr>
        <w:trPr>
          <w:trHeight w:val="216"/>
        </w:trPr>
        <w:tc>
          <w:tcPr>
            <w:tcW w:w="3760" w:type="dxa"/>
            <w:vAlign w:val="bottom"/>
          </w:tcPr>
          <w:p>
            <w:pPr>
              <w:spacing w:after="0"/>
              <w:rPr>
                <w:sz w:val="18"/>
                <w:szCs w:val="18"/>
                <w:color w:val="auto"/>
              </w:rPr>
            </w:pPr>
          </w:p>
        </w:tc>
        <w:tc>
          <w:tcPr>
            <w:tcW w:w="7480" w:type="dxa"/>
            <w:vAlign w:val="bottom"/>
            <w:gridSpan w:val="3"/>
          </w:tcPr>
          <w:p>
            <w:pPr>
              <w:ind w:left="740"/>
              <w:spacing w:after="0"/>
              <w:rPr>
                <w:sz w:val="20"/>
                <w:szCs w:val="20"/>
                <w:color w:val="auto"/>
              </w:rPr>
            </w:pPr>
            <w:r>
              <w:rPr>
                <w:rFonts w:ascii="Arial" w:cs="Arial" w:eastAsia="Arial" w:hAnsi="Arial"/>
                <w:sz w:val="18"/>
                <w:szCs w:val="18"/>
                <w:color w:val="auto"/>
                <w:w w:val="94"/>
              </w:rPr>
              <w:t>discounted to the redemption date on an actual (ACTUAL/ACTUAL (ICMA)), as defined in</w:t>
            </w:r>
          </w:p>
        </w:tc>
      </w:tr>
      <w:tr>
        <w:trPr>
          <w:trHeight w:val="230"/>
        </w:trPr>
        <w:tc>
          <w:tcPr>
            <w:tcW w:w="3760" w:type="dxa"/>
            <w:vAlign w:val="bottom"/>
          </w:tcPr>
          <w:p>
            <w:pPr>
              <w:spacing w:after="0"/>
              <w:rPr>
                <w:sz w:val="20"/>
                <w:szCs w:val="20"/>
                <w:color w:val="auto"/>
              </w:rPr>
            </w:pPr>
          </w:p>
        </w:tc>
        <w:tc>
          <w:tcPr>
            <w:tcW w:w="7480" w:type="dxa"/>
            <w:vAlign w:val="bottom"/>
            <w:gridSpan w:val="3"/>
          </w:tcPr>
          <w:p>
            <w:pPr>
              <w:ind w:left="740"/>
              <w:spacing w:after="0"/>
              <w:rPr>
                <w:sz w:val="20"/>
                <w:szCs w:val="20"/>
                <w:color w:val="auto"/>
              </w:rPr>
            </w:pPr>
            <w:r>
              <w:rPr>
                <w:rFonts w:ascii="Arial" w:cs="Arial" w:eastAsia="Arial" w:hAnsi="Arial"/>
                <w:sz w:val="18"/>
                <w:szCs w:val="18"/>
                <w:color w:val="auto"/>
              </w:rPr>
              <w:t>the</w:t>
            </w:r>
          </w:p>
        </w:tc>
      </w:tr>
      <w:tr>
        <w:trPr>
          <w:trHeight w:val="526"/>
        </w:trPr>
        <w:tc>
          <w:tcPr>
            <w:tcW w:w="37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7480" w:type="dxa"/>
            <w:vAlign w:val="bottom"/>
            <w:gridSpan w:val="5"/>
          </w:tcPr>
          <w:p>
            <w:pPr>
              <w:ind w:left="740"/>
              <w:spacing w:after="0"/>
              <w:rPr>
                <w:sz w:val="20"/>
                <w:szCs w:val="20"/>
                <w:color w:val="auto"/>
              </w:rPr>
            </w:pPr>
            <w:r>
              <w:rPr>
                <w:rFonts w:ascii="Arial" w:cs="Arial" w:eastAsia="Arial" w:hAnsi="Arial"/>
                <w:sz w:val="18"/>
                <w:szCs w:val="18"/>
                <w:color w:val="auto"/>
              </w:rPr>
              <w:t>rulebook of the International Capital Market Association, basis at a rate equal to the</w:t>
            </w:r>
          </w:p>
        </w:tc>
      </w:tr>
      <w:tr>
        <w:trPr>
          <w:trHeight w:val="216"/>
        </w:trPr>
        <w:tc>
          <w:tcPr>
            <w:tcW w:w="3760" w:type="dxa"/>
            <w:vAlign w:val="bottom"/>
          </w:tcPr>
          <w:p>
            <w:pPr>
              <w:spacing w:after="0"/>
              <w:rPr>
                <w:sz w:val="18"/>
                <w:szCs w:val="18"/>
                <w:color w:val="auto"/>
              </w:rPr>
            </w:pPr>
          </w:p>
        </w:tc>
        <w:tc>
          <w:tcPr>
            <w:tcW w:w="7480" w:type="dxa"/>
            <w:vAlign w:val="bottom"/>
            <w:gridSpan w:val="5"/>
          </w:tcPr>
          <w:p>
            <w:pPr>
              <w:ind w:left="740"/>
              <w:spacing w:after="0"/>
              <w:rPr>
                <w:sz w:val="20"/>
                <w:szCs w:val="20"/>
                <w:color w:val="auto"/>
              </w:rPr>
            </w:pPr>
            <w:r>
              <w:rPr>
                <w:rFonts w:ascii="Arial" w:cs="Arial" w:eastAsia="Arial" w:hAnsi="Arial"/>
                <w:sz w:val="18"/>
                <w:szCs w:val="18"/>
                <w:color w:val="auto"/>
                <w:w w:val="95"/>
              </w:rPr>
              <w:t>applicable Bund Rate plus 10 basis points and (b) any time on or after the 2026 Par Call</w:t>
            </w:r>
          </w:p>
        </w:tc>
      </w:tr>
      <w:tr>
        <w:trPr>
          <w:trHeight w:val="216"/>
        </w:trPr>
        <w:tc>
          <w:tcPr>
            <w:tcW w:w="3760" w:type="dxa"/>
            <w:vAlign w:val="bottom"/>
          </w:tcPr>
          <w:p>
            <w:pPr>
              <w:spacing w:after="0"/>
              <w:rPr>
                <w:sz w:val="18"/>
                <w:szCs w:val="18"/>
                <w:color w:val="auto"/>
              </w:rPr>
            </w:pPr>
          </w:p>
        </w:tc>
        <w:tc>
          <w:tcPr>
            <w:tcW w:w="7480" w:type="dxa"/>
            <w:vAlign w:val="bottom"/>
            <w:gridSpan w:val="5"/>
          </w:tcPr>
          <w:p>
            <w:pPr>
              <w:ind w:left="740"/>
              <w:spacing w:after="0"/>
              <w:rPr>
                <w:sz w:val="20"/>
                <w:szCs w:val="20"/>
                <w:color w:val="auto"/>
              </w:rPr>
            </w:pPr>
            <w:r>
              <w:rPr>
                <w:rFonts w:ascii="Arial" w:cs="Arial" w:eastAsia="Arial" w:hAnsi="Arial"/>
                <w:sz w:val="18"/>
                <w:szCs w:val="18"/>
                <w:color w:val="auto"/>
                <w:w w:val="93"/>
              </w:rPr>
              <w:t>Date, 100% of the principal amount of such notes; plus, in each case, accrued and unpaid</w:t>
            </w:r>
          </w:p>
        </w:tc>
      </w:tr>
      <w:tr>
        <w:trPr>
          <w:trHeight w:val="230"/>
        </w:trPr>
        <w:tc>
          <w:tcPr>
            <w:tcW w:w="3760" w:type="dxa"/>
            <w:vAlign w:val="bottom"/>
          </w:tcPr>
          <w:p>
            <w:pPr>
              <w:spacing w:after="0"/>
              <w:rPr>
                <w:sz w:val="20"/>
                <w:szCs w:val="20"/>
                <w:color w:val="auto"/>
              </w:rPr>
            </w:pPr>
          </w:p>
        </w:tc>
        <w:tc>
          <w:tcPr>
            <w:tcW w:w="7480" w:type="dxa"/>
            <w:vAlign w:val="bottom"/>
            <w:gridSpan w:val="5"/>
          </w:tcPr>
          <w:p>
            <w:pPr>
              <w:ind w:left="740"/>
              <w:spacing w:after="0"/>
              <w:rPr>
                <w:sz w:val="20"/>
                <w:szCs w:val="20"/>
                <w:color w:val="auto"/>
              </w:rPr>
            </w:pPr>
            <w:r>
              <w:rPr>
                <w:rFonts w:ascii="Arial" w:cs="Arial" w:eastAsia="Arial" w:hAnsi="Arial"/>
                <w:sz w:val="18"/>
                <w:szCs w:val="18"/>
                <w:color w:val="auto"/>
              </w:rPr>
              <w:t>interest thereon to the date of redemption.</w:t>
            </w:r>
          </w:p>
        </w:tc>
      </w:tr>
      <w:tr>
        <w:trPr>
          <w:trHeight w:val="418"/>
        </w:trPr>
        <w:tc>
          <w:tcPr>
            <w:tcW w:w="376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7480" w:type="dxa"/>
            <w:vAlign w:val="bottom"/>
            <w:gridSpan w:val="5"/>
          </w:tcPr>
          <w:p>
            <w:pPr>
              <w:ind w:left="740"/>
              <w:spacing w:after="0"/>
              <w:rPr>
                <w:sz w:val="20"/>
                <w:szCs w:val="20"/>
                <w:color w:val="auto"/>
              </w:rPr>
            </w:pPr>
            <w:r>
              <w:rPr>
                <w:rFonts w:ascii="Arial" w:cs="Arial" w:eastAsia="Arial" w:hAnsi="Arial"/>
                <w:sz w:val="18"/>
                <w:szCs w:val="18"/>
                <w:color w:val="auto"/>
                <w:w w:val="94"/>
              </w:rPr>
              <w:t>The 2026 Notes need not be issued at the same time and the series may be reopened for</w:t>
            </w:r>
          </w:p>
        </w:tc>
      </w:tr>
      <w:tr>
        <w:trPr>
          <w:trHeight w:val="216"/>
        </w:trPr>
        <w:tc>
          <w:tcPr>
            <w:tcW w:w="3760" w:type="dxa"/>
            <w:vAlign w:val="bottom"/>
          </w:tcPr>
          <w:p>
            <w:pPr>
              <w:spacing w:after="0"/>
              <w:rPr>
                <w:sz w:val="18"/>
                <w:szCs w:val="18"/>
                <w:color w:val="auto"/>
              </w:rPr>
            </w:pPr>
          </w:p>
        </w:tc>
        <w:tc>
          <w:tcPr>
            <w:tcW w:w="7480" w:type="dxa"/>
            <w:vAlign w:val="bottom"/>
            <w:gridSpan w:val="5"/>
          </w:tcPr>
          <w:p>
            <w:pPr>
              <w:ind w:left="740"/>
              <w:spacing w:after="0"/>
              <w:rPr>
                <w:sz w:val="20"/>
                <w:szCs w:val="20"/>
                <w:color w:val="auto"/>
              </w:rPr>
            </w:pPr>
            <w:r>
              <w:rPr>
                <w:rFonts w:ascii="Arial" w:cs="Arial" w:eastAsia="Arial" w:hAnsi="Arial"/>
                <w:sz w:val="18"/>
                <w:szCs w:val="18"/>
                <w:color w:val="auto"/>
              </w:rPr>
              <w:t>issuance of an unlimited principal amount of additional 2026 Notes under this</w:t>
            </w:r>
          </w:p>
        </w:tc>
      </w:tr>
      <w:tr>
        <w:trPr>
          <w:trHeight w:val="216"/>
        </w:trPr>
        <w:tc>
          <w:tcPr>
            <w:tcW w:w="3760" w:type="dxa"/>
            <w:vAlign w:val="bottom"/>
          </w:tcPr>
          <w:p>
            <w:pPr>
              <w:spacing w:after="0"/>
              <w:rPr>
                <w:sz w:val="18"/>
                <w:szCs w:val="18"/>
                <w:color w:val="auto"/>
              </w:rPr>
            </w:pPr>
          </w:p>
        </w:tc>
        <w:tc>
          <w:tcPr>
            <w:tcW w:w="7480" w:type="dxa"/>
            <w:vAlign w:val="bottom"/>
            <w:gridSpan w:val="5"/>
          </w:tcPr>
          <w:p>
            <w:pPr>
              <w:ind w:left="740"/>
              <w:spacing w:after="0"/>
              <w:rPr>
                <w:sz w:val="20"/>
                <w:szCs w:val="20"/>
                <w:color w:val="auto"/>
              </w:rPr>
            </w:pPr>
            <w:r>
              <w:rPr>
                <w:rFonts w:ascii="Arial" w:cs="Arial" w:eastAsia="Arial" w:hAnsi="Arial"/>
                <w:sz w:val="18"/>
                <w:szCs w:val="18"/>
                <w:color w:val="auto"/>
                <w:w w:val="96"/>
              </w:rPr>
              <w:t>series. Additional 2026 Notes of this series may be consolidated with, and form a single</w:t>
            </w:r>
          </w:p>
        </w:tc>
      </w:tr>
      <w:tr>
        <w:trPr>
          <w:trHeight w:val="216"/>
        </w:trPr>
        <w:tc>
          <w:tcPr>
            <w:tcW w:w="3760" w:type="dxa"/>
            <w:vAlign w:val="bottom"/>
          </w:tcPr>
          <w:p>
            <w:pPr>
              <w:spacing w:after="0"/>
              <w:rPr>
                <w:sz w:val="18"/>
                <w:szCs w:val="18"/>
                <w:color w:val="auto"/>
              </w:rPr>
            </w:pPr>
          </w:p>
        </w:tc>
        <w:tc>
          <w:tcPr>
            <w:tcW w:w="7480" w:type="dxa"/>
            <w:vAlign w:val="bottom"/>
            <w:gridSpan w:val="5"/>
          </w:tcPr>
          <w:p>
            <w:pPr>
              <w:ind w:left="740"/>
              <w:spacing w:after="0"/>
              <w:rPr>
                <w:sz w:val="20"/>
                <w:szCs w:val="20"/>
                <w:color w:val="auto"/>
              </w:rPr>
            </w:pPr>
            <w:r>
              <w:rPr>
                <w:rFonts w:ascii="Arial" w:cs="Arial" w:eastAsia="Arial" w:hAnsi="Arial"/>
                <w:sz w:val="18"/>
                <w:szCs w:val="18"/>
                <w:color w:val="auto"/>
                <w:w w:val="92"/>
              </w:rPr>
              <w:t>series with, 2026 Notes then outstanding, including for purposes of determining whether the</w:t>
            </w:r>
          </w:p>
        </w:tc>
      </w:tr>
      <w:tr>
        <w:trPr>
          <w:trHeight w:val="216"/>
        </w:trPr>
        <w:tc>
          <w:tcPr>
            <w:tcW w:w="3760" w:type="dxa"/>
            <w:vAlign w:val="bottom"/>
          </w:tcPr>
          <w:p>
            <w:pPr>
              <w:spacing w:after="0"/>
              <w:rPr>
                <w:sz w:val="18"/>
                <w:szCs w:val="18"/>
                <w:color w:val="auto"/>
              </w:rPr>
            </w:pPr>
          </w:p>
        </w:tc>
        <w:tc>
          <w:tcPr>
            <w:tcW w:w="7480" w:type="dxa"/>
            <w:vAlign w:val="bottom"/>
            <w:gridSpan w:val="5"/>
          </w:tcPr>
          <w:p>
            <w:pPr>
              <w:ind w:left="740"/>
              <w:spacing w:after="0"/>
              <w:rPr>
                <w:sz w:val="20"/>
                <w:szCs w:val="20"/>
                <w:color w:val="auto"/>
              </w:rPr>
            </w:pPr>
            <w:r>
              <w:rPr>
                <w:rFonts w:ascii="Arial" w:cs="Arial" w:eastAsia="Arial" w:hAnsi="Arial"/>
                <w:sz w:val="18"/>
                <w:szCs w:val="18"/>
                <w:color w:val="auto"/>
                <w:w w:val="90"/>
              </w:rPr>
              <w:t>required percentage of the holders of record has given approval or consent to an amendment</w:t>
            </w:r>
          </w:p>
        </w:tc>
      </w:tr>
      <w:tr>
        <w:trPr>
          <w:trHeight w:val="216"/>
        </w:trPr>
        <w:tc>
          <w:tcPr>
            <w:tcW w:w="3760" w:type="dxa"/>
            <w:vAlign w:val="bottom"/>
          </w:tcPr>
          <w:p>
            <w:pPr>
              <w:spacing w:after="0"/>
              <w:rPr>
                <w:sz w:val="18"/>
                <w:szCs w:val="18"/>
                <w:color w:val="auto"/>
              </w:rPr>
            </w:pPr>
          </w:p>
        </w:tc>
        <w:tc>
          <w:tcPr>
            <w:tcW w:w="7480" w:type="dxa"/>
            <w:vAlign w:val="bottom"/>
            <w:gridSpan w:val="5"/>
          </w:tcPr>
          <w:p>
            <w:pPr>
              <w:ind w:left="740"/>
              <w:spacing w:after="0"/>
              <w:rPr>
                <w:sz w:val="20"/>
                <w:szCs w:val="20"/>
                <w:color w:val="auto"/>
              </w:rPr>
            </w:pPr>
            <w:r>
              <w:rPr>
                <w:rFonts w:ascii="Arial" w:cs="Arial" w:eastAsia="Arial" w:hAnsi="Arial"/>
                <w:sz w:val="18"/>
                <w:szCs w:val="18"/>
                <w:color w:val="auto"/>
                <w:w w:val="95"/>
              </w:rPr>
              <w:t>or waiver or joined in directing the Trustee to take certain actions on behalf of all holders;</w:t>
            </w:r>
          </w:p>
        </w:tc>
      </w:tr>
      <w:tr>
        <w:trPr>
          <w:trHeight w:val="216"/>
        </w:trPr>
        <w:tc>
          <w:tcPr>
            <w:tcW w:w="3760" w:type="dxa"/>
            <w:vAlign w:val="bottom"/>
          </w:tcPr>
          <w:p>
            <w:pPr>
              <w:spacing w:after="0"/>
              <w:rPr>
                <w:sz w:val="18"/>
                <w:szCs w:val="18"/>
                <w:color w:val="auto"/>
              </w:rPr>
            </w:pPr>
          </w:p>
        </w:tc>
        <w:tc>
          <w:tcPr>
            <w:tcW w:w="7480" w:type="dxa"/>
            <w:vAlign w:val="bottom"/>
            <w:gridSpan w:val="5"/>
          </w:tcPr>
          <w:p>
            <w:pPr>
              <w:ind w:left="740"/>
              <w:spacing w:after="0"/>
              <w:rPr>
                <w:sz w:val="20"/>
                <w:szCs w:val="20"/>
                <w:color w:val="auto"/>
              </w:rPr>
            </w:pPr>
            <w:r>
              <w:rPr>
                <w:rFonts w:ascii="Arial" w:cs="Arial" w:eastAsia="Arial" w:hAnsi="Arial"/>
                <w:sz w:val="18"/>
                <w:szCs w:val="18"/>
                <w:color w:val="auto"/>
                <w:w w:val="99"/>
              </w:rPr>
              <w:t>provided that if such additional 2026 Notes are not fungible with the 2026 Notes then</w:t>
            </w:r>
          </w:p>
        </w:tc>
      </w:tr>
      <w:tr>
        <w:trPr>
          <w:trHeight w:val="216"/>
        </w:trPr>
        <w:tc>
          <w:tcPr>
            <w:tcW w:w="3760" w:type="dxa"/>
            <w:vAlign w:val="bottom"/>
          </w:tcPr>
          <w:p>
            <w:pPr>
              <w:spacing w:after="0"/>
              <w:rPr>
                <w:sz w:val="18"/>
                <w:szCs w:val="18"/>
                <w:color w:val="auto"/>
              </w:rPr>
            </w:pPr>
          </w:p>
        </w:tc>
        <w:tc>
          <w:tcPr>
            <w:tcW w:w="7480" w:type="dxa"/>
            <w:vAlign w:val="bottom"/>
            <w:gridSpan w:val="5"/>
          </w:tcPr>
          <w:p>
            <w:pPr>
              <w:ind w:left="740"/>
              <w:spacing w:after="0"/>
              <w:rPr>
                <w:sz w:val="20"/>
                <w:szCs w:val="20"/>
                <w:color w:val="auto"/>
              </w:rPr>
            </w:pPr>
            <w:r>
              <w:rPr>
                <w:rFonts w:ascii="Arial" w:cs="Arial" w:eastAsia="Arial" w:hAnsi="Arial"/>
                <w:sz w:val="18"/>
                <w:szCs w:val="18"/>
                <w:color w:val="auto"/>
                <w:w w:val="92"/>
              </w:rPr>
              <w:t>outstanding for U.S. federal income tax purposes, such additional 2026 Notes will have one</w:t>
            </w:r>
          </w:p>
        </w:tc>
      </w:tr>
      <w:tr>
        <w:trPr>
          <w:trHeight w:val="230"/>
        </w:trPr>
        <w:tc>
          <w:tcPr>
            <w:tcW w:w="3760" w:type="dxa"/>
            <w:vAlign w:val="bottom"/>
          </w:tcPr>
          <w:p>
            <w:pPr>
              <w:spacing w:after="0"/>
              <w:rPr>
                <w:sz w:val="20"/>
                <w:szCs w:val="20"/>
                <w:color w:val="auto"/>
              </w:rPr>
            </w:pPr>
          </w:p>
        </w:tc>
        <w:tc>
          <w:tcPr>
            <w:tcW w:w="7480" w:type="dxa"/>
            <w:vAlign w:val="bottom"/>
            <w:gridSpan w:val="5"/>
          </w:tcPr>
          <w:p>
            <w:pPr>
              <w:ind w:left="740"/>
              <w:spacing w:after="0"/>
              <w:rPr>
                <w:sz w:val="20"/>
                <w:szCs w:val="20"/>
                <w:color w:val="auto"/>
              </w:rPr>
            </w:pPr>
            <w:r>
              <w:rPr>
                <w:rFonts w:ascii="Arial" w:cs="Arial" w:eastAsia="Arial" w:hAnsi="Arial"/>
                <w:sz w:val="18"/>
                <w:szCs w:val="18"/>
                <w:color w:val="auto"/>
              </w:rPr>
              <w:t>or more separate ISIN numbers.</w:t>
            </w:r>
          </w:p>
        </w:tc>
      </w:tr>
      <w:tr>
        <w:trPr>
          <w:trHeight w:val="432"/>
        </w:trPr>
        <w:tc>
          <w:tcPr>
            <w:tcW w:w="376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7480" w:type="dxa"/>
            <w:vAlign w:val="bottom"/>
            <w:gridSpan w:val="5"/>
          </w:tcPr>
          <w:p>
            <w:pPr>
              <w:ind w:left="740"/>
              <w:spacing w:after="0"/>
              <w:rPr>
                <w:sz w:val="20"/>
                <w:szCs w:val="20"/>
                <w:color w:val="auto"/>
              </w:rPr>
            </w:pPr>
            <w:r>
              <w:rPr>
                <w:rFonts w:ascii="Arial" w:cs="Arial" w:eastAsia="Arial" w:hAnsi="Arial"/>
                <w:sz w:val="18"/>
                <w:szCs w:val="18"/>
                <w:color w:val="auto"/>
              </w:rPr>
              <w:t>None</w:t>
            </w:r>
          </w:p>
        </w:tc>
      </w:tr>
      <w:tr>
        <w:trPr>
          <w:trHeight w:val="432"/>
        </w:trPr>
        <w:tc>
          <w:tcPr>
            <w:tcW w:w="376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7480" w:type="dxa"/>
            <w:vAlign w:val="bottom"/>
            <w:gridSpan w:val="5"/>
          </w:tcPr>
          <w:p>
            <w:pPr>
              <w:ind w:left="740"/>
              <w:spacing w:after="0"/>
              <w:rPr>
                <w:sz w:val="20"/>
                <w:szCs w:val="20"/>
                <w:color w:val="auto"/>
              </w:rPr>
            </w:pPr>
            <w:r>
              <w:rPr>
                <w:rFonts w:ascii="Arial" w:cs="Arial" w:eastAsia="Arial" w:hAnsi="Arial"/>
                <w:sz w:val="18"/>
                <w:szCs w:val="18"/>
                <w:color w:val="auto"/>
              </w:rPr>
              <w:t>None</w:t>
            </w:r>
          </w:p>
        </w:tc>
      </w:tr>
      <w:tr>
        <w:trPr>
          <w:trHeight w:val="414"/>
        </w:trPr>
        <w:tc>
          <w:tcPr>
            <w:tcW w:w="376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7480" w:type="dxa"/>
            <w:vAlign w:val="bottom"/>
            <w:gridSpan w:val="5"/>
          </w:tcPr>
          <w:p>
            <w:pPr>
              <w:ind w:left="740"/>
              <w:spacing w:after="0"/>
              <w:rPr>
                <w:sz w:val="20"/>
                <w:szCs w:val="20"/>
                <w:color w:val="auto"/>
              </w:rPr>
            </w:pPr>
            <w:r>
              <w:rPr>
                <w:rFonts w:ascii="Arial" w:cs="Arial" w:eastAsia="Arial" w:hAnsi="Arial"/>
                <w:sz w:val="18"/>
                <w:szCs w:val="18"/>
                <w:color w:val="auto"/>
                <w:w w:val="94"/>
              </w:rPr>
              <w:t>The terms of the 2026 Notes shall include such other terms as are set forth in the Form of</w:t>
            </w:r>
          </w:p>
        </w:tc>
      </w:tr>
      <w:tr>
        <w:trPr>
          <w:trHeight w:val="194"/>
        </w:trPr>
        <w:tc>
          <w:tcPr>
            <w:tcW w:w="3760" w:type="dxa"/>
            <w:vAlign w:val="bottom"/>
          </w:tcPr>
          <w:p>
            <w:pPr>
              <w:spacing w:after="0"/>
              <w:rPr>
                <w:sz w:val="16"/>
                <w:szCs w:val="16"/>
                <w:color w:val="auto"/>
              </w:rPr>
            </w:pPr>
          </w:p>
        </w:tc>
        <w:tc>
          <w:tcPr>
            <w:tcW w:w="7480" w:type="dxa"/>
            <w:vAlign w:val="bottom"/>
            <w:gridSpan w:val="5"/>
          </w:tcPr>
          <w:p>
            <w:pPr>
              <w:ind w:left="740"/>
              <w:spacing w:after="0" w:line="194" w:lineRule="exact"/>
              <w:rPr>
                <w:sz w:val="20"/>
                <w:szCs w:val="20"/>
                <w:color w:val="auto"/>
              </w:rPr>
            </w:pPr>
            <w:r>
              <w:rPr>
                <w:rFonts w:ascii="Arial" w:cs="Arial" w:eastAsia="Arial" w:hAnsi="Arial"/>
                <w:sz w:val="18"/>
                <w:szCs w:val="18"/>
                <w:color w:val="auto"/>
              </w:rPr>
              <w:t xml:space="preserve">0.000% Notes due 2026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w:t>
            </w:r>
          </w:p>
        </w:tc>
      </w:tr>
      <w:tr>
        <w:trPr>
          <w:trHeight w:val="412"/>
        </w:trPr>
        <w:tc>
          <w:tcPr>
            <w:tcW w:w="3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0.</w:t>
            </w:r>
            <w:r>
              <w:rPr>
                <w:rFonts w:ascii="Arial" w:cs="Arial" w:eastAsia="Arial" w:hAnsi="Arial"/>
                <w:sz w:val="18"/>
                <w:szCs w:val="18"/>
                <w:b w:val="1"/>
                <w:bCs w:val="1"/>
                <w:u w:val="single" w:color="auto"/>
                <w:color w:val="auto"/>
                <w:w w:val="89"/>
              </w:rPr>
              <w:t>250%</w:t>
            </w:r>
            <w:r>
              <w:rPr>
                <w:rFonts w:ascii="Arial" w:cs="Arial" w:eastAsia="Arial" w:hAnsi="Arial"/>
                <w:sz w:val="18"/>
                <w:szCs w:val="18"/>
                <w:b w:val="1"/>
                <w:bCs w:val="1"/>
                <w:color w:val="auto"/>
                <w:w w:val="89"/>
              </w:rPr>
              <w:t xml:space="preserve"> Notes due 2029</w:t>
            </w:r>
          </w:p>
        </w:tc>
        <w:tc>
          <w:tcPr>
            <w:tcW w:w="11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880" w:type="dxa"/>
            <w:vAlign w:val="bottom"/>
          </w:tcPr>
          <w:p>
            <w:pPr>
              <w:spacing w:after="0"/>
              <w:rPr>
                <w:sz w:val="24"/>
                <w:szCs w:val="24"/>
                <w:color w:val="auto"/>
              </w:rPr>
            </w:pPr>
          </w:p>
        </w:tc>
      </w:tr>
      <w:tr>
        <w:trPr>
          <w:trHeight w:val="453"/>
        </w:trPr>
        <w:tc>
          <w:tcPr>
            <w:tcW w:w="376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7480" w:type="dxa"/>
            <w:vAlign w:val="bottom"/>
            <w:gridSpan w:val="5"/>
          </w:tcPr>
          <w:p>
            <w:pPr>
              <w:ind w:left="740"/>
              <w:spacing w:after="0"/>
              <w:rPr>
                <w:sz w:val="20"/>
                <w:szCs w:val="20"/>
                <w:color w:val="auto"/>
              </w:rPr>
            </w:pPr>
            <w:r>
              <w:rPr>
                <w:rFonts w:ascii="Arial" w:cs="Arial" w:eastAsia="Arial" w:hAnsi="Arial"/>
                <w:sz w:val="18"/>
                <w:szCs w:val="18"/>
                <w:color w:val="auto"/>
              </w:rPr>
              <w:t>0.250% Notes due 2029</w:t>
            </w:r>
          </w:p>
        </w:tc>
      </w:tr>
      <w:tr>
        <w:trPr>
          <w:trHeight w:val="432"/>
        </w:trPr>
        <w:tc>
          <w:tcPr>
            <w:tcW w:w="3760" w:type="dxa"/>
            <w:vAlign w:val="bottom"/>
          </w:tcPr>
          <w:p>
            <w:pPr>
              <w:spacing w:after="0"/>
              <w:rPr>
                <w:sz w:val="20"/>
                <w:szCs w:val="20"/>
                <w:color w:val="auto"/>
              </w:rPr>
            </w:pPr>
            <w:r>
              <w:rPr>
                <w:rFonts w:ascii="Arial" w:cs="Arial" w:eastAsia="Arial" w:hAnsi="Arial"/>
                <w:sz w:val="18"/>
                <w:szCs w:val="18"/>
                <w:i w:val="1"/>
                <w:iCs w:val="1"/>
                <w:color w:val="auto"/>
              </w:rPr>
              <w:t>Aggregate Principal Amount at Maturity:</w:t>
            </w:r>
          </w:p>
        </w:tc>
        <w:tc>
          <w:tcPr>
            <w:tcW w:w="7480" w:type="dxa"/>
            <w:vAlign w:val="bottom"/>
            <w:gridSpan w:val="5"/>
          </w:tcPr>
          <w:p>
            <w:pPr>
              <w:ind w:left="740"/>
              <w:spacing w:after="0"/>
              <w:rPr>
                <w:sz w:val="20"/>
                <w:szCs w:val="20"/>
                <w:color w:val="auto"/>
              </w:rPr>
            </w:pPr>
            <w:r>
              <w:rPr>
                <w:rFonts w:ascii="Arial" w:cs="Arial" w:eastAsia="Arial" w:hAnsi="Arial"/>
                <w:sz w:val="18"/>
                <w:szCs w:val="18"/>
                <w:color w:val="auto"/>
              </w:rPr>
              <w:t>€500,000,000</w:t>
            </w:r>
          </w:p>
        </w:tc>
      </w:tr>
      <w:tr>
        <w:trPr>
          <w:trHeight w:val="432"/>
        </w:trPr>
        <w:tc>
          <w:tcPr>
            <w:tcW w:w="376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7480" w:type="dxa"/>
            <w:vAlign w:val="bottom"/>
            <w:gridSpan w:val="5"/>
          </w:tcPr>
          <w:p>
            <w:pPr>
              <w:ind w:left="740"/>
              <w:spacing w:after="0"/>
              <w:rPr>
                <w:sz w:val="20"/>
                <w:szCs w:val="20"/>
                <w:color w:val="auto"/>
              </w:rPr>
            </w:pPr>
            <w:r>
              <w:rPr>
                <w:rFonts w:ascii="Arial" w:cs="Arial" w:eastAsia="Arial" w:hAnsi="Arial"/>
                <w:sz w:val="18"/>
                <w:szCs w:val="18"/>
                <w:color w:val="auto"/>
              </w:rPr>
              <w:t>September 14, 2029</w:t>
            </w:r>
          </w:p>
        </w:tc>
      </w:tr>
      <w:tr>
        <w:trPr>
          <w:trHeight w:val="432"/>
        </w:trPr>
        <w:tc>
          <w:tcPr>
            <w:tcW w:w="376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2760" w:type="dxa"/>
            <w:vAlign w:val="bottom"/>
            <w:gridSpan w:val="2"/>
          </w:tcPr>
          <w:p>
            <w:pPr>
              <w:ind w:left="740"/>
              <w:spacing w:after="0"/>
              <w:rPr>
                <w:sz w:val="20"/>
                <w:szCs w:val="20"/>
                <w:color w:val="auto"/>
              </w:rPr>
            </w:pPr>
            <w:r>
              <w:rPr>
                <w:rFonts w:ascii="Arial" w:cs="Arial" w:eastAsia="Arial" w:hAnsi="Arial"/>
                <w:sz w:val="18"/>
                <w:szCs w:val="18"/>
                <w:color w:val="auto"/>
              </w:rPr>
              <w:t>0.250%</w:t>
            </w: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418"/>
        </w:trPr>
        <w:tc>
          <w:tcPr>
            <w:tcW w:w="376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7480" w:type="dxa"/>
            <w:vAlign w:val="bottom"/>
            <w:gridSpan w:val="5"/>
          </w:tcPr>
          <w:p>
            <w:pPr>
              <w:ind w:left="740"/>
              <w:spacing w:after="0"/>
              <w:rPr>
                <w:sz w:val="20"/>
                <w:szCs w:val="20"/>
                <w:color w:val="auto"/>
              </w:rPr>
            </w:pPr>
            <w:r>
              <w:rPr>
                <w:rFonts w:ascii="Arial" w:cs="Arial" w:eastAsia="Arial" w:hAnsi="Arial"/>
                <w:sz w:val="18"/>
                <w:szCs w:val="18"/>
                <w:color w:val="auto"/>
                <w:w w:val="93"/>
              </w:rPr>
              <w:t>The Company will have the right at its option to redeem the 2029 Notes in whole or in part,</w:t>
            </w:r>
          </w:p>
        </w:tc>
      </w:tr>
      <w:tr>
        <w:trPr>
          <w:trHeight w:val="216"/>
        </w:trPr>
        <w:tc>
          <w:tcPr>
            <w:tcW w:w="3760" w:type="dxa"/>
            <w:vAlign w:val="bottom"/>
          </w:tcPr>
          <w:p>
            <w:pPr>
              <w:spacing w:after="0"/>
              <w:rPr>
                <w:sz w:val="18"/>
                <w:szCs w:val="18"/>
                <w:color w:val="auto"/>
              </w:rPr>
            </w:pPr>
          </w:p>
        </w:tc>
        <w:tc>
          <w:tcPr>
            <w:tcW w:w="7480" w:type="dxa"/>
            <w:vAlign w:val="bottom"/>
            <w:gridSpan w:val="5"/>
          </w:tcPr>
          <w:p>
            <w:pPr>
              <w:ind w:left="740"/>
              <w:spacing w:after="0"/>
              <w:rPr>
                <w:sz w:val="20"/>
                <w:szCs w:val="20"/>
                <w:color w:val="auto"/>
              </w:rPr>
            </w:pPr>
            <w:r>
              <w:rPr>
                <w:rFonts w:ascii="Arial" w:cs="Arial" w:eastAsia="Arial" w:hAnsi="Arial"/>
                <w:sz w:val="18"/>
                <w:szCs w:val="18"/>
                <w:color w:val="auto"/>
                <w:w w:val="92"/>
              </w:rPr>
              <w:t>at any time or from time to time prior to their maturity, on at least 15 days, but not more than</w:t>
            </w:r>
          </w:p>
        </w:tc>
      </w:tr>
      <w:tr>
        <w:trPr>
          <w:trHeight w:val="216"/>
        </w:trPr>
        <w:tc>
          <w:tcPr>
            <w:tcW w:w="3760" w:type="dxa"/>
            <w:vAlign w:val="bottom"/>
          </w:tcPr>
          <w:p>
            <w:pPr>
              <w:spacing w:after="0"/>
              <w:rPr>
                <w:sz w:val="18"/>
                <w:szCs w:val="18"/>
                <w:color w:val="auto"/>
              </w:rPr>
            </w:pPr>
          </w:p>
        </w:tc>
        <w:tc>
          <w:tcPr>
            <w:tcW w:w="7480" w:type="dxa"/>
            <w:vAlign w:val="bottom"/>
            <w:gridSpan w:val="5"/>
          </w:tcPr>
          <w:p>
            <w:pPr>
              <w:ind w:left="740"/>
              <w:spacing w:after="0"/>
              <w:rPr>
                <w:sz w:val="20"/>
                <w:szCs w:val="20"/>
                <w:color w:val="auto"/>
              </w:rPr>
            </w:pPr>
            <w:r>
              <w:rPr>
                <w:rFonts w:ascii="Arial" w:cs="Arial" w:eastAsia="Arial" w:hAnsi="Arial"/>
                <w:sz w:val="18"/>
                <w:szCs w:val="18"/>
                <w:color w:val="auto"/>
                <w:w w:val="96"/>
              </w:rPr>
              <w:t>30 days, prior notice delivered electronically or mailed to the registered address of each</w:t>
            </w:r>
          </w:p>
        </w:tc>
      </w:tr>
      <w:tr>
        <w:trPr>
          <w:trHeight w:val="230"/>
        </w:trPr>
        <w:tc>
          <w:tcPr>
            <w:tcW w:w="3760" w:type="dxa"/>
            <w:vAlign w:val="bottom"/>
          </w:tcPr>
          <w:p>
            <w:pPr>
              <w:spacing w:after="0"/>
              <w:rPr>
                <w:sz w:val="20"/>
                <w:szCs w:val="20"/>
                <w:color w:val="auto"/>
              </w:rPr>
            </w:pPr>
          </w:p>
        </w:tc>
        <w:tc>
          <w:tcPr>
            <w:tcW w:w="7480" w:type="dxa"/>
            <w:vAlign w:val="bottom"/>
            <w:gridSpan w:val="5"/>
          </w:tcPr>
          <w:p>
            <w:pPr>
              <w:ind w:left="740"/>
              <w:spacing w:after="0"/>
              <w:rPr>
                <w:sz w:val="20"/>
                <w:szCs w:val="20"/>
                <w:color w:val="auto"/>
              </w:rPr>
            </w:pPr>
            <w:r>
              <w:rPr>
                <w:rFonts w:ascii="Arial" w:cs="Arial" w:eastAsia="Arial" w:hAnsi="Arial"/>
                <w:sz w:val="18"/>
                <w:szCs w:val="18"/>
                <w:color w:val="auto"/>
              </w:rPr>
              <w:t>holder of the 2029 Notes, at the Redemption Price. The Redemption Price</w:t>
            </w:r>
          </w:p>
        </w:tc>
      </w:tr>
      <w:tr>
        <w:trPr>
          <w:trHeight w:val="526"/>
        </w:trPr>
        <w:tc>
          <w:tcPr>
            <w:tcW w:w="37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4"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40" w:type="dxa"/>
            <w:vAlign w:val="bottom"/>
          </w:tcPr>
          <w:p>
            <w:pPr>
              <w:spacing w:after="0"/>
              <w:rPr>
                <w:sz w:val="18"/>
                <w:szCs w:val="18"/>
                <w:color w:val="auto"/>
              </w:rPr>
            </w:pPr>
          </w:p>
        </w:tc>
        <w:tc>
          <w:tcPr>
            <w:tcW w:w="8120" w:type="dxa"/>
            <w:vAlign w:val="bottom"/>
            <w:gridSpan w:val="3"/>
          </w:tcPr>
          <w:p>
            <w:pPr>
              <w:ind w:left="1460"/>
              <w:spacing w:after="0"/>
              <w:rPr>
                <w:sz w:val="20"/>
                <w:szCs w:val="20"/>
                <w:color w:val="auto"/>
              </w:rPr>
            </w:pPr>
            <w:r>
              <w:rPr>
                <w:rFonts w:ascii="Arial" w:cs="Arial" w:eastAsia="Arial" w:hAnsi="Arial"/>
                <w:sz w:val="18"/>
                <w:szCs w:val="18"/>
                <w:color w:val="auto"/>
                <w:w w:val="90"/>
              </w:rPr>
              <w:t>means (a) any time prior to June 14, 2029 (three (3) months prior to the maturity of the 2029</w:t>
            </w:r>
          </w:p>
        </w:tc>
      </w:tr>
      <w:tr>
        <w:trPr>
          <w:trHeight w:val="220"/>
        </w:trPr>
        <w:tc>
          <w:tcPr>
            <w:tcW w:w="3040" w:type="dxa"/>
            <w:vAlign w:val="bottom"/>
          </w:tcPr>
          <w:p>
            <w:pPr>
              <w:spacing w:after="0"/>
              <w:rPr>
                <w:sz w:val="19"/>
                <w:szCs w:val="19"/>
                <w:color w:val="auto"/>
              </w:rPr>
            </w:pPr>
          </w:p>
        </w:tc>
        <w:tc>
          <w:tcPr>
            <w:tcW w:w="8120" w:type="dxa"/>
            <w:vAlign w:val="bottom"/>
            <w:gridSpan w:val="3"/>
          </w:tcPr>
          <w:p>
            <w:pPr>
              <w:ind w:left="1460"/>
              <w:spacing w:after="0"/>
              <w:rPr>
                <w:sz w:val="20"/>
                <w:szCs w:val="20"/>
                <w:color w:val="auto"/>
              </w:rPr>
            </w:pPr>
            <w:r>
              <w:rPr>
                <w:rFonts w:ascii="Arial" w:cs="Arial" w:eastAsia="Arial" w:hAnsi="Arial"/>
                <w:sz w:val="18"/>
                <w:szCs w:val="18"/>
                <w:color w:val="auto"/>
                <w:w w:val="94"/>
              </w:rPr>
              <w:t>Notes) (the “</w:t>
            </w:r>
            <w:r>
              <w:rPr>
                <w:rFonts w:ascii="Arial" w:cs="Arial" w:eastAsia="Arial" w:hAnsi="Arial"/>
                <w:sz w:val="18"/>
                <w:szCs w:val="18"/>
                <w:b w:val="1"/>
                <w:bCs w:val="1"/>
                <w:color w:val="auto"/>
                <w:w w:val="94"/>
              </w:rPr>
              <w:t>2029 Par Call Date</w:t>
            </w:r>
            <w:r>
              <w:rPr>
                <w:rFonts w:ascii="Arial" w:cs="Arial" w:eastAsia="Arial" w:hAnsi="Arial"/>
                <w:sz w:val="18"/>
                <w:szCs w:val="18"/>
                <w:color w:val="auto"/>
                <w:w w:val="94"/>
              </w:rPr>
              <w:t>”), the Redemption Price is the greater of (i) 100% of the</w:t>
            </w:r>
          </w:p>
        </w:tc>
      </w:tr>
      <w:tr>
        <w:trPr>
          <w:trHeight w:val="216"/>
        </w:trPr>
        <w:tc>
          <w:tcPr>
            <w:tcW w:w="3040" w:type="dxa"/>
            <w:vAlign w:val="bottom"/>
          </w:tcPr>
          <w:p>
            <w:pPr>
              <w:spacing w:after="0"/>
              <w:rPr>
                <w:sz w:val="18"/>
                <w:szCs w:val="18"/>
                <w:color w:val="auto"/>
              </w:rPr>
            </w:pPr>
          </w:p>
        </w:tc>
        <w:tc>
          <w:tcPr>
            <w:tcW w:w="8120" w:type="dxa"/>
            <w:vAlign w:val="bottom"/>
            <w:gridSpan w:val="3"/>
          </w:tcPr>
          <w:p>
            <w:pPr>
              <w:ind w:left="1460"/>
              <w:spacing w:after="0"/>
              <w:rPr>
                <w:sz w:val="20"/>
                <w:szCs w:val="20"/>
                <w:color w:val="auto"/>
              </w:rPr>
            </w:pPr>
            <w:r>
              <w:rPr>
                <w:rFonts w:ascii="Arial" w:cs="Arial" w:eastAsia="Arial" w:hAnsi="Arial"/>
                <w:sz w:val="18"/>
                <w:szCs w:val="18"/>
                <w:color w:val="auto"/>
                <w:w w:val="93"/>
              </w:rPr>
              <w:t>principal amount of the 2029 Notes, and (ii) the sum of the present values of the principal</w:t>
            </w:r>
          </w:p>
        </w:tc>
      </w:tr>
      <w:tr>
        <w:trPr>
          <w:trHeight w:val="216"/>
        </w:trPr>
        <w:tc>
          <w:tcPr>
            <w:tcW w:w="3040" w:type="dxa"/>
            <w:vAlign w:val="bottom"/>
          </w:tcPr>
          <w:p>
            <w:pPr>
              <w:spacing w:after="0"/>
              <w:rPr>
                <w:sz w:val="18"/>
                <w:szCs w:val="18"/>
                <w:color w:val="auto"/>
              </w:rPr>
            </w:pPr>
          </w:p>
        </w:tc>
        <w:tc>
          <w:tcPr>
            <w:tcW w:w="8120" w:type="dxa"/>
            <w:vAlign w:val="bottom"/>
            <w:gridSpan w:val="3"/>
          </w:tcPr>
          <w:p>
            <w:pPr>
              <w:ind w:left="1460"/>
              <w:spacing w:after="0"/>
              <w:rPr>
                <w:sz w:val="20"/>
                <w:szCs w:val="20"/>
                <w:color w:val="auto"/>
              </w:rPr>
            </w:pPr>
            <w:r>
              <w:rPr>
                <w:rFonts w:ascii="Arial" w:cs="Arial" w:eastAsia="Arial" w:hAnsi="Arial"/>
                <w:sz w:val="18"/>
                <w:szCs w:val="18"/>
                <w:color w:val="auto"/>
                <w:w w:val="91"/>
              </w:rPr>
              <w:t>amount of such notes and the scheduled payments of interest thereon (exclusive of interest</w:t>
            </w:r>
          </w:p>
        </w:tc>
      </w:tr>
      <w:tr>
        <w:trPr>
          <w:trHeight w:val="216"/>
        </w:trPr>
        <w:tc>
          <w:tcPr>
            <w:tcW w:w="3040" w:type="dxa"/>
            <w:vAlign w:val="bottom"/>
          </w:tcPr>
          <w:p>
            <w:pPr>
              <w:spacing w:after="0"/>
              <w:rPr>
                <w:sz w:val="18"/>
                <w:szCs w:val="18"/>
                <w:color w:val="auto"/>
              </w:rPr>
            </w:pPr>
          </w:p>
        </w:tc>
        <w:tc>
          <w:tcPr>
            <w:tcW w:w="8120" w:type="dxa"/>
            <w:vAlign w:val="bottom"/>
            <w:gridSpan w:val="3"/>
          </w:tcPr>
          <w:p>
            <w:pPr>
              <w:ind w:left="1460"/>
              <w:spacing w:after="0"/>
              <w:rPr>
                <w:sz w:val="20"/>
                <w:szCs w:val="20"/>
                <w:color w:val="auto"/>
              </w:rPr>
            </w:pPr>
            <w:r>
              <w:rPr>
                <w:rFonts w:ascii="Arial" w:cs="Arial" w:eastAsia="Arial" w:hAnsi="Arial"/>
                <w:sz w:val="18"/>
                <w:szCs w:val="18"/>
                <w:color w:val="auto"/>
                <w:w w:val="93"/>
              </w:rPr>
              <w:t>accrued to the date of redemption) from the redemption date to the 2029 Par Call Date, in</w:t>
            </w:r>
          </w:p>
        </w:tc>
      </w:tr>
      <w:tr>
        <w:trPr>
          <w:trHeight w:val="216"/>
        </w:trPr>
        <w:tc>
          <w:tcPr>
            <w:tcW w:w="3040" w:type="dxa"/>
            <w:vAlign w:val="bottom"/>
          </w:tcPr>
          <w:p>
            <w:pPr>
              <w:spacing w:after="0"/>
              <w:rPr>
                <w:sz w:val="18"/>
                <w:szCs w:val="18"/>
                <w:color w:val="auto"/>
              </w:rPr>
            </w:pPr>
          </w:p>
        </w:tc>
        <w:tc>
          <w:tcPr>
            <w:tcW w:w="8120" w:type="dxa"/>
            <w:vAlign w:val="bottom"/>
            <w:gridSpan w:val="3"/>
          </w:tcPr>
          <w:p>
            <w:pPr>
              <w:ind w:left="1460"/>
              <w:spacing w:after="0"/>
              <w:rPr>
                <w:sz w:val="20"/>
                <w:szCs w:val="20"/>
                <w:color w:val="auto"/>
              </w:rPr>
            </w:pPr>
            <w:r>
              <w:rPr>
                <w:rFonts w:ascii="Arial" w:cs="Arial" w:eastAsia="Arial" w:hAnsi="Arial"/>
                <w:sz w:val="18"/>
                <w:szCs w:val="18"/>
                <w:color w:val="auto"/>
                <w:w w:val="92"/>
              </w:rPr>
              <w:t>each case discounted to the redemption date on an actual (ACTUAL/ACTUAL (ICMA)), as</w:t>
            </w:r>
          </w:p>
        </w:tc>
      </w:tr>
      <w:tr>
        <w:trPr>
          <w:trHeight w:val="216"/>
        </w:trPr>
        <w:tc>
          <w:tcPr>
            <w:tcW w:w="3040" w:type="dxa"/>
            <w:vAlign w:val="bottom"/>
          </w:tcPr>
          <w:p>
            <w:pPr>
              <w:spacing w:after="0"/>
              <w:rPr>
                <w:sz w:val="18"/>
                <w:szCs w:val="18"/>
                <w:color w:val="auto"/>
              </w:rPr>
            </w:pPr>
          </w:p>
        </w:tc>
        <w:tc>
          <w:tcPr>
            <w:tcW w:w="8120" w:type="dxa"/>
            <w:vAlign w:val="bottom"/>
            <w:gridSpan w:val="3"/>
          </w:tcPr>
          <w:p>
            <w:pPr>
              <w:ind w:left="1460"/>
              <w:spacing w:after="0"/>
              <w:rPr>
                <w:sz w:val="20"/>
                <w:szCs w:val="20"/>
                <w:color w:val="auto"/>
              </w:rPr>
            </w:pPr>
            <w:r>
              <w:rPr>
                <w:rFonts w:ascii="Arial" w:cs="Arial" w:eastAsia="Arial" w:hAnsi="Arial"/>
                <w:sz w:val="18"/>
                <w:szCs w:val="18"/>
                <w:color w:val="auto"/>
                <w:w w:val="91"/>
              </w:rPr>
              <w:t>defined in the rulebook of the International Capital Market Association, basis at a rate equal</w:t>
            </w:r>
          </w:p>
        </w:tc>
      </w:tr>
      <w:tr>
        <w:trPr>
          <w:trHeight w:val="216"/>
        </w:trPr>
        <w:tc>
          <w:tcPr>
            <w:tcW w:w="3040" w:type="dxa"/>
            <w:vAlign w:val="bottom"/>
          </w:tcPr>
          <w:p>
            <w:pPr>
              <w:spacing w:after="0"/>
              <w:rPr>
                <w:sz w:val="18"/>
                <w:szCs w:val="18"/>
                <w:color w:val="auto"/>
              </w:rPr>
            </w:pPr>
          </w:p>
        </w:tc>
        <w:tc>
          <w:tcPr>
            <w:tcW w:w="8120" w:type="dxa"/>
            <w:vAlign w:val="bottom"/>
            <w:gridSpan w:val="3"/>
          </w:tcPr>
          <w:p>
            <w:pPr>
              <w:ind w:left="1460"/>
              <w:spacing w:after="0"/>
              <w:rPr>
                <w:sz w:val="20"/>
                <w:szCs w:val="20"/>
                <w:color w:val="auto"/>
              </w:rPr>
            </w:pPr>
            <w:r>
              <w:rPr>
                <w:rFonts w:ascii="Arial" w:cs="Arial" w:eastAsia="Arial" w:hAnsi="Arial"/>
                <w:sz w:val="18"/>
                <w:szCs w:val="18"/>
                <w:color w:val="auto"/>
                <w:w w:val="92"/>
              </w:rPr>
              <w:t>to the applicable Bund Rate plus 15 basis points and (b) any time on or after the 2029 Par</w:t>
            </w:r>
          </w:p>
        </w:tc>
      </w:tr>
      <w:tr>
        <w:trPr>
          <w:trHeight w:val="216"/>
        </w:trPr>
        <w:tc>
          <w:tcPr>
            <w:tcW w:w="3040" w:type="dxa"/>
            <w:vAlign w:val="bottom"/>
          </w:tcPr>
          <w:p>
            <w:pPr>
              <w:spacing w:after="0"/>
              <w:rPr>
                <w:sz w:val="18"/>
                <w:szCs w:val="18"/>
                <w:color w:val="auto"/>
              </w:rPr>
            </w:pPr>
          </w:p>
        </w:tc>
        <w:tc>
          <w:tcPr>
            <w:tcW w:w="8120" w:type="dxa"/>
            <w:vAlign w:val="bottom"/>
            <w:gridSpan w:val="3"/>
          </w:tcPr>
          <w:p>
            <w:pPr>
              <w:ind w:left="1460"/>
              <w:spacing w:after="0"/>
              <w:rPr>
                <w:sz w:val="20"/>
                <w:szCs w:val="20"/>
                <w:color w:val="auto"/>
              </w:rPr>
            </w:pPr>
            <w:r>
              <w:rPr>
                <w:rFonts w:ascii="Arial" w:cs="Arial" w:eastAsia="Arial" w:hAnsi="Arial"/>
                <w:sz w:val="18"/>
                <w:szCs w:val="18"/>
                <w:color w:val="auto"/>
                <w:w w:val="95"/>
              </w:rPr>
              <w:t>Call Date, 100% of the principal amount of such notes; plus, in each case, accrued and</w:t>
            </w:r>
          </w:p>
        </w:tc>
      </w:tr>
      <w:tr>
        <w:trPr>
          <w:trHeight w:val="230"/>
        </w:trPr>
        <w:tc>
          <w:tcPr>
            <w:tcW w:w="3040" w:type="dxa"/>
            <w:vAlign w:val="bottom"/>
          </w:tcPr>
          <w:p>
            <w:pPr>
              <w:spacing w:after="0"/>
              <w:rPr>
                <w:sz w:val="20"/>
                <w:szCs w:val="20"/>
                <w:color w:val="auto"/>
              </w:rPr>
            </w:pPr>
          </w:p>
        </w:tc>
        <w:tc>
          <w:tcPr>
            <w:tcW w:w="8120" w:type="dxa"/>
            <w:vAlign w:val="bottom"/>
            <w:gridSpan w:val="3"/>
          </w:tcPr>
          <w:p>
            <w:pPr>
              <w:ind w:left="1460"/>
              <w:spacing w:after="0"/>
              <w:rPr>
                <w:sz w:val="20"/>
                <w:szCs w:val="20"/>
                <w:color w:val="auto"/>
              </w:rPr>
            </w:pPr>
            <w:r>
              <w:rPr>
                <w:rFonts w:ascii="Arial" w:cs="Arial" w:eastAsia="Arial" w:hAnsi="Arial"/>
                <w:sz w:val="18"/>
                <w:szCs w:val="18"/>
                <w:color w:val="auto"/>
              </w:rPr>
              <w:t>unpaid interest thereon to the date of redemption.</w:t>
            </w:r>
          </w:p>
        </w:tc>
      </w:tr>
      <w:tr>
        <w:trPr>
          <w:trHeight w:val="418"/>
        </w:trPr>
        <w:tc>
          <w:tcPr>
            <w:tcW w:w="304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8120" w:type="dxa"/>
            <w:vAlign w:val="bottom"/>
            <w:gridSpan w:val="3"/>
          </w:tcPr>
          <w:p>
            <w:pPr>
              <w:ind w:left="1460"/>
              <w:spacing w:after="0"/>
              <w:rPr>
                <w:sz w:val="20"/>
                <w:szCs w:val="20"/>
                <w:color w:val="auto"/>
              </w:rPr>
            </w:pPr>
            <w:r>
              <w:rPr>
                <w:rFonts w:ascii="Arial" w:cs="Arial" w:eastAsia="Arial" w:hAnsi="Arial"/>
                <w:sz w:val="18"/>
                <w:szCs w:val="18"/>
                <w:color w:val="auto"/>
                <w:w w:val="93"/>
              </w:rPr>
              <w:t>The 2029 Notes need not be issued at the same time and the series may be reopened for</w:t>
            </w:r>
          </w:p>
        </w:tc>
      </w:tr>
      <w:tr>
        <w:trPr>
          <w:trHeight w:val="216"/>
        </w:trPr>
        <w:tc>
          <w:tcPr>
            <w:tcW w:w="3040" w:type="dxa"/>
            <w:vAlign w:val="bottom"/>
          </w:tcPr>
          <w:p>
            <w:pPr>
              <w:spacing w:after="0"/>
              <w:rPr>
                <w:sz w:val="18"/>
                <w:szCs w:val="18"/>
                <w:color w:val="auto"/>
              </w:rPr>
            </w:pPr>
          </w:p>
        </w:tc>
        <w:tc>
          <w:tcPr>
            <w:tcW w:w="8120" w:type="dxa"/>
            <w:vAlign w:val="bottom"/>
            <w:gridSpan w:val="3"/>
          </w:tcPr>
          <w:p>
            <w:pPr>
              <w:ind w:left="1460"/>
              <w:spacing w:after="0"/>
              <w:rPr>
                <w:sz w:val="20"/>
                <w:szCs w:val="20"/>
                <w:color w:val="auto"/>
              </w:rPr>
            </w:pPr>
            <w:r>
              <w:rPr>
                <w:rFonts w:ascii="Arial" w:cs="Arial" w:eastAsia="Arial" w:hAnsi="Arial"/>
                <w:sz w:val="18"/>
                <w:szCs w:val="18"/>
                <w:color w:val="auto"/>
              </w:rPr>
              <w:t>issuance of an unlimited principal amount of additional 2029 Notes under this</w:t>
            </w:r>
          </w:p>
        </w:tc>
      </w:tr>
      <w:tr>
        <w:trPr>
          <w:trHeight w:val="216"/>
        </w:trPr>
        <w:tc>
          <w:tcPr>
            <w:tcW w:w="3040" w:type="dxa"/>
            <w:vAlign w:val="bottom"/>
          </w:tcPr>
          <w:p>
            <w:pPr>
              <w:spacing w:after="0"/>
              <w:rPr>
                <w:sz w:val="18"/>
                <w:szCs w:val="18"/>
                <w:color w:val="auto"/>
              </w:rPr>
            </w:pPr>
          </w:p>
        </w:tc>
        <w:tc>
          <w:tcPr>
            <w:tcW w:w="8120" w:type="dxa"/>
            <w:vAlign w:val="bottom"/>
            <w:gridSpan w:val="3"/>
          </w:tcPr>
          <w:p>
            <w:pPr>
              <w:ind w:left="1460"/>
              <w:spacing w:after="0"/>
              <w:rPr>
                <w:sz w:val="20"/>
                <w:szCs w:val="20"/>
                <w:color w:val="auto"/>
              </w:rPr>
            </w:pPr>
            <w:r>
              <w:rPr>
                <w:rFonts w:ascii="Arial" w:cs="Arial" w:eastAsia="Arial" w:hAnsi="Arial"/>
                <w:sz w:val="18"/>
                <w:szCs w:val="18"/>
                <w:color w:val="auto"/>
                <w:w w:val="95"/>
              </w:rPr>
              <w:t>series. Additional 2029 Notes of this series may be consolidated with, and form a single</w:t>
            </w:r>
          </w:p>
        </w:tc>
      </w:tr>
      <w:tr>
        <w:trPr>
          <w:trHeight w:val="216"/>
        </w:trPr>
        <w:tc>
          <w:tcPr>
            <w:tcW w:w="3040" w:type="dxa"/>
            <w:vAlign w:val="bottom"/>
          </w:tcPr>
          <w:p>
            <w:pPr>
              <w:spacing w:after="0"/>
              <w:rPr>
                <w:sz w:val="18"/>
                <w:szCs w:val="18"/>
                <w:color w:val="auto"/>
              </w:rPr>
            </w:pPr>
          </w:p>
        </w:tc>
        <w:tc>
          <w:tcPr>
            <w:tcW w:w="8120" w:type="dxa"/>
            <w:vAlign w:val="bottom"/>
            <w:gridSpan w:val="3"/>
          </w:tcPr>
          <w:p>
            <w:pPr>
              <w:ind w:left="1460"/>
              <w:spacing w:after="0"/>
              <w:rPr>
                <w:sz w:val="20"/>
                <w:szCs w:val="20"/>
                <w:color w:val="auto"/>
              </w:rPr>
            </w:pPr>
            <w:r>
              <w:rPr>
                <w:rFonts w:ascii="Arial" w:cs="Arial" w:eastAsia="Arial" w:hAnsi="Arial"/>
                <w:sz w:val="18"/>
                <w:szCs w:val="18"/>
                <w:color w:val="auto"/>
                <w:w w:val="91"/>
              </w:rPr>
              <w:t>series with, 2029 Notes then outstanding, including for purposes of determining whether the</w:t>
            </w:r>
          </w:p>
        </w:tc>
      </w:tr>
      <w:tr>
        <w:trPr>
          <w:trHeight w:val="216"/>
        </w:trPr>
        <w:tc>
          <w:tcPr>
            <w:tcW w:w="3040" w:type="dxa"/>
            <w:vAlign w:val="bottom"/>
          </w:tcPr>
          <w:p>
            <w:pPr>
              <w:spacing w:after="0"/>
              <w:rPr>
                <w:sz w:val="18"/>
                <w:szCs w:val="18"/>
                <w:color w:val="auto"/>
              </w:rPr>
            </w:pPr>
          </w:p>
        </w:tc>
        <w:tc>
          <w:tcPr>
            <w:tcW w:w="8120" w:type="dxa"/>
            <w:vAlign w:val="bottom"/>
            <w:gridSpan w:val="3"/>
          </w:tcPr>
          <w:p>
            <w:pPr>
              <w:ind w:left="1460"/>
              <w:spacing w:after="0"/>
              <w:rPr>
                <w:sz w:val="20"/>
                <w:szCs w:val="20"/>
                <w:color w:val="auto"/>
              </w:rPr>
            </w:pPr>
            <w:r>
              <w:rPr>
                <w:rFonts w:ascii="Arial" w:cs="Arial" w:eastAsia="Arial" w:hAnsi="Arial"/>
                <w:sz w:val="18"/>
                <w:szCs w:val="18"/>
                <w:color w:val="auto"/>
                <w:w w:val="89"/>
              </w:rPr>
              <w:t>required percentage of the holders of record has given approval or consent to an amendment</w:t>
            </w:r>
          </w:p>
        </w:tc>
      </w:tr>
      <w:tr>
        <w:trPr>
          <w:trHeight w:val="216"/>
        </w:trPr>
        <w:tc>
          <w:tcPr>
            <w:tcW w:w="3040" w:type="dxa"/>
            <w:vAlign w:val="bottom"/>
          </w:tcPr>
          <w:p>
            <w:pPr>
              <w:spacing w:after="0"/>
              <w:rPr>
                <w:sz w:val="18"/>
                <w:szCs w:val="18"/>
                <w:color w:val="auto"/>
              </w:rPr>
            </w:pPr>
          </w:p>
        </w:tc>
        <w:tc>
          <w:tcPr>
            <w:tcW w:w="8120" w:type="dxa"/>
            <w:vAlign w:val="bottom"/>
            <w:gridSpan w:val="3"/>
          </w:tcPr>
          <w:p>
            <w:pPr>
              <w:ind w:left="1460"/>
              <w:spacing w:after="0"/>
              <w:rPr>
                <w:sz w:val="20"/>
                <w:szCs w:val="20"/>
                <w:color w:val="auto"/>
              </w:rPr>
            </w:pPr>
            <w:r>
              <w:rPr>
                <w:rFonts w:ascii="Arial" w:cs="Arial" w:eastAsia="Arial" w:hAnsi="Arial"/>
                <w:sz w:val="18"/>
                <w:szCs w:val="18"/>
                <w:color w:val="auto"/>
                <w:w w:val="94"/>
              </w:rPr>
              <w:t>or waiver or joined in directing the Trustee to take certain actions on behalf of all holders;</w:t>
            </w:r>
          </w:p>
        </w:tc>
      </w:tr>
      <w:tr>
        <w:trPr>
          <w:trHeight w:val="216"/>
        </w:trPr>
        <w:tc>
          <w:tcPr>
            <w:tcW w:w="3040" w:type="dxa"/>
            <w:vAlign w:val="bottom"/>
          </w:tcPr>
          <w:p>
            <w:pPr>
              <w:spacing w:after="0"/>
              <w:rPr>
                <w:sz w:val="18"/>
                <w:szCs w:val="18"/>
                <w:color w:val="auto"/>
              </w:rPr>
            </w:pPr>
          </w:p>
        </w:tc>
        <w:tc>
          <w:tcPr>
            <w:tcW w:w="8120" w:type="dxa"/>
            <w:vAlign w:val="bottom"/>
            <w:gridSpan w:val="3"/>
          </w:tcPr>
          <w:p>
            <w:pPr>
              <w:ind w:left="1460"/>
              <w:spacing w:after="0"/>
              <w:rPr>
                <w:sz w:val="20"/>
                <w:szCs w:val="20"/>
                <w:color w:val="auto"/>
              </w:rPr>
            </w:pPr>
            <w:r>
              <w:rPr>
                <w:rFonts w:ascii="Arial" w:cs="Arial" w:eastAsia="Arial" w:hAnsi="Arial"/>
                <w:sz w:val="18"/>
                <w:szCs w:val="18"/>
                <w:color w:val="auto"/>
                <w:w w:val="98"/>
              </w:rPr>
              <w:t>provided that if such additional 2029 Notes are not fungible with the 2029 Notes then</w:t>
            </w:r>
          </w:p>
        </w:tc>
      </w:tr>
      <w:tr>
        <w:trPr>
          <w:trHeight w:val="216"/>
        </w:trPr>
        <w:tc>
          <w:tcPr>
            <w:tcW w:w="3040" w:type="dxa"/>
            <w:vAlign w:val="bottom"/>
          </w:tcPr>
          <w:p>
            <w:pPr>
              <w:spacing w:after="0"/>
              <w:rPr>
                <w:sz w:val="18"/>
                <w:szCs w:val="18"/>
                <w:color w:val="auto"/>
              </w:rPr>
            </w:pPr>
          </w:p>
        </w:tc>
        <w:tc>
          <w:tcPr>
            <w:tcW w:w="8120" w:type="dxa"/>
            <w:vAlign w:val="bottom"/>
            <w:gridSpan w:val="3"/>
          </w:tcPr>
          <w:p>
            <w:pPr>
              <w:ind w:left="1460"/>
              <w:spacing w:after="0"/>
              <w:rPr>
                <w:sz w:val="20"/>
                <w:szCs w:val="20"/>
                <w:color w:val="auto"/>
              </w:rPr>
            </w:pPr>
            <w:r>
              <w:rPr>
                <w:rFonts w:ascii="Arial" w:cs="Arial" w:eastAsia="Arial" w:hAnsi="Arial"/>
                <w:sz w:val="18"/>
                <w:szCs w:val="18"/>
                <w:color w:val="auto"/>
                <w:w w:val="91"/>
              </w:rPr>
              <w:t>outstanding for U.S. federal income tax purposes, such additional 2029 Notes will have one</w:t>
            </w:r>
          </w:p>
        </w:tc>
      </w:tr>
      <w:tr>
        <w:trPr>
          <w:trHeight w:val="230"/>
        </w:trPr>
        <w:tc>
          <w:tcPr>
            <w:tcW w:w="3040" w:type="dxa"/>
            <w:vAlign w:val="bottom"/>
          </w:tcPr>
          <w:p>
            <w:pPr>
              <w:spacing w:after="0"/>
              <w:rPr>
                <w:sz w:val="20"/>
                <w:szCs w:val="20"/>
                <w:color w:val="auto"/>
              </w:rPr>
            </w:pPr>
          </w:p>
        </w:tc>
        <w:tc>
          <w:tcPr>
            <w:tcW w:w="8120" w:type="dxa"/>
            <w:vAlign w:val="bottom"/>
            <w:gridSpan w:val="3"/>
          </w:tcPr>
          <w:p>
            <w:pPr>
              <w:ind w:left="1460"/>
              <w:spacing w:after="0"/>
              <w:rPr>
                <w:sz w:val="20"/>
                <w:szCs w:val="20"/>
                <w:color w:val="auto"/>
              </w:rPr>
            </w:pPr>
            <w:r>
              <w:rPr>
                <w:rFonts w:ascii="Arial" w:cs="Arial" w:eastAsia="Arial" w:hAnsi="Arial"/>
                <w:sz w:val="18"/>
                <w:szCs w:val="18"/>
                <w:color w:val="auto"/>
              </w:rPr>
              <w:t>or more separate ISIN numbers.</w:t>
            </w:r>
          </w:p>
        </w:tc>
      </w:tr>
      <w:tr>
        <w:trPr>
          <w:trHeight w:val="432"/>
        </w:trPr>
        <w:tc>
          <w:tcPr>
            <w:tcW w:w="304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8120" w:type="dxa"/>
            <w:vAlign w:val="bottom"/>
            <w:gridSpan w:val="3"/>
          </w:tcPr>
          <w:p>
            <w:pPr>
              <w:ind w:left="1460"/>
              <w:spacing w:after="0"/>
              <w:rPr>
                <w:sz w:val="20"/>
                <w:szCs w:val="20"/>
                <w:color w:val="auto"/>
              </w:rPr>
            </w:pPr>
            <w:r>
              <w:rPr>
                <w:rFonts w:ascii="Arial" w:cs="Arial" w:eastAsia="Arial" w:hAnsi="Arial"/>
                <w:sz w:val="18"/>
                <w:szCs w:val="18"/>
                <w:color w:val="auto"/>
              </w:rPr>
              <w:t>None</w:t>
            </w:r>
          </w:p>
        </w:tc>
      </w:tr>
      <w:tr>
        <w:trPr>
          <w:trHeight w:val="432"/>
        </w:trPr>
        <w:tc>
          <w:tcPr>
            <w:tcW w:w="304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8120" w:type="dxa"/>
            <w:vAlign w:val="bottom"/>
            <w:gridSpan w:val="3"/>
          </w:tcPr>
          <w:p>
            <w:pPr>
              <w:ind w:left="1460"/>
              <w:spacing w:after="0"/>
              <w:rPr>
                <w:sz w:val="20"/>
                <w:szCs w:val="20"/>
                <w:color w:val="auto"/>
              </w:rPr>
            </w:pPr>
            <w:r>
              <w:rPr>
                <w:rFonts w:ascii="Arial" w:cs="Arial" w:eastAsia="Arial" w:hAnsi="Arial"/>
                <w:sz w:val="18"/>
                <w:szCs w:val="18"/>
                <w:color w:val="auto"/>
              </w:rPr>
              <w:t>None</w:t>
            </w:r>
          </w:p>
        </w:tc>
      </w:tr>
      <w:tr>
        <w:trPr>
          <w:trHeight w:val="414"/>
        </w:trPr>
        <w:tc>
          <w:tcPr>
            <w:tcW w:w="304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8120" w:type="dxa"/>
            <w:vAlign w:val="bottom"/>
            <w:gridSpan w:val="3"/>
          </w:tcPr>
          <w:p>
            <w:pPr>
              <w:ind w:left="1460"/>
              <w:spacing w:after="0"/>
              <w:rPr>
                <w:sz w:val="20"/>
                <w:szCs w:val="20"/>
                <w:color w:val="auto"/>
              </w:rPr>
            </w:pPr>
            <w:r>
              <w:rPr>
                <w:rFonts w:ascii="Arial" w:cs="Arial" w:eastAsia="Arial" w:hAnsi="Arial"/>
                <w:sz w:val="18"/>
                <w:szCs w:val="18"/>
                <w:color w:val="auto"/>
                <w:w w:val="93"/>
              </w:rPr>
              <w:t>The terms of the 2029 Notes shall include such other terms as are set forth in the Form of</w:t>
            </w:r>
          </w:p>
        </w:tc>
      </w:tr>
      <w:tr>
        <w:trPr>
          <w:trHeight w:val="194"/>
        </w:trPr>
        <w:tc>
          <w:tcPr>
            <w:tcW w:w="3040" w:type="dxa"/>
            <w:vAlign w:val="bottom"/>
          </w:tcPr>
          <w:p>
            <w:pPr>
              <w:spacing w:after="0"/>
              <w:rPr>
                <w:sz w:val="16"/>
                <w:szCs w:val="16"/>
                <w:color w:val="auto"/>
              </w:rPr>
            </w:pPr>
          </w:p>
        </w:tc>
        <w:tc>
          <w:tcPr>
            <w:tcW w:w="8120" w:type="dxa"/>
            <w:vAlign w:val="bottom"/>
            <w:gridSpan w:val="3"/>
          </w:tcPr>
          <w:p>
            <w:pPr>
              <w:ind w:left="1460"/>
              <w:spacing w:after="0" w:line="194" w:lineRule="exact"/>
              <w:rPr>
                <w:sz w:val="20"/>
                <w:szCs w:val="20"/>
                <w:color w:val="auto"/>
              </w:rPr>
            </w:pPr>
            <w:r>
              <w:rPr>
                <w:rFonts w:ascii="Arial" w:cs="Arial" w:eastAsia="Arial" w:hAnsi="Arial"/>
                <w:sz w:val="18"/>
                <w:szCs w:val="18"/>
                <w:color w:val="auto"/>
              </w:rPr>
              <w:t xml:space="preserve">0.250% Notes due 2029 attached hereto as </w:t>
            </w:r>
            <w:r>
              <w:rPr>
                <w:rFonts w:ascii="Arial" w:cs="Arial" w:eastAsia="Arial" w:hAnsi="Arial"/>
                <w:sz w:val="18"/>
                <w:szCs w:val="18"/>
                <w:b w:val="1"/>
                <w:bCs w:val="1"/>
                <w:color w:val="auto"/>
              </w:rPr>
              <w:t>Exhibit B</w:t>
            </w:r>
            <w:r>
              <w:rPr>
                <w:rFonts w:ascii="Arial" w:cs="Arial" w:eastAsia="Arial" w:hAnsi="Arial"/>
                <w:sz w:val="18"/>
                <w:szCs w:val="18"/>
                <w:color w:val="auto"/>
              </w:rPr>
              <w:t>.</w:t>
            </w:r>
          </w:p>
        </w:tc>
      </w:tr>
      <w:tr>
        <w:trPr>
          <w:trHeight w:val="20"/>
        </w:trPr>
        <w:tc>
          <w:tcPr>
            <w:tcW w:w="30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Each such officer has read and understands the provisions of the Indenture and the definitions relating thereto. The statements made in this Officers’ Certificate are based upon the examination of the provisions of the Indenture and upon the relevant books and records of the Company. In such officer’s opinion, he has made such examination or investigation as is necessary to enable such officer to express an informed opinion as to whether or not the covenants and conditions of such Indenture relating to the issuance and authentication of the Notes have been complied with. In such officer’s opinion, such covenants and conditions have been complied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544" w:right="41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IN WITNESS WHEREOF, the undersigned officers of the Company have duly executed this certificate as of the date first set forth above.</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14605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Jason S. Armstrong</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Executive Vice President and Treasurer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14605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Elizabeth Wideman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Senior Vice President, Senior Deputy General Counsel and</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340360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80"/>
          </w:cols>
          <w:pgMar w:left="980" w:top="544" w:right="7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4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THIS SECURITY IS A GLOBAL SECURITY WITHIN THE MEANING OF THE INDENTURE HEREINAFTER REFERRED TO AND IS REGISTERED IN THE NAME OF A COMMON DEPOSITARY OR A NOMINEE THEREOF. THIS SECURITY MAY NOT BE TRANSFERRED TO, OR REGISTERED OR EXCHANGED IN WHOLE OR IN PART FOR A SECURITY REGISTERED IN THE NAME OF, ANY PERSON OTHER THAN SUCH DEPOSITARY OR A NOMINEE THEREOF, AND NO SUCH TRANSFER MAY BE REGISTERED, EXCEPT IN THE LIMITED CIRCUMSTANCES DESCRIBED IN THE INDENTURE. EVERY SECURITY AUTHENTICATED AND DELIVERED UPON REGISTRATION OF TRANSFER OF, OR IN EXCHANGE FOR OR IN LIEU OF, THIS SECURITY SHALL BE A GLOBAL SECURITY SUBJECT TO THE FOREGOING, EXCEPT IN SUCH LIMITED CIRCUMSTANCES.</w:t>
      </w:r>
    </w:p>
    <w:p>
      <w:pPr>
        <w:spacing w:after="0" w:line="19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UNLESS THIS SECURITY IS PRESENTED BY AN AUTHORIZED REPRESENTATIVE OF THE BANK OF NEW YORK DEPOSITORY (NOMINEES) LIMITED, AS NOMINEE OF THE BANK OF NEW YORK MELLON, LONDON BRANCH, AS COMMON DEPOSITARY FOR EUROCLEAR BANK, S.A./N.V., AS OPERATOR OF THE EUROCLEAR SYSTEM (“EUROCLEAR”) AND CLEARSTREAM BANKING, SOCIÉTÉ ANONYME, LUXEMBOURG (“CLEARSTREAM, LUXEMBOURG” AND, TOGETHER WITH EUROCLEAR, “EUROCLEAR/CLEARSTREAM”), TO THE ISSUER OR ITS AGENT FOR REGISTRATION OF TRANSFER, EXCHANGE OR PAYMENT, AND ANY SECURITY ISSUED IS REGISTERED IN THE NAME OF THE BANK OF NEW YORK DEPOSITORY (NOMINEES) LIMITED OR IN SUCH OTHER NAME AS IS REQUESTED BY AN AUTHORIZED REPRESENTATIVE OF THE BANK OF NEW YORK MELLON, LONDON BRANCH, AS COMMON DEPOSITARY FOR EUROCLEAR/CLEARSTREAM (AND ANY PAYMENT IS MADE TO THE BANK OF NEW YORK DEPOSITORY (NOMINEES) LIMITED OR TO SUCH OTHER ENTITY AS IS REQUESTED BY AN AUTHORIZED REPRESENTATIVE OF THE BANK OF NEW YORK MELLON, LONDON BRANCH, AS COMMON DEPOSITARY FOR EUROCLEAR/CLEARSTREAM), ANY TRANSFER, PLEDGE OR OTHER USE HEREOF FOR VALUE OR OTHERWISE BY OR TO ANY PERSON IS WRONGFUL IN AS MUCH AS THE REGISTERED OWNER HEREOF, THE BANK OF NEW YORK MELLON, LONDON BRANCH, HAS AN INTEREST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0.000% Notes due 2026</w:t>
      </w:r>
    </w:p>
    <w:p>
      <w:pPr>
        <w:sectPr>
          <w:pgSz w:w="11900" w:h="16838" w:orient="portrait"/>
          <w:cols w:equalWidth="0" w:num="1">
            <w:col w:w="11240"/>
          </w:cols>
          <w:pgMar w:left="320" w:top="540" w:right="3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No. 1</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ISIN No.: XS2385397901</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€1,250,000,000</w:t>
      </w:r>
    </w:p>
    <w:p>
      <w:pPr>
        <w:spacing w:after="0" w:line="200" w:lineRule="exact"/>
        <w:rPr>
          <w:sz w:val="20"/>
          <w:szCs w:val="20"/>
          <w:color w:val="auto"/>
        </w:rPr>
      </w:pPr>
    </w:p>
    <w:p>
      <w:pPr>
        <w:sectPr>
          <w:pgSz w:w="11900" w:h="16838" w:orient="portrait"/>
          <w:cols w:equalWidth="0" w:num="2">
            <w:col w:w="8640" w:space="720"/>
            <w:col w:w="1880"/>
          </w:cols>
          <w:pgMar w:left="320" w:top="540" w:right="339" w:bottom="1440" w:gutter="0" w:footer="0" w:header="0"/>
          <w:type w:val="continuous"/>
        </w:sectPr>
      </w:pPr>
    </w:p>
    <w:p>
      <w:pPr>
        <w:spacing w:after="0" w:line="7" w:lineRule="exact"/>
        <w:rPr>
          <w:sz w:val="20"/>
          <w:szCs w:val="20"/>
          <w:color w:val="auto"/>
        </w:rPr>
      </w:pPr>
    </w:p>
    <w:p>
      <w:pPr>
        <w:ind w:right="300" w:firstLine="648"/>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xml:space="preserve">”, which term includes any successor corporation), for value received promises to pay to The Bank of New York Depository (Nominees) Limited, as nominee of The Bank of New York Mellon, London Branch, as common depositary for Euroclear Bank S.A./N.V. and Clearstream Banking, </w:t>
      </w:r>
      <w:r>
        <w:rPr>
          <w:rFonts w:ascii="Arial" w:cs="Arial" w:eastAsia="Arial" w:hAnsi="Arial"/>
          <w:sz w:val="18"/>
          <w:szCs w:val="18"/>
          <w:i w:val="1"/>
          <w:iCs w:val="1"/>
          <w:color w:val="auto"/>
        </w:rPr>
        <w:t>société anonyme</w:t>
      </w:r>
      <w:r>
        <w:rPr>
          <w:rFonts w:ascii="Arial" w:cs="Arial" w:eastAsia="Arial" w:hAnsi="Arial"/>
          <w:sz w:val="18"/>
          <w:szCs w:val="18"/>
          <w:color w:val="auto"/>
        </w:rPr>
        <w:t>, Luxembourg, or registered assigns, the principal sum of €1,250,000,000 (One Billion Two Hundred Fifty Million Euros) on September 14, 2026.</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Payment Date: September 14 (the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September 14, 2022.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Record Date: August 30 (the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type w:val="continuous"/>
        </w:sectPr>
      </w:pPr>
    </w:p>
    <w:bookmarkStart w:id="10" w:name="page11"/>
    <w:bookmarkEnd w:id="10"/>
    <w:p>
      <w:pPr>
        <w:ind w:firstLine="648"/>
        <w:spacing w:after="0" w:line="277" w:lineRule="auto"/>
        <w:rPr>
          <w:sz w:val="20"/>
          <w:szCs w:val="20"/>
          <w:color w:val="auto"/>
        </w:rPr>
      </w:pPr>
      <w:r>
        <w:rPr>
          <w:rFonts w:ascii="Arial" w:cs="Arial" w:eastAsia="Arial" w:hAnsi="Arial"/>
          <w:sz w:val="18"/>
          <w:szCs w:val="18"/>
          <w:color w:val="auto"/>
        </w:rPr>
        <w:t>IN WITNESS WHEREOF, the Issuer has caused this Security to be signed manually or by facsimile by its duly authorized officer under its corporate seal.</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Jason S. Armstrong</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Treasurer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Elizabeth Wideman</w:t>
      </w:r>
    </w:p>
    <w:p>
      <w:pPr>
        <w:spacing w:after="0" w:line="23"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Senior Deputy General Counsel and</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80"/>
          </w:cols>
          <w:pgMar w:left="320" w:top="544" w:right="899" w:bottom="1440" w:gutter="0" w:footer="0" w:header="0"/>
        </w:sectPr>
      </w:pPr>
    </w:p>
    <w:bookmarkStart w:id="11" w:name="page12"/>
    <w:bookmarkEnd w:id="11"/>
    <w:p>
      <w:pPr>
        <w:ind w:left="660"/>
        <w:spacing w:after="0"/>
        <w:rPr>
          <w:sz w:val="20"/>
          <w:szCs w:val="20"/>
          <w:color w:val="auto"/>
        </w:rPr>
      </w:pPr>
      <w:r>
        <w:rPr>
          <w:rFonts w:ascii="Arial" w:cs="Arial" w:eastAsia="Arial" w:hAnsi="Arial"/>
          <w:sz w:val="18"/>
          <w:szCs w:val="18"/>
          <w:color w:val="auto"/>
        </w:rPr>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14, 2021</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Trustee</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544" w:right="1440" w:bottom="1440" w:gutter="0" w:footer="0" w:header="0"/>
        </w:sectPr>
      </w:pPr>
    </w:p>
    <w:bookmarkStart w:id="12" w:name="page13"/>
    <w:bookmarkEnd w:id="12"/>
    <w:p>
      <w:pPr>
        <w:jc w:val="center"/>
        <w:ind w:right="-59"/>
        <w:spacing w:after="0"/>
        <w:rPr>
          <w:sz w:val="20"/>
          <w:szCs w:val="20"/>
          <w:color w:val="auto"/>
        </w:rPr>
      </w:pPr>
      <w:r>
        <w:rPr>
          <w:rFonts w:ascii="Arial" w:cs="Arial" w:eastAsia="Arial" w:hAnsi="Arial"/>
          <w:sz w:val="18"/>
          <w:szCs w:val="18"/>
          <w:color w:val="auto"/>
        </w:rPr>
        <w:t>(REVERSE OF SECURITY)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0.000% Notes due 2026</w:t>
      </w:r>
    </w:p>
    <w:p>
      <w:pPr>
        <w:spacing w:after="0" w:line="225" w:lineRule="exact"/>
        <w:rPr>
          <w:sz w:val="20"/>
          <w:szCs w:val="20"/>
          <w:color w:val="auto"/>
        </w:rPr>
      </w:pPr>
    </w:p>
    <w:p>
      <w:pPr>
        <w:ind w:left="1300" w:hanging="45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Interest.</w:t>
      </w:r>
    </w:p>
    <w:p>
      <w:pPr>
        <w:spacing w:after="0" w:line="221" w:lineRule="exact"/>
        <w:rPr>
          <w:sz w:val="20"/>
          <w:szCs w:val="20"/>
          <w:color w:val="auto"/>
        </w:rPr>
      </w:pPr>
    </w:p>
    <w:p>
      <w:pPr>
        <w:ind w:firstLine="648"/>
        <w:spacing w:after="0" w:line="314" w:lineRule="auto"/>
        <w:rPr>
          <w:sz w:val="20"/>
          <w:szCs w:val="20"/>
          <w:color w:val="auto"/>
        </w:rPr>
      </w:pPr>
      <w:r>
        <w:rPr>
          <w:rFonts w:ascii="Arial" w:cs="Arial" w:eastAsia="Arial" w:hAnsi="Arial"/>
          <w:sz w:val="16"/>
          <w:szCs w:val="16"/>
          <w:color w:val="auto"/>
        </w:rPr>
        <w:t>COMCAST CORPORATION, a Pennsylvania corporation (the “</w:t>
      </w:r>
      <w:r>
        <w:rPr>
          <w:rFonts w:ascii="Arial" w:cs="Arial" w:eastAsia="Arial" w:hAnsi="Arial"/>
          <w:sz w:val="16"/>
          <w:szCs w:val="16"/>
          <w:b w:val="1"/>
          <w:bCs w:val="1"/>
          <w:color w:val="auto"/>
        </w:rPr>
        <w:t>Issuer</w:t>
      </w:r>
      <w:r>
        <w:rPr>
          <w:rFonts w:ascii="Arial" w:cs="Arial" w:eastAsia="Arial" w:hAnsi="Arial"/>
          <w:sz w:val="16"/>
          <w:szCs w:val="16"/>
          <w:color w:val="auto"/>
        </w:rPr>
        <w:t>”), promises to pay interest on the principal amount of this Security at the rate per annum shown above. Cash interest on the Securities will accrue from the most recent date to which interest has been paid or, if no interest has been paid, from September 14, 2021. The Issuer will pay interest annually in arrears on the Interest Payment Date, commencing September 14, 2022.</w:t>
      </w:r>
    </w:p>
    <w:p>
      <w:pPr>
        <w:spacing w:after="0" w:line="14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Interest on the Securities will be computed on the basis of the actual number of days in the period for which interest is being calculated and the actual number of days from and including the last date to which interest was paid on the Securities (or September 14, 2021 if no interest has been paid on the Securities), to but excluding the next scheduled Interest Payment Date. This payment convention is referred to as ACTUAL/ACTUAL (ICMA) as defined in the rulebook of the International Capital Market Association.</w:t>
      </w:r>
    </w:p>
    <w:p>
      <w:pPr>
        <w:spacing w:after="0" w:line="187"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If any Interest Payment Date, maturity date or redemption date falls on a day that is not a Business Day, the payment will be made on the next Business Day with the same force and effect as if made on the relevant Interest Payment Date, maturity date or redemption date, and no interest will accrue in respect of the delay.</w:t>
      </w:r>
    </w:p>
    <w:p>
      <w:pPr>
        <w:spacing w:after="0" w:line="180"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or Sunday (i) which is not a day on which banking institutions in The City of New York or London are authorized or obligated by law, regulation or executive order to close and (ii) on which the Trans-European Automated Real-Time Gross Settlement Express Transfer System (the TARGET2 system) or any successor thereto is open.</w:t>
      </w:r>
    </w:p>
    <w:p>
      <w:pPr>
        <w:spacing w:after="0" w:line="18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170" w:lineRule="exact"/>
        <w:rPr>
          <w:sz w:val="20"/>
          <w:szCs w:val="20"/>
          <w:color w:val="auto"/>
        </w:rPr>
      </w:pPr>
    </w:p>
    <w:p>
      <w:pPr>
        <w:ind w:left="1300" w:hanging="45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Issuance in Euro.</w:t>
      </w:r>
    </w:p>
    <w:p>
      <w:pPr>
        <w:spacing w:after="0" w:line="225" w:lineRule="exact"/>
        <w:rPr>
          <w:sz w:val="20"/>
          <w:szCs w:val="20"/>
          <w:color w:val="auto"/>
        </w:rPr>
      </w:pPr>
    </w:p>
    <w:p>
      <w:pPr>
        <w:jc w:val="both"/>
        <w:ind w:right="60" w:firstLine="648"/>
        <w:spacing w:after="0" w:line="275" w:lineRule="auto"/>
        <w:rPr>
          <w:sz w:val="20"/>
          <w:szCs w:val="20"/>
          <w:color w:val="auto"/>
        </w:rPr>
      </w:pPr>
      <w:r>
        <w:rPr>
          <w:rFonts w:ascii="Arial" w:cs="Arial" w:eastAsia="Arial" w:hAnsi="Arial"/>
          <w:sz w:val="17"/>
          <w:szCs w:val="17"/>
          <w:color w:val="auto"/>
        </w:rPr>
        <w:t>Principal, premium, if any, and interest payments will be payable in Euro. If Euro is unavailable to the Issuer due to the imposition of exchange controls or other circumstances beyond the Issuer’s control, then all payments will be made in U.S. dollars until Euro is again available to the Issuer. The amount payable on any date in Euro will be converted into U.S. dollars at the Market Exchange Rate (as defined below) or, if such Market Exchange Rate is not then available, on the basis of the most recently available market exchange rate for Euro. Any payment so made in U.S. dollars will not constitute an event of default under the Indenture. Neither the Trustee nor the Paying Agent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318135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responsible for obtaining exchange rates, effecting currency conversions or otherwise handling re-denominations.</w:t>
      </w:r>
    </w:p>
    <w:p>
      <w:pPr>
        <w:spacing w:after="0" w:line="221"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Market Exchange Rate</w:t>
      </w:r>
      <w:r>
        <w:rPr>
          <w:rFonts w:ascii="Arial" w:cs="Arial" w:eastAsia="Arial" w:hAnsi="Arial"/>
          <w:sz w:val="18"/>
          <w:szCs w:val="18"/>
          <w:color w:val="auto"/>
        </w:rPr>
        <w:t>” means the noon buying rate in The City of New York for cable transfers of Euro as certified for customs purposes (or, if not so certified, as otherwise determined) by the Federal Reserve Bank of New York.</w:t>
      </w:r>
    </w:p>
    <w:p>
      <w:pPr>
        <w:spacing w:after="0" w:line="166" w:lineRule="exact"/>
        <w:rPr>
          <w:sz w:val="20"/>
          <w:szCs w:val="20"/>
          <w:color w:val="auto"/>
        </w:rPr>
      </w:pPr>
    </w:p>
    <w:p>
      <w:pPr>
        <w:ind w:left="1300" w:hanging="45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8"/>
          <w:szCs w:val="18"/>
          <w:b w:val="1"/>
          <w:bCs w:val="1"/>
          <w:color w:val="auto"/>
        </w:rPr>
        <w:t>Trustee</w:t>
      </w:r>
      <w:r>
        <w:rPr>
          <w:rFonts w:ascii="Arial" w:cs="Arial" w:eastAsia="Arial" w:hAnsi="Arial"/>
          <w:sz w:val="18"/>
          <w:szCs w:val="18"/>
          <w:color w:val="auto"/>
        </w:rPr>
        <w:t>”) to collect principal payments.</w:t>
      </w:r>
    </w:p>
    <w:p>
      <w:pPr>
        <w:spacing w:after="0" w:line="18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payments of interest, and any portion of the principal (other than interest payable at maturity or on any redemption or repayment date or the final payment of principal) shall be made by the Paying Agent, upon receipt from the Issuer of immediately available funds by 10:00 a.m., London time one Business Day prior to the payment due date (or such other time as may be agreed to between the Issuer and the Paying Agent), directly to a Holder (by Federal funds wire transfer or otherwise) if the Holder has delivered written instructions to the Paying Agent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195" w:lineRule="exact"/>
        <w:rPr>
          <w:sz w:val="20"/>
          <w:szCs w:val="20"/>
          <w:color w:val="auto"/>
        </w:rPr>
      </w:pPr>
    </w:p>
    <w:p>
      <w:pPr>
        <w:ind w:left="1300" w:hanging="45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Initially, The Bank of New York Mellon, London Branch will act as Paying Agent. The Issuer may change any Paying Agent without notice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14" w:name="page15"/>
    <w:bookmarkEnd w:id="14"/>
    <w:p>
      <w:pPr>
        <w:ind w:left="1300" w:hanging="45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Indenture.</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Issuer issued the Securities under an Indenture dated as of September 18, 2013, by and among the Issuer, the guarantors named therein and the Trustee, as amended by the First Supplemental Indenture dated as of November 17, 2015, by and among the Issuer, the guarantors named therein (the “</w:t>
      </w:r>
      <w:r>
        <w:rPr>
          <w:rFonts w:ascii="Arial" w:cs="Arial" w:eastAsia="Arial" w:hAnsi="Arial"/>
          <w:sz w:val="16"/>
          <w:szCs w:val="16"/>
          <w:b w:val="1"/>
          <w:bCs w:val="1"/>
          <w:color w:val="auto"/>
        </w:rPr>
        <w:t>Guarantors</w:t>
      </w:r>
      <w:r>
        <w:rPr>
          <w:rFonts w:ascii="Arial" w:cs="Arial" w:eastAsia="Arial" w:hAnsi="Arial"/>
          <w:sz w:val="16"/>
          <w:szCs w:val="16"/>
          <w:color w:val="auto"/>
        </w:rPr>
        <w:t>”) and the Trustee (as amended, the “</w:t>
      </w:r>
      <w:r>
        <w:rPr>
          <w:rFonts w:ascii="Arial" w:cs="Arial" w:eastAsia="Arial" w:hAnsi="Arial"/>
          <w:sz w:val="16"/>
          <w:szCs w:val="16"/>
          <w:b w:val="1"/>
          <w:bCs w:val="1"/>
          <w:color w:val="auto"/>
        </w:rPr>
        <w:t>Indenture</w:t>
      </w:r>
      <w:r>
        <w:rPr>
          <w:rFonts w:ascii="Arial" w:cs="Arial" w:eastAsia="Arial" w:hAnsi="Arial"/>
          <w:sz w:val="16"/>
          <w:szCs w:val="16"/>
          <w:color w:val="auto"/>
        </w:rPr>
        <w:t>”). Capitalized terms herein are used as defined in the Indenture unless otherwise defined herein. The terms of the Securities include those stated in the Indenture and those made part of the Indenture by reference to the Trust Indenture Act of</w:t>
      </w:r>
    </w:p>
    <w:p>
      <w:pPr>
        <w:spacing w:after="0" w:line="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1939 (15 U.S.C. Sections 77aaa-77bbbb) (the “</w:t>
      </w:r>
      <w:r>
        <w:rPr>
          <w:rFonts w:ascii="Arial" w:cs="Arial" w:eastAsia="Arial" w:hAnsi="Arial"/>
          <w:sz w:val="18"/>
          <w:szCs w:val="18"/>
          <w:b w:val="1"/>
          <w:bCs w:val="1"/>
          <w:color w:val="auto"/>
        </w:rPr>
        <w:t>TIA</w:t>
      </w:r>
      <w:r>
        <w:rPr>
          <w:rFonts w:ascii="Arial" w:cs="Arial" w:eastAsia="Arial" w:hAnsi="Arial"/>
          <w:sz w:val="18"/>
          <w:szCs w:val="18"/>
          <w:color w:val="auto"/>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 This note is a “</w:t>
      </w:r>
      <w:r>
        <w:rPr>
          <w:rFonts w:ascii="Arial" w:cs="Arial" w:eastAsia="Arial" w:hAnsi="Arial"/>
          <w:sz w:val="18"/>
          <w:szCs w:val="18"/>
          <w:b w:val="1"/>
          <w:bCs w:val="1"/>
          <w:color w:val="auto"/>
        </w:rPr>
        <w:t>Security</w:t>
      </w:r>
      <w:r>
        <w:rPr>
          <w:rFonts w:ascii="Arial" w:cs="Arial" w:eastAsia="Arial" w:hAnsi="Arial"/>
          <w:sz w:val="18"/>
          <w:szCs w:val="18"/>
          <w:color w:val="auto"/>
        </w:rPr>
        <w:t>” and the notes are “</w:t>
      </w:r>
      <w:r>
        <w:rPr>
          <w:rFonts w:ascii="Arial" w:cs="Arial" w:eastAsia="Arial" w:hAnsi="Arial"/>
          <w:sz w:val="18"/>
          <w:szCs w:val="18"/>
          <w:b w:val="1"/>
          <w:bCs w:val="1"/>
          <w:color w:val="auto"/>
        </w:rPr>
        <w:t>Securities</w:t>
      </w:r>
      <w:r>
        <w:rPr>
          <w:rFonts w:ascii="Arial" w:cs="Arial" w:eastAsia="Arial" w:hAnsi="Arial"/>
          <w:sz w:val="18"/>
          <w:szCs w:val="18"/>
          <w:color w:val="auto"/>
        </w:rPr>
        <w:t>” under the Indenture.</w:t>
      </w:r>
    </w:p>
    <w:p>
      <w:pPr>
        <w:spacing w:after="0" w:line="191" w:lineRule="exact"/>
        <w:rPr>
          <w:sz w:val="20"/>
          <w:szCs w:val="20"/>
          <w:color w:val="auto"/>
        </w:rPr>
      </w:pPr>
    </w:p>
    <w:p>
      <w:pPr>
        <w:ind w:left="1300" w:hanging="45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Guarantees.</w:t>
      </w:r>
    </w:p>
    <w:p>
      <w:pPr>
        <w:spacing w:after="0" w:line="225" w:lineRule="exact"/>
        <w:rPr>
          <w:sz w:val="20"/>
          <w:szCs w:val="20"/>
          <w:color w:val="auto"/>
        </w:rPr>
      </w:pPr>
    </w:p>
    <w:p>
      <w:pPr>
        <w:jc w:val="both"/>
        <w:ind w:right="40" w:firstLine="648"/>
        <w:spacing w:after="0" w:line="311" w:lineRule="auto"/>
        <w:rPr>
          <w:sz w:val="20"/>
          <w:szCs w:val="20"/>
          <w:color w:val="auto"/>
        </w:rPr>
      </w:pPr>
      <w:r>
        <w:rPr>
          <w:rFonts w:ascii="Arial" w:cs="Arial" w:eastAsia="Arial" w:hAnsi="Arial"/>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149" w:lineRule="exact"/>
        <w:rPr>
          <w:sz w:val="20"/>
          <w:szCs w:val="20"/>
          <w:color w:val="auto"/>
        </w:rPr>
      </w:pPr>
    </w:p>
    <w:p>
      <w:pPr>
        <w:ind w:left="1300" w:hanging="45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22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Securities are in registered form, without coupons, in denominations of €100,000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giving of a notice of redemption, nor need the Issuer register the transfer or exchange any security selected for redemption in whole or in part.</w:t>
      </w:r>
    </w:p>
    <w:p>
      <w:pPr>
        <w:spacing w:after="0" w:line="161" w:lineRule="exact"/>
        <w:rPr>
          <w:sz w:val="20"/>
          <w:szCs w:val="20"/>
          <w:color w:val="auto"/>
        </w:rPr>
      </w:pPr>
    </w:p>
    <w:p>
      <w:pPr>
        <w:ind w:left="1300" w:hanging="45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225" w:lineRule="exact"/>
        <w:rPr>
          <w:sz w:val="20"/>
          <w:szCs w:val="20"/>
          <w:color w:val="auto"/>
        </w:rPr>
      </w:pPr>
    </w:p>
    <w:p>
      <w:pPr>
        <w:ind w:left="1300" w:hanging="45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225"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5" w:name="page16"/>
    <w:bookmarkEnd w:id="15"/>
    <w:p>
      <w:pPr>
        <w:ind w:left="1400" w:hanging="550"/>
        <w:spacing w:after="0"/>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Legal Defeasance and Covenant Defeasance.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165" w:lineRule="exact"/>
        <w:rPr>
          <w:sz w:val="20"/>
          <w:szCs w:val="20"/>
          <w:color w:val="auto"/>
        </w:rPr>
      </w:pPr>
    </w:p>
    <w:p>
      <w:pPr>
        <w:ind w:left="1380" w:hanging="530"/>
        <w:spacing w:after="0"/>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177" w:lineRule="exact"/>
        <w:rPr>
          <w:sz w:val="20"/>
          <w:szCs w:val="20"/>
          <w:color w:val="auto"/>
        </w:rPr>
      </w:pPr>
    </w:p>
    <w:p>
      <w:pPr>
        <w:ind w:left="1400" w:hanging="550"/>
        <w:spacing w:after="0"/>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Restrictive Covenants.</w:t>
      </w:r>
    </w:p>
    <w:p>
      <w:pPr>
        <w:spacing w:after="0" w:line="225" w:lineRule="exact"/>
        <w:rPr>
          <w:sz w:val="20"/>
          <w:szCs w:val="20"/>
          <w:color w:val="auto"/>
        </w:rPr>
      </w:pPr>
    </w:p>
    <w:p>
      <w:pPr>
        <w:ind w:right="480" w:firstLine="648"/>
        <w:spacing w:after="0" w:line="311" w:lineRule="auto"/>
        <w:rPr>
          <w:sz w:val="20"/>
          <w:szCs w:val="20"/>
          <w:color w:val="auto"/>
        </w:rPr>
      </w:pPr>
      <w:r>
        <w:rPr>
          <w:rFonts w:ascii="Arial" w:cs="Arial" w:eastAsia="Arial" w:hAnsi="Arial"/>
          <w:sz w:val="16"/>
          <w:szCs w:val="16"/>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149" w:lineRule="exact"/>
        <w:rPr>
          <w:sz w:val="20"/>
          <w:szCs w:val="20"/>
          <w:color w:val="auto"/>
        </w:rPr>
      </w:pPr>
    </w:p>
    <w:p>
      <w:pPr>
        <w:ind w:left="1400" w:hanging="550"/>
        <w:spacing w:after="0"/>
        <w:tabs>
          <w:tab w:leader="none" w:pos="1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Optional Redemption.</w:t>
      </w:r>
    </w:p>
    <w:p>
      <w:pPr>
        <w:spacing w:after="0" w:line="225" w:lineRule="exact"/>
        <w:rPr>
          <w:sz w:val="20"/>
          <w:szCs w:val="20"/>
          <w:color w:val="auto"/>
        </w:rPr>
      </w:pPr>
    </w:p>
    <w:p>
      <w:pPr>
        <w:jc w:val="both"/>
        <w:ind w:right="480" w:firstLine="648"/>
        <w:spacing w:after="0" w:line="311" w:lineRule="auto"/>
        <w:rPr>
          <w:sz w:val="20"/>
          <w:szCs w:val="20"/>
          <w:color w:val="auto"/>
        </w:rPr>
      </w:pPr>
      <w:r>
        <w:rPr>
          <w:rFonts w:ascii="Arial" w:cs="Arial" w:eastAsia="Arial" w:hAnsi="Arial"/>
          <w:sz w:val="16"/>
          <w:szCs w:val="16"/>
          <w:color w:val="auto"/>
        </w:rPr>
        <w:t>The Issuer will have the right at its option to redeem any of the Securities in whole or in part, at any time or from time to time prior to their maturity, on at least 15 days, but not more than 30 days, prior notice delivered electronically or mailed to the registered address of each Holder of the Securities, at the applicable Redemption Price. The Issuer will calculate the Redemption Price in connection with any redemption hereunder.</w:t>
      </w:r>
    </w:p>
    <w:p>
      <w:pPr>
        <w:spacing w:after="0" w:line="145"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Redemption Price</w:t>
      </w:r>
      <w:r>
        <w:rPr>
          <w:rFonts w:ascii="Arial" w:cs="Arial" w:eastAsia="Arial" w:hAnsi="Arial"/>
          <w:sz w:val="17"/>
          <w:szCs w:val="17"/>
          <w:color w:val="auto"/>
        </w:rPr>
        <w:t>” means (a) at any time prior to August 14, 2026 (one (1) month prior to the maturity of the Securities) (the “</w:t>
      </w:r>
      <w:r>
        <w:rPr>
          <w:rFonts w:ascii="Arial" w:cs="Arial" w:eastAsia="Arial" w:hAnsi="Arial"/>
          <w:sz w:val="17"/>
          <w:szCs w:val="17"/>
          <w:b w:val="1"/>
          <w:bCs w:val="1"/>
          <w:color w:val="auto"/>
        </w:rPr>
        <w:t>Par Call Date</w:t>
      </w:r>
      <w:r>
        <w:rPr>
          <w:rFonts w:ascii="Arial" w:cs="Arial" w:eastAsia="Arial" w:hAnsi="Arial"/>
          <w:sz w:val="17"/>
          <w:szCs w:val="17"/>
          <w:color w:val="auto"/>
        </w:rPr>
        <w:t>”), the greater of (i) 100% of the principal amount of such Securities and (ii) the sum of the present values of the principal amount of such Securities and the scheduled payments of interest thereon (exclusive of interest accrued to the date of redemption) from the redemption date to the Par Call Date, in each case discounted to the redemption date on an actual (ACTUAL/ACTUAL (ICMA)) basis at a rate equal to the applicable comparable government bond rate plus 10 basis points and (b) if the Securities are redeemed on or after the Par Call Date, 100% of the principal amount of such Securities; plus, in each case, accrued and unpaid interest thereon to the date of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318770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6" w:name="page17"/>
    <w:bookmarkEnd w:id="16"/>
    <w:p>
      <w:pPr>
        <w:ind w:right="20" w:firstLine="648"/>
        <w:spacing w:after="0" w:line="256"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comparable government bond</w:t>
      </w:r>
      <w:r>
        <w:rPr>
          <w:rFonts w:ascii="Arial" w:cs="Arial" w:eastAsia="Arial" w:hAnsi="Arial"/>
          <w:sz w:val="18"/>
          <w:szCs w:val="18"/>
          <w:color w:val="auto"/>
        </w:rPr>
        <w:t>” means in relation to any comparable government bond rate calculation, at the discretion of an independent investment banker selected by the Issuer, a German government bond whose maturity is closest to the maturity of the Securities to be redeemed (assuming for this purpose that the Securities matured on the Par Call Date), or if such independent investment banker in its discretion determines that such similar bond is not in issue, such other German government bond as such independent investment banker may, with the advice of three brokers of, and/or market makers in, German government bonds selected by us, determine to be appropriate for determining the comparable government bond rate.</w:t>
      </w:r>
    </w:p>
    <w:p>
      <w:pPr>
        <w:spacing w:after="0" w:line="187" w:lineRule="exact"/>
        <w:rPr>
          <w:sz w:val="20"/>
          <w:szCs w:val="20"/>
          <w:color w:val="auto"/>
        </w:rPr>
      </w:pPr>
    </w:p>
    <w:p>
      <w:pPr>
        <w:jc w:val="both"/>
        <w:ind w:right="260" w:firstLine="648"/>
        <w:spacing w:after="0" w:line="261"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comparable government bond rate</w:t>
      </w:r>
      <w:r>
        <w:rPr>
          <w:rFonts w:ascii="Arial" w:cs="Arial" w:eastAsia="Arial" w:hAnsi="Arial"/>
          <w:sz w:val="18"/>
          <w:szCs w:val="18"/>
          <w:color w:val="auto"/>
        </w:rPr>
        <w:t>” means the yield to maturity, expressed as a percentage (rounded to three decimal places, with 0.0005 being rounded upwards), on the third Business Day prior to the date fixed for redemption, of the applicable comparable government bond on the basis of the middle market price of such comparable government bond prevailing at 11:00 a.m. (London time) on such business day as determined by an independent investment banker selected by the Issuer.</w:t>
      </w:r>
    </w:p>
    <w:p>
      <w:pPr>
        <w:spacing w:after="0" w:line="180" w:lineRule="exact"/>
        <w:rPr>
          <w:sz w:val="20"/>
          <w:szCs w:val="20"/>
          <w:color w:val="auto"/>
        </w:rPr>
      </w:pPr>
    </w:p>
    <w:p>
      <w:pPr>
        <w:ind w:right="380" w:firstLine="648"/>
        <w:spacing w:after="0" w:line="266"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each of Barclays Bank PLC and Deutsche Bank AG, London Branch (or their respective successors), or if each such firm is unwilling or unable to select the comparable government bond, an independent investment banking institution of international standing appointed by the Issuer.</w:t>
      </w:r>
    </w:p>
    <w:p>
      <w:pPr>
        <w:spacing w:after="0" w:line="180" w:lineRule="exact"/>
        <w:rPr>
          <w:sz w:val="20"/>
          <w:szCs w:val="20"/>
          <w:color w:val="auto"/>
        </w:rPr>
      </w:pPr>
    </w:p>
    <w:p>
      <w:pPr>
        <w:ind w:left="1400" w:hanging="550"/>
        <w:spacing w:after="0"/>
        <w:tabs>
          <w:tab w:leader="none" w:pos="1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Redemption for Tax Reasons.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If, as a result of any change in, or amendment to, the laws (or any regulations or rulings promulgated under the laws) of the United States (or any taxing authority in the United States), or any change in, or amendment to, an official position regarding the application or interpretation of such laws, regulations or rulings, which change or amendment is announced or becomes effective on or after September 7, 2021, the Issuer becomes or, based upon a written opinion of independent counsel selected by us, will become obligated to pay additional amounts as described in Section 15 herein under the heading “Payment of Additional Amounts” with respect to the Securities, then the Issuer may, at any time at its option, redeem, in whole, but not in part, the Securities on not less than 15 nor more than 30 days’ prior notice, at a redemption price equal to 100% of their principal amount, together with accrued and unpaid interest on the Securities to, but not including, the date fixed for redemption.</w:t>
      </w:r>
    </w:p>
    <w:p>
      <w:pPr>
        <w:spacing w:after="0" w:line="177" w:lineRule="exact"/>
        <w:rPr>
          <w:sz w:val="20"/>
          <w:szCs w:val="20"/>
          <w:color w:val="auto"/>
        </w:rPr>
      </w:pPr>
    </w:p>
    <w:p>
      <w:pPr>
        <w:ind w:left="1400" w:hanging="550"/>
        <w:spacing w:after="0"/>
        <w:tabs>
          <w:tab w:leader="none" w:pos="1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Payment of Additional Amounts.</w:t>
      </w:r>
    </w:p>
    <w:p>
      <w:pPr>
        <w:spacing w:after="0" w:line="225"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The Issuer, will, subject to the exceptions and limitations set forth below, pay as additional interest on the Securities such additional amounts as are necessary in order that the net payment by the Issuer or its paying agent of the principal of and interest in respect of the Securities to a beneficial owner who is not a United States person (as defined below), after withholding or deduction for any present or future tax, assessment or other governmental charge (“</w:t>
      </w:r>
      <w:r>
        <w:rPr>
          <w:rFonts w:ascii="Arial" w:cs="Arial" w:eastAsia="Arial" w:hAnsi="Arial"/>
          <w:sz w:val="17"/>
          <w:szCs w:val="17"/>
          <w:b w:val="1"/>
          <w:bCs w:val="1"/>
          <w:color w:val="auto"/>
        </w:rPr>
        <w:t>Tax</w:t>
      </w:r>
      <w:r>
        <w:rPr>
          <w:rFonts w:ascii="Arial" w:cs="Arial" w:eastAsia="Arial" w:hAnsi="Arial"/>
          <w:sz w:val="17"/>
          <w:szCs w:val="17"/>
          <w:color w:val="auto"/>
        </w:rPr>
        <w:t>”) imposed by the United States or a taxing authority in the United States, will not be less than the amount provided in the Securities to be then due and payable; provided, however, that the foregoing obligation to pay additional amounts shall not apply:</w:t>
      </w:r>
    </w:p>
    <w:p>
      <w:pPr>
        <w:spacing w:after="0" w:line="176" w:lineRule="exact"/>
        <w:rPr>
          <w:sz w:val="20"/>
          <w:szCs w:val="20"/>
          <w:color w:val="auto"/>
        </w:rPr>
      </w:pPr>
    </w:p>
    <w:p>
      <w:pPr>
        <w:ind w:left="660" w:right="3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any Tax that is imposed by reason of the Holder (or the beneficial owner for whose benefit such Holder holds the Securities), or a fiduciary, settlor,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7" w:name="page18"/>
    <w:bookmarkEnd w:id="17"/>
    <w:p>
      <w:pPr>
        <w:ind w:left="328" w:right="100"/>
        <w:spacing w:after="0" w:line="308" w:lineRule="auto"/>
        <w:rPr>
          <w:sz w:val="20"/>
          <w:szCs w:val="20"/>
          <w:color w:val="auto"/>
        </w:rPr>
      </w:pPr>
      <w:r>
        <w:rPr>
          <w:rFonts w:ascii="Arial" w:cs="Arial" w:eastAsia="Arial" w:hAnsi="Arial"/>
          <w:sz w:val="17"/>
          <w:szCs w:val="17"/>
          <w:color w:val="auto"/>
        </w:rPr>
        <w:t>beneficiary, member or shareholder of the Holder or beneficial owner if the Holder or beneficial owner is an estate, trust, partnership, corporation or other entity, or a person holding a power over an estate or trust administered by a fiduciary Holder, being considered as:</w:t>
      </w:r>
    </w:p>
    <w:p>
      <w:pPr>
        <w:spacing w:after="0" w:line="146" w:lineRule="exact"/>
        <w:rPr>
          <w:sz w:val="20"/>
          <w:szCs w:val="20"/>
          <w:color w:val="auto"/>
        </w:rPr>
      </w:pPr>
    </w:p>
    <w:p>
      <w:pPr>
        <w:ind w:left="968" w:right="40" w:hanging="320"/>
        <w:spacing w:after="0" w:line="277" w:lineRule="auto"/>
        <w:tabs>
          <w:tab w:leader="none" w:pos="968" w:val="left"/>
        </w:tabs>
        <w:numPr>
          <w:ilvl w:val="1"/>
          <w:numId w:val="18"/>
        </w:numPr>
        <w:rPr>
          <w:rFonts w:ascii="Arial" w:cs="Arial" w:eastAsia="Arial" w:hAnsi="Arial"/>
          <w:sz w:val="18"/>
          <w:szCs w:val="18"/>
          <w:color w:val="auto"/>
        </w:rPr>
      </w:pPr>
      <w:r>
        <w:rPr>
          <w:rFonts w:ascii="Arial" w:cs="Arial" w:eastAsia="Arial" w:hAnsi="Arial"/>
          <w:sz w:val="18"/>
          <w:szCs w:val="18"/>
          <w:color w:val="auto"/>
        </w:rPr>
        <w:t>being or having been engaged in a trade or business in the United States or having or having had a permanent establishment in the United States;</w:t>
      </w:r>
    </w:p>
    <w:p>
      <w:pPr>
        <w:spacing w:after="0" w:line="170" w:lineRule="exact"/>
        <w:rPr>
          <w:rFonts w:ascii="Arial" w:cs="Arial" w:eastAsia="Arial" w:hAnsi="Arial"/>
          <w:sz w:val="18"/>
          <w:szCs w:val="18"/>
          <w:color w:val="auto"/>
        </w:rPr>
      </w:pPr>
    </w:p>
    <w:p>
      <w:pPr>
        <w:ind w:left="968" w:right="60" w:hanging="320"/>
        <w:spacing w:after="0" w:line="263" w:lineRule="auto"/>
        <w:tabs>
          <w:tab w:leader="none" w:pos="968" w:val="left"/>
        </w:tabs>
        <w:numPr>
          <w:ilvl w:val="1"/>
          <w:numId w:val="18"/>
        </w:numPr>
        <w:rPr>
          <w:rFonts w:ascii="Arial" w:cs="Arial" w:eastAsia="Arial" w:hAnsi="Arial"/>
          <w:sz w:val="18"/>
          <w:szCs w:val="18"/>
          <w:color w:val="auto"/>
        </w:rPr>
      </w:pPr>
      <w:r>
        <w:rPr>
          <w:rFonts w:ascii="Arial" w:cs="Arial" w:eastAsia="Arial" w:hAnsi="Arial"/>
          <w:sz w:val="18"/>
          <w:szCs w:val="18"/>
          <w:color w:val="auto"/>
        </w:rPr>
        <w:t>having a current or former connection with the United States (other than a connection arising solely as a result of the ownership of the Securities, the receipt of any payment or the enforcement of any rights hereunder), including being or having been a citizen or resident of the United States;</w:t>
      </w:r>
    </w:p>
    <w:p>
      <w:pPr>
        <w:spacing w:after="0" w:line="183" w:lineRule="exact"/>
        <w:rPr>
          <w:rFonts w:ascii="Arial" w:cs="Arial" w:eastAsia="Arial" w:hAnsi="Arial"/>
          <w:sz w:val="18"/>
          <w:szCs w:val="18"/>
          <w:color w:val="auto"/>
        </w:rPr>
      </w:pPr>
    </w:p>
    <w:p>
      <w:pPr>
        <w:jc w:val="both"/>
        <w:ind w:left="968" w:right="360" w:hanging="320"/>
        <w:spacing w:after="0" w:line="263" w:lineRule="auto"/>
        <w:tabs>
          <w:tab w:leader="none" w:pos="968" w:val="left"/>
        </w:tabs>
        <w:numPr>
          <w:ilvl w:val="1"/>
          <w:numId w:val="18"/>
        </w:numPr>
        <w:rPr>
          <w:rFonts w:ascii="Arial" w:cs="Arial" w:eastAsia="Arial" w:hAnsi="Arial"/>
          <w:sz w:val="18"/>
          <w:szCs w:val="18"/>
          <w:color w:val="auto"/>
        </w:rPr>
      </w:pPr>
      <w:r>
        <w:rPr>
          <w:rFonts w:ascii="Arial" w:cs="Arial" w:eastAsia="Arial" w:hAnsi="Arial"/>
          <w:sz w:val="18"/>
          <w:szCs w:val="18"/>
          <w:color w:val="auto"/>
        </w:rPr>
        <w:t>being or having been a personal holding company, a passive foreign investment company or a controlled foreign corporation for U.S. federal income tax purposes, a foreign-tax exempt organization, or a corporation that has accumulated earnings to avoid U.S. federal income tax;</w:t>
      </w:r>
    </w:p>
    <w:p>
      <w:pPr>
        <w:spacing w:after="0" w:line="179" w:lineRule="exact"/>
        <w:rPr>
          <w:rFonts w:ascii="Arial" w:cs="Arial" w:eastAsia="Arial" w:hAnsi="Arial"/>
          <w:sz w:val="18"/>
          <w:szCs w:val="18"/>
          <w:color w:val="auto"/>
        </w:rPr>
      </w:pPr>
    </w:p>
    <w:p>
      <w:pPr>
        <w:ind w:left="968" w:right="120" w:hanging="320"/>
        <w:spacing w:after="0" w:line="282" w:lineRule="auto"/>
        <w:tabs>
          <w:tab w:leader="none" w:pos="968" w:val="left"/>
        </w:tabs>
        <w:numPr>
          <w:ilvl w:val="1"/>
          <w:numId w:val="18"/>
        </w:numPr>
        <w:rPr>
          <w:rFonts w:ascii="Arial" w:cs="Arial" w:eastAsia="Arial" w:hAnsi="Arial"/>
          <w:sz w:val="18"/>
          <w:szCs w:val="18"/>
          <w:color w:val="auto"/>
        </w:rPr>
      </w:pPr>
      <w:r>
        <w:rPr>
          <w:rFonts w:ascii="Arial" w:cs="Arial" w:eastAsia="Arial" w:hAnsi="Arial"/>
          <w:sz w:val="18"/>
          <w:szCs w:val="18"/>
          <w:color w:val="auto"/>
        </w:rPr>
        <w:t>being or having been a “</w:t>
      </w:r>
      <w:r>
        <w:rPr>
          <w:rFonts w:ascii="Arial" w:cs="Arial" w:eastAsia="Arial" w:hAnsi="Arial"/>
          <w:sz w:val="18"/>
          <w:szCs w:val="18"/>
          <w:b w:val="1"/>
          <w:bCs w:val="1"/>
          <w:color w:val="auto"/>
        </w:rPr>
        <w:t>10-percent shareholder</w:t>
      </w:r>
      <w:r>
        <w:rPr>
          <w:rFonts w:ascii="Arial" w:cs="Arial" w:eastAsia="Arial" w:hAnsi="Arial"/>
          <w:sz w:val="18"/>
          <w:szCs w:val="18"/>
          <w:color w:val="auto"/>
        </w:rPr>
        <w:t>” of the Issuer or the applicable guarantor as defined in Section 871(h)(3) of the United States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or any successor provision; or</w:t>
      </w:r>
    </w:p>
    <w:p>
      <w:pPr>
        <w:spacing w:after="0" w:line="165" w:lineRule="exact"/>
        <w:rPr>
          <w:rFonts w:ascii="Arial" w:cs="Arial" w:eastAsia="Arial" w:hAnsi="Arial"/>
          <w:sz w:val="18"/>
          <w:szCs w:val="18"/>
          <w:color w:val="auto"/>
        </w:rPr>
      </w:pPr>
    </w:p>
    <w:p>
      <w:pPr>
        <w:ind w:left="968" w:right="260" w:hanging="320"/>
        <w:spacing w:after="0" w:line="277" w:lineRule="auto"/>
        <w:tabs>
          <w:tab w:leader="none" w:pos="968" w:val="left"/>
        </w:tabs>
        <w:numPr>
          <w:ilvl w:val="1"/>
          <w:numId w:val="18"/>
        </w:numPr>
        <w:rPr>
          <w:rFonts w:ascii="Arial" w:cs="Arial" w:eastAsia="Arial" w:hAnsi="Arial"/>
          <w:sz w:val="18"/>
          <w:szCs w:val="18"/>
          <w:color w:val="auto"/>
        </w:rPr>
      </w:pPr>
      <w:r>
        <w:rPr>
          <w:rFonts w:ascii="Arial" w:cs="Arial" w:eastAsia="Arial" w:hAnsi="Arial"/>
          <w:sz w:val="18"/>
          <w:szCs w:val="18"/>
          <w:color w:val="auto"/>
        </w:rPr>
        <w:t>being a bank receiving payments on an extension of credit made pursuant to a loan agreement entered into in the ordinary course of its trade or business, as described in Section 881(c)(3) of the Code or any successor provision;</w:t>
      </w:r>
    </w:p>
    <w:p>
      <w:pPr>
        <w:spacing w:after="0" w:line="170" w:lineRule="exact"/>
        <w:rPr>
          <w:rFonts w:ascii="Arial" w:cs="Arial" w:eastAsia="Arial" w:hAnsi="Arial"/>
          <w:sz w:val="18"/>
          <w:szCs w:val="18"/>
          <w:color w:val="auto"/>
        </w:rPr>
      </w:pPr>
    </w:p>
    <w:p>
      <w:pPr>
        <w:ind w:left="328" w:hanging="328"/>
        <w:spacing w:after="0" w:line="257" w:lineRule="auto"/>
        <w:tabs>
          <w:tab w:leader="none" w:pos="3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any Holder that is not the sole beneficial owner of the Securities, or a portion of the Securities, or that is a fiduciary, partnership, limited liability company or other fiscally transparent entity, but only to the extent that a beneficial owner with respect to the Holder, a beneficiary or settlor with respect to the fiduciary, or a beneficial owner or member of the partnership, limited liability company or other fiscally transparent entity, would not have been entitled to the payment of an additional amount had the beneficiary, settlor, beneficial owner or member received directly its beneficial or distributive share of the payment;</w:t>
      </w:r>
    </w:p>
    <w:p>
      <w:pPr>
        <w:spacing w:after="0" w:line="187" w:lineRule="exact"/>
        <w:rPr>
          <w:rFonts w:ascii="Arial" w:cs="Arial" w:eastAsia="Arial" w:hAnsi="Arial"/>
          <w:sz w:val="18"/>
          <w:szCs w:val="18"/>
          <w:color w:val="auto"/>
        </w:rPr>
      </w:pPr>
    </w:p>
    <w:p>
      <w:pPr>
        <w:ind w:left="328" w:right="40" w:hanging="328"/>
        <w:spacing w:after="0" w:line="301" w:lineRule="auto"/>
        <w:tabs>
          <w:tab w:leader="none" w:pos="328"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 the extent any Tax that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Securities, if compliance is required by statute, by regulation of the United States or any taxing authority therein or by an applicable income tax treaty to which the United States is a party as a precondition to exemption from such Tax, or reduction in such Tax;</w:t>
      </w:r>
    </w:p>
    <w:p>
      <w:pPr>
        <w:spacing w:after="0" w:line="157" w:lineRule="exact"/>
        <w:rPr>
          <w:rFonts w:ascii="Arial" w:cs="Arial" w:eastAsia="Arial" w:hAnsi="Arial"/>
          <w:sz w:val="16"/>
          <w:szCs w:val="16"/>
          <w:color w:val="auto"/>
        </w:rPr>
      </w:pPr>
    </w:p>
    <w:p>
      <w:pPr>
        <w:ind w:left="328" w:hanging="328"/>
        <w:spacing w:after="0"/>
        <w:tabs>
          <w:tab w:leader="none" w:pos="3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any Tax that is imposed otherwise than by withholding by the Issuer or a an applicable withholding agent from the payment;</w:t>
      </w:r>
    </w:p>
    <w:p>
      <w:pPr>
        <w:spacing w:after="0" w:line="225" w:lineRule="exact"/>
        <w:rPr>
          <w:rFonts w:ascii="Arial" w:cs="Arial" w:eastAsia="Arial" w:hAnsi="Arial"/>
          <w:sz w:val="18"/>
          <w:szCs w:val="18"/>
          <w:color w:val="auto"/>
        </w:rPr>
      </w:pPr>
    </w:p>
    <w:p>
      <w:pPr>
        <w:ind w:left="328" w:right="40" w:hanging="328"/>
        <w:spacing w:after="0" w:line="277" w:lineRule="auto"/>
        <w:tabs>
          <w:tab w:leader="none" w:pos="3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any Tax that would not have been imposed but for a change in law, regulation, or administrative or judicial interpretation that becomes effective more than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314325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544" w:right="33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color w:val="auto"/>
        </w:rPr>
        <w:t>days after the payment becomes due or is duly provided for, whichever occurs later;</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any estate, inheritance, gift, sales, excise, transfer, wealth, capital gains or personal property or similar Tax;</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any Tax required to be withheld by any paying agent from any payment of principal of or interest on any Security, if such payment can be made without such withholding by at least one other paying agent;</w:t>
      </w:r>
    </w:p>
    <w:p>
      <w:pPr>
        <w:spacing w:after="0" w:line="170" w:lineRule="exact"/>
        <w:rPr>
          <w:rFonts w:ascii="Arial" w:cs="Arial" w:eastAsia="Arial" w:hAnsi="Arial"/>
          <w:sz w:val="18"/>
          <w:szCs w:val="18"/>
          <w:color w:val="auto"/>
        </w:rPr>
      </w:pPr>
    </w:p>
    <w:p>
      <w:pPr>
        <w:ind w:left="660" w:right="6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the extent any Tax that would not have been imposed but for the presentation by the Holder of any Security, where presentation is required, for payment on a date more than 30 days after the date on which payment became due and payable or the date on which payment thereof is duly provided for, whichever occurs later;</w:t>
      </w:r>
    </w:p>
    <w:p>
      <w:pPr>
        <w:spacing w:after="0" w:line="183"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any Tax that is imposed or withheld solely by reason of the beneficial owner being a bank (i) purchasing the Securities in the ordinary course of its lending business or (ii) that is neither (A) buying the Securities for investment purposes only nor (B) buying the Securities for resale to a third party that either is not a bank or holding the Securities for investment purposes only;</w:t>
      </w:r>
    </w:p>
    <w:p>
      <w:pPr>
        <w:spacing w:after="0" w:line="183"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any Tax imposed under Sections 1471 through 1474 of the Code (or any amended or successor provisions),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whether currently in effect or as published and amended from time to time; or</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case of any combination of items (a)-(j) above.</w:t>
      </w:r>
    </w:p>
    <w:p>
      <w:pPr>
        <w:spacing w:after="0" w:line="221" w:lineRule="exact"/>
        <w:rPr>
          <w:sz w:val="20"/>
          <w:szCs w:val="20"/>
          <w:color w:val="auto"/>
        </w:rPr>
      </w:pPr>
    </w:p>
    <w:p>
      <w:pPr>
        <w:ind w:right="40" w:firstLine="648"/>
        <w:spacing w:after="0" w:line="314" w:lineRule="auto"/>
        <w:rPr>
          <w:sz w:val="20"/>
          <w:szCs w:val="20"/>
          <w:color w:val="auto"/>
        </w:rPr>
      </w:pPr>
      <w:r>
        <w:rPr>
          <w:rFonts w:ascii="Arial" w:cs="Arial" w:eastAsia="Arial" w:hAnsi="Arial"/>
          <w:sz w:val="16"/>
          <w:szCs w:val="16"/>
          <w:color w:val="auto"/>
        </w:rPr>
        <w:t>As used in this Section 15, “</w:t>
      </w:r>
      <w:r>
        <w:rPr>
          <w:rFonts w:ascii="Arial" w:cs="Arial" w:eastAsia="Arial" w:hAnsi="Arial"/>
          <w:sz w:val="16"/>
          <w:szCs w:val="16"/>
          <w:b w:val="1"/>
          <w:bCs w:val="1"/>
          <w:color w:val="auto"/>
        </w:rPr>
        <w:t>United States person</w:t>
      </w:r>
      <w:r>
        <w:rPr>
          <w:rFonts w:ascii="Arial" w:cs="Arial" w:eastAsia="Arial" w:hAnsi="Arial"/>
          <w:sz w:val="16"/>
          <w:szCs w:val="16"/>
          <w:color w:val="auto"/>
        </w:rPr>
        <w:t>” means any individual who is a citizen or resident of the United States for U.S. federal income tax purposes, a corporation, partnership or other entity created or organized in or under the laws of the United States, any state of the United States or the District of Columbia, or any estate or trust the income of which is subject to U.S. federal income taxation regardless of its source.</w:t>
      </w:r>
    </w:p>
    <w:p>
      <w:pPr>
        <w:spacing w:after="0" w:line="146" w:lineRule="exact"/>
        <w:rPr>
          <w:sz w:val="20"/>
          <w:szCs w:val="20"/>
          <w:color w:val="auto"/>
        </w:rPr>
      </w:pPr>
    </w:p>
    <w:p>
      <w:pPr>
        <w:ind w:left="1400" w:hanging="550"/>
        <w:spacing w:after="0"/>
        <w:tabs>
          <w:tab w:leader="none" w:pos="1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19" w:name="page20"/>
    <w:bookmarkEnd w:id="19"/>
    <w:p>
      <w:pPr>
        <w:jc w:val="both"/>
        <w:ind w:right="160"/>
        <w:spacing w:after="0" w:line="259" w:lineRule="auto"/>
        <w:rPr>
          <w:sz w:val="20"/>
          <w:szCs w:val="20"/>
          <w:color w:val="auto"/>
        </w:rPr>
      </w:pPr>
      <w:r>
        <w:rPr>
          <w:rFonts w:ascii="Arial" w:cs="Arial" w:eastAsia="Arial" w:hAnsi="Arial"/>
          <w:sz w:val="18"/>
          <w:szCs w:val="18"/>
          <w:color w:val="auto"/>
        </w:rPr>
        <w:t>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187" w:lineRule="exact"/>
        <w:rPr>
          <w:sz w:val="20"/>
          <w:szCs w:val="20"/>
          <w:color w:val="auto"/>
        </w:rPr>
      </w:pPr>
    </w:p>
    <w:p>
      <w:pPr>
        <w:ind w:left="1380" w:hanging="530"/>
        <w:spacing w:after="0"/>
        <w:tabs>
          <w:tab w:leader="none" w:pos="1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Trustee Dealings with Issuer.</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170" w:lineRule="exact"/>
        <w:rPr>
          <w:sz w:val="20"/>
          <w:szCs w:val="20"/>
          <w:color w:val="auto"/>
        </w:rPr>
      </w:pPr>
    </w:p>
    <w:p>
      <w:pPr>
        <w:ind w:left="1400" w:hanging="550"/>
        <w:spacing w:after="0"/>
        <w:tabs>
          <w:tab w:leader="none" w:pos="1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 Recourse Against Others.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187" w:lineRule="exact"/>
        <w:rPr>
          <w:sz w:val="20"/>
          <w:szCs w:val="20"/>
          <w:color w:val="auto"/>
        </w:rPr>
      </w:pPr>
    </w:p>
    <w:p>
      <w:pPr>
        <w:ind w:left="1380" w:hanging="530"/>
        <w:spacing w:after="0"/>
        <w:tabs>
          <w:tab w:leader="none" w:pos="1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225" w:lineRule="exact"/>
        <w:rPr>
          <w:sz w:val="20"/>
          <w:szCs w:val="20"/>
          <w:color w:val="auto"/>
        </w:rPr>
      </w:pPr>
    </w:p>
    <w:p>
      <w:pPr>
        <w:ind w:left="1380" w:hanging="530"/>
        <w:spacing w:after="0"/>
        <w:tabs>
          <w:tab w:leader="none" w:pos="1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Abbreviations and Defined Terms.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84" w:lineRule="exact"/>
        <w:rPr>
          <w:sz w:val="20"/>
          <w:szCs w:val="20"/>
          <w:color w:val="auto"/>
        </w:rPr>
      </w:pPr>
    </w:p>
    <w:p>
      <w:pPr>
        <w:ind w:left="1400" w:hanging="550"/>
        <w:spacing w:after="0"/>
        <w:tabs>
          <w:tab w:leader="none" w:pos="1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ISIN Numbers.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ISIN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184" w:lineRule="exact"/>
        <w:rPr>
          <w:sz w:val="20"/>
          <w:szCs w:val="20"/>
          <w:color w:val="auto"/>
        </w:rPr>
      </w:pPr>
    </w:p>
    <w:p>
      <w:pPr>
        <w:ind w:left="1400" w:hanging="550"/>
        <w:spacing w:after="0"/>
        <w:tabs>
          <w:tab w:leader="none" w:pos="1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Social Security or other identifying number of assignee or transferee)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and irrevocably appoint_________________________________________ agent to transfer this Security on the books of the Issuer. The agent may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substitute another to act for him.</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Dated: _______________________</w:t>
            </w:r>
          </w:p>
        </w:tc>
        <w:tc>
          <w:tcPr>
            <w:tcW w:w="5620" w:type="dxa"/>
            <w:vAlign w:val="bottom"/>
          </w:tcPr>
          <w:p>
            <w:pPr>
              <w:jc w:val="right"/>
              <w:ind w:right="2350"/>
              <w:spacing w:after="0"/>
              <w:rPr>
                <w:sz w:val="20"/>
                <w:szCs w:val="20"/>
                <w:color w:val="auto"/>
              </w:rPr>
            </w:pPr>
            <w:r>
              <w:rPr>
                <w:rFonts w:ascii="Arial" w:cs="Arial" w:eastAsia="Arial" w:hAnsi="Arial"/>
                <w:sz w:val="18"/>
                <w:szCs w:val="18"/>
                <w:color w:val="auto"/>
                <w:w w:val="89"/>
              </w:rPr>
              <w:t>Signed:_____________________________</w:t>
            </w:r>
          </w:p>
        </w:tc>
      </w:tr>
      <w:tr>
        <w:trPr>
          <w:trHeight w:val="216"/>
        </w:trPr>
        <w:tc>
          <w:tcPr>
            <w:tcW w:w="19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5620" w:type="dxa"/>
            <w:vAlign w:val="bottom"/>
          </w:tcPr>
          <w:p>
            <w:pPr>
              <w:jc w:val="right"/>
              <w:ind w:right="2570"/>
              <w:spacing w:after="0"/>
              <w:rPr>
                <w:sz w:val="20"/>
                <w:szCs w:val="20"/>
                <w:color w:val="auto"/>
              </w:rPr>
            </w:pPr>
            <w:r>
              <w:rPr>
                <w:rFonts w:ascii="Arial" w:cs="Arial" w:eastAsia="Arial" w:hAnsi="Arial"/>
                <w:sz w:val="18"/>
                <w:szCs w:val="18"/>
                <w:color w:val="auto"/>
              </w:rPr>
              <w:t>(Signed exactly as name appears</w:t>
            </w:r>
          </w:p>
        </w:tc>
      </w:tr>
      <w:tr>
        <w:trPr>
          <w:trHeight w:val="230"/>
        </w:trPr>
        <w:tc>
          <w:tcPr>
            <w:tcW w:w="19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5620" w:type="dxa"/>
            <w:vAlign w:val="bottom"/>
          </w:tcPr>
          <w:p>
            <w:pPr>
              <w:jc w:val="right"/>
              <w:ind w:right="2570"/>
              <w:spacing w:after="0"/>
              <w:rPr>
                <w:sz w:val="20"/>
                <w:szCs w:val="20"/>
                <w:color w:val="auto"/>
              </w:rPr>
            </w:pPr>
            <w:r>
              <w:rPr>
                <w:rFonts w:ascii="Arial" w:cs="Arial" w:eastAsia="Arial" w:hAnsi="Arial"/>
                <w:sz w:val="18"/>
                <w:szCs w:val="18"/>
                <w:color w:val="auto"/>
              </w:rPr>
              <w:t>on the other side of this Security)</w:t>
            </w:r>
          </w:p>
        </w:tc>
      </w:tr>
      <w:tr>
        <w:trPr>
          <w:trHeight w:val="688"/>
        </w:trPr>
        <w:tc>
          <w:tcPr>
            <w:tcW w:w="1900" w:type="dxa"/>
            <w:vAlign w:val="bottom"/>
          </w:tcPr>
          <w:p>
            <w:pPr>
              <w:spacing w:after="0"/>
              <w:rPr>
                <w:sz w:val="20"/>
                <w:szCs w:val="20"/>
                <w:color w:val="auto"/>
              </w:rPr>
            </w:pPr>
            <w:r>
              <w:rPr>
                <w:rFonts w:ascii="Arial" w:cs="Arial" w:eastAsia="Arial" w:hAnsi="Arial"/>
                <w:sz w:val="18"/>
                <w:szCs w:val="18"/>
                <w:color w:val="auto"/>
              </w:rPr>
              <w:t>Signature Guarantee:</w:t>
            </w:r>
          </w:p>
        </w:tc>
        <w:tc>
          <w:tcPr>
            <w:tcW w:w="9340" w:type="dxa"/>
            <w:vAlign w:val="bottom"/>
            <w:gridSpan w:val="2"/>
          </w:tcPr>
          <w:p>
            <w:pPr>
              <w:ind w:left="360"/>
              <w:spacing w:after="0"/>
              <w:rPr>
                <w:sz w:val="20"/>
                <w:szCs w:val="20"/>
                <w:color w:val="auto"/>
              </w:rPr>
            </w:pPr>
            <w:r>
              <w:rPr>
                <w:rFonts w:ascii="Arial" w:cs="Arial" w:eastAsia="Arial" w:hAnsi="Arial"/>
                <w:sz w:val="18"/>
                <w:szCs w:val="18"/>
                <w:color w:val="auto"/>
              </w:rPr>
              <w:t>_________________________________________</w:t>
            </w:r>
          </w:p>
        </w:tc>
      </w:tr>
      <w:tr>
        <w:trPr>
          <w:trHeight w:val="216"/>
        </w:trPr>
        <w:tc>
          <w:tcPr>
            <w:tcW w:w="1900" w:type="dxa"/>
            <w:vAlign w:val="bottom"/>
          </w:tcPr>
          <w:p>
            <w:pPr>
              <w:spacing w:after="0"/>
              <w:rPr>
                <w:sz w:val="18"/>
                <w:szCs w:val="18"/>
                <w:color w:val="auto"/>
              </w:rPr>
            </w:pPr>
          </w:p>
        </w:tc>
        <w:tc>
          <w:tcPr>
            <w:tcW w:w="9340" w:type="dxa"/>
            <w:vAlign w:val="bottom"/>
            <w:gridSpan w:val="2"/>
          </w:tcPr>
          <w:p>
            <w:pPr>
              <w:ind w:left="360"/>
              <w:spacing w:after="0"/>
              <w:rPr>
                <w:sz w:val="20"/>
                <w:szCs w:val="20"/>
                <w:color w:val="auto"/>
              </w:rPr>
            </w:pPr>
            <w:r>
              <w:rPr>
                <w:rFonts w:ascii="Arial" w:cs="Arial" w:eastAsia="Arial" w:hAnsi="Arial"/>
                <w:sz w:val="18"/>
                <w:szCs w:val="18"/>
                <w:color w:val="auto"/>
              </w:rPr>
              <w:t>Participant in a recognized Signature Guarantee</w:t>
            </w:r>
          </w:p>
        </w:tc>
      </w:tr>
      <w:tr>
        <w:trPr>
          <w:trHeight w:val="216"/>
        </w:trPr>
        <w:tc>
          <w:tcPr>
            <w:tcW w:w="1900" w:type="dxa"/>
            <w:vAlign w:val="bottom"/>
          </w:tcPr>
          <w:p>
            <w:pPr>
              <w:spacing w:after="0"/>
              <w:rPr>
                <w:sz w:val="18"/>
                <w:szCs w:val="18"/>
                <w:color w:val="auto"/>
              </w:rPr>
            </w:pPr>
          </w:p>
        </w:tc>
        <w:tc>
          <w:tcPr>
            <w:tcW w:w="9340" w:type="dxa"/>
            <w:vAlign w:val="bottom"/>
            <w:gridSpan w:val="2"/>
          </w:tcPr>
          <w:p>
            <w:pPr>
              <w:ind w:left="360"/>
              <w:spacing w:after="0"/>
              <w:rPr>
                <w:sz w:val="20"/>
                <w:szCs w:val="20"/>
                <w:color w:val="auto"/>
              </w:rPr>
            </w:pPr>
            <w:r>
              <w:rPr>
                <w:rFonts w:ascii="Arial" w:cs="Arial" w:eastAsia="Arial" w:hAnsi="Arial"/>
                <w:sz w:val="18"/>
                <w:szCs w:val="18"/>
                <w:color w:val="auto"/>
              </w:rPr>
              <w:t>Medallion Program (or other signature guarantor</w:t>
            </w:r>
          </w:p>
        </w:tc>
      </w:tr>
      <w:tr>
        <w:trPr>
          <w:trHeight w:val="230"/>
        </w:trPr>
        <w:tc>
          <w:tcPr>
            <w:tcW w:w="1900" w:type="dxa"/>
            <w:vAlign w:val="bottom"/>
          </w:tcPr>
          <w:p>
            <w:pPr>
              <w:spacing w:after="0"/>
              <w:rPr>
                <w:sz w:val="20"/>
                <w:szCs w:val="20"/>
                <w:color w:val="auto"/>
              </w:rPr>
            </w:pPr>
          </w:p>
        </w:tc>
        <w:tc>
          <w:tcPr>
            <w:tcW w:w="3720" w:type="dxa"/>
            <w:vAlign w:val="bottom"/>
          </w:tcPr>
          <w:p>
            <w:pPr>
              <w:ind w:left="360"/>
              <w:spacing w:after="0"/>
              <w:rPr>
                <w:sz w:val="20"/>
                <w:szCs w:val="20"/>
                <w:color w:val="auto"/>
              </w:rPr>
            </w:pPr>
            <w:r>
              <w:rPr>
                <w:rFonts w:ascii="Arial" w:cs="Arial" w:eastAsia="Arial" w:hAnsi="Arial"/>
                <w:sz w:val="18"/>
                <w:szCs w:val="18"/>
                <w:color w:val="auto"/>
                <w:w w:val="89"/>
              </w:rPr>
              <w:t>program reasonably acceptable to the Trustee)</w:t>
            </w:r>
          </w:p>
        </w:tc>
        <w:tc>
          <w:tcPr>
            <w:tcW w:w="5620" w:type="dxa"/>
            <w:vAlign w:val="bottom"/>
          </w:tcPr>
          <w:p>
            <w:pPr>
              <w:spacing w:after="0"/>
              <w:rPr>
                <w:sz w:val="20"/>
                <w:szCs w:val="20"/>
                <w:color w:val="auto"/>
              </w:rPr>
            </w:pPr>
          </w:p>
        </w:tc>
      </w:tr>
      <w:tr>
        <w:trPr>
          <w:trHeight w:val="311"/>
        </w:trPr>
        <w:tc>
          <w:tcPr>
            <w:tcW w:w="19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4"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B</w:t>
      </w:r>
    </w:p>
    <w:p>
      <w:pPr>
        <w:spacing w:after="0" w:line="200" w:lineRule="exact"/>
        <w:rPr>
          <w:sz w:val="20"/>
          <w:szCs w:val="20"/>
          <w:color w:val="auto"/>
        </w:rPr>
      </w:pPr>
    </w:p>
    <w:p>
      <w:pPr>
        <w:spacing w:after="0" w:line="24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THIS SECURITY IS A GLOBAL SECURITY WITHIN THE MEANING OF THE INDENTURE HEREINAFTER REFERRED TO AND IS REGISTERED IN THE NAME OF A COMMON DEPOSITARY OR A NOMINEE THEREOF. THIS SECURITY MAY NOT BE TRANSFERRED TO, OR REGISTERED OR EXCHANGED IN WHOLE OR IN PART FOR A SECURITY REGISTERED IN THE NAME OF, ANY PERSON OTHER THAN SUCH DEPOSITARY OR A NOMINEE THEREOF, AND NO SUCH TRANSFER MAY BE REGISTERED, EXCEPT IN THE LIMITED CIRCUMSTANCES DESCRIBED IN THE INDENTURE. EVERY SECURITY AUTHENTICATED AND DELIVERED UPON REGISTRATION OF TRANSFER OF, OR IN EXCHANGE FOR OR IN LIEU OF, THIS SECURITY SHALL BE A GLOBAL SECURITY SUBJECT TO THE FOREGOING, EXCEPT IN SUCH LIMITED CIRCUMSTANCES.</w:t>
      </w:r>
    </w:p>
    <w:p>
      <w:pPr>
        <w:spacing w:after="0" w:line="19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UNLESS THIS SECURITY IS PRESENTED BY AN AUTHORIZED REPRESENTATIVE OF THE BANK OF NEW YORK DEPOSITORY (NOMINEES) LIMITED, AS NOMINEE OF THE BANK OF NEW YORK MELLON, LONDON BRANCH, AS COMMON DEPOSITARY FOR EUROCLEAR BANK, S.A./N.V., AS OPERATOR OF THE EUROCLEAR SYSTEM (“EUROCLEAR”) AND CLEARSTREAM BANKING, SOCIÉTÉ ANONYME, LUXEMBOURG (“CLEARSTREAM, LUXEMBOURG” AND, TOGETHER WITH EUROCLEAR, “EUROCLEAR/CLEARSTREAM”), TO THE ISSUER OR ITS AGENT FOR REGISTRATION OF TRANSFER, EXCHANGE OR PAYMENT, AND ANY SECURITY ISSUED IS REGISTERED IN THE NAME OF THE BANK OF NEW YORK DEPOSITORY (NOMINEES) LIMITED OR IN SUCH OTHER NAME AS IS REQUESTED BY AN AUTHORIZED REPRESENTATIVE OF THE BANK OF NEW YORK MELLON, LONDON BRANCH, AS COMMON DEPOSITARY FOR EUROCLEAR/CLEARSTREAM (AND ANY PAYMENT IS MADE TO THE BANK OF NEW YORK DEPOSITORY (NOMINEES) LIMITED OR TO SUCH OTHER ENTITY AS IS REQUESTED BY AN AUTHORIZED REPRESENTATIVE OF THE BANK OF NEW YORK MELLON, LONDON BRANCH, AS COMMON DEPOSITARY FOR EUROCLEAR/CLEARSTREAM), ANY TRANSFER, PLEDGE OR OTHER USE HEREOF FOR VALUE OR OTHERWISE BY OR TO ANY PERSON IS WRONGFUL IN AS MUCH AS THE REGISTERED OWNER HEREOF, THE BANK OF NEW YORK MELLON, LONDON BRANCH, HAS AN INTEREST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0.250% Notes due 2029</w:t>
      </w:r>
    </w:p>
    <w:p>
      <w:pPr>
        <w:sectPr>
          <w:pgSz w:w="11900" w:h="16838" w:orient="portrait"/>
          <w:cols w:equalWidth="0" w:num="1">
            <w:col w:w="11240"/>
          </w:cols>
          <w:pgMar w:left="320" w:top="540" w:right="3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No. 1</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ISIN No.: XS2385398206</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€500,000,000</w:t>
      </w:r>
    </w:p>
    <w:p>
      <w:pPr>
        <w:spacing w:after="0" w:line="200" w:lineRule="exact"/>
        <w:rPr>
          <w:sz w:val="20"/>
          <w:szCs w:val="20"/>
          <w:color w:val="auto"/>
        </w:rPr>
      </w:pPr>
    </w:p>
    <w:p>
      <w:pPr>
        <w:sectPr>
          <w:pgSz w:w="11900" w:h="16838" w:orient="portrait"/>
          <w:cols w:equalWidth="0" w:num="2">
            <w:col w:w="8640" w:space="720"/>
            <w:col w:w="1880"/>
          </w:cols>
          <w:pgMar w:left="320" w:top="540" w:right="339" w:bottom="1440" w:gutter="0" w:footer="0" w:header="0"/>
          <w:type w:val="continuous"/>
        </w:sectPr>
      </w:pPr>
    </w:p>
    <w:p>
      <w:pPr>
        <w:spacing w:after="0" w:line="7"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xml:space="preserve">”, which term includes any successor corporation), for value received promises to pay to The Bank of New York Depository (Nominees) Limited, as nominee of The Bank of New York Mellon, London Branch, as common depositary for Euroclear Bank S.A./N.V. and Clearstream Banking, </w:t>
      </w:r>
      <w:r>
        <w:rPr>
          <w:rFonts w:ascii="Arial" w:cs="Arial" w:eastAsia="Arial" w:hAnsi="Arial"/>
          <w:sz w:val="18"/>
          <w:szCs w:val="18"/>
          <w:i w:val="1"/>
          <w:iCs w:val="1"/>
          <w:color w:val="auto"/>
        </w:rPr>
        <w:t>société anonyme</w:t>
      </w:r>
      <w:r>
        <w:rPr>
          <w:rFonts w:ascii="Arial" w:cs="Arial" w:eastAsia="Arial" w:hAnsi="Arial"/>
          <w:sz w:val="18"/>
          <w:szCs w:val="18"/>
          <w:color w:val="auto"/>
        </w:rPr>
        <w:t>, Luxembourg, or registered assigns, the principal sum of €500,000,000 (Five Hundred Million Euros) on September 14, 2029.</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Payment Date: September 14 (the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September 14, 2022.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Record Date: August 30 (the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type w:val="continuous"/>
        </w:sectPr>
      </w:pPr>
    </w:p>
    <w:bookmarkStart w:id="23" w:name="page24"/>
    <w:bookmarkEnd w:id="23"/>
    <w:p>
      <w:pPr>
        <w:ind w:firstLine="648"/>
        <w:spacing w:after="0" w:line="277" w:lineRule="auto"/>
        <w:rPr>
          <w:sz w:val="20"/>
          <w:szCs w:val="20"/>
          <w:color w:val="auto"/>
        </w:rPr>
      </w:pPr>
      <w:r>
        <w:rPr>
          <w:rFonts w:ascii="Arial" w:cs="Arial" w:eastAsia="Arial" w:hAnsi="Arial"/>
          <w:sz w:val="18"/>
          <w:szCs w:val="18"/>
          <w:color w:val="auto"/>
        </w:rPr>
        <w:t>IN WITNESS WHEREOF, the Issuer has caused this Security to be signed manually or by facsimile by its duly authorized officer under its corporate seal.</w:t>
      </w:r>
    </w:p>
    <w:p>
      <w:pPr>
        <w:spacing w:after="0" w:line="382"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Jason S. Armstrong</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Treasurer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Elizabeth Wideman</w:t>
      </w:r>
    </w:p>
    <w:p>
      <w:pPr>
        <w:spacing w:after="0" w:line="23"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Senior Deputy General Counsel and</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80"/>
          </w:cols>
          <w:pgMar w:left="320" w:top="544" w:right="899" w:bottom="1440" w:gutter="0" w:footer="0" w:header="0"/>
        </w:sectPr>
      </w:pPr>
    </w:p>
    <w:bookmarkStart w:id="24" w:name="page25"/>
    <w:bookmarkEnd w:id="24"/>
    <w:p>
      <w:pPr>
        <w:ind w:left="660"/>
        <w:spacing w:after="0"/>
        <w:rPr>
          <w:sz w:val="20"/>
          <w:szCs w:val="20"/>
          <w:color w:val="auto"/>
        </w:rPr>
      </w:pPr>
      <w:r>
        <w:rPr>
          <w:rFonts w:ascii="Arial" w:cs="Arial" w:eastAsia="Arial" w:hAnsi="Arial"/>
          <w:sz w:val="18"/>
          <w:szCs w:val="18"/>
          <w:color w:val="auto"/>
        </w:rPr>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14, 2021</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Trustee</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544" w:right="1440" w:bottom="1440" w:gutter="0" w:footer="0" w:header="0"/>
        </w:sectPr>
      </w:pPr>
    </w:p>
    <w:bookmarkStart w:id="25" w:name="page26"/>
    <w:bookmarkEnd w:id="25"/>
    <w:p>
      <w:pPr>
        <w:jc w:val="center"/>
        <w:ind w:right="-59"/>
        <w:spacing w:after="0"/>
        <w:rPr>
          <w:sz w:val="20"/>
          <w:szCs w:val="20"/>
          <w:color w:val="auto"/>
        </w:rPr>
      </w:pPr>
      <w:r>
        <w:rPr>
          <w:rFonts w:ascii="Arial" w:cs="Arial" w:eastAsia="Arial" w:hAnsi="Arial"/>
          <w:sz w:val="18"/>
          <w:szCs w:val="18"/>
          <w:color w:val="auto"/>
        </w:rPr>
        <w:t>(REVERSE OF SECURITY)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0.250% Notes due 2029</w:t>
      </w:r>
    </w:p>
    <w:p>
      <w:pPr>
        <w:spacing w:after="0" w:line="225" w:lineRule="exact"/>
        <w:rPr>
          <w:sz w:val="20"/>
          <w:szCs w:val="20"/>
          <w:color w:val="auto"/>
        </w:rPr>
      </w:pPr>
    </w:p>
    <w:p>
      <w:pPr>
        <w:ind w:left="1300" w:hanging="450"/>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Interest.</w:t>
      </w:r>
    </w:p>
    <w:p>
      <w:pPr>
        <w:spacing w:after="0" w:line="221" w:lineRule="exact"/>
        <w:rPr>
          <w:sz w:val="20"/>
          <w:szCs w:val="20"/>
          <w:color w:val="auto"/>
        </w:rPr>
      </w:pPr>
    </w:p>
    <w:p>
      <w:pPr>
        <w:ind w:firstLine="648"/>
        <w:spacing w:after="0" w:line="314" w:lineRule="auto"/>
        <w:rPr>
          <w:sz w:val="20"/>
          <w:szCs w:val="20"/>
          <w:color w:val="auto"/>
        </w:rPr>
      </w:pPr>
      <w:r>
        <w:rPr>
          <w:rFonts w:ascii="Arial" w:cs="Arial" w:eastAsia="Arial" w:hAnsi="Arial"/>
          <w:sz w:val="16"/>
          <w:szCs w:val="16"/>
          <w:color w:val="auto"/>
        </w:rPr>
        <w:t>COMCAST CORPORATION, a Pennsylvania corporation (the “</w:t>
      </w:r>
      <w:r>
        <w:rPr>
          <w:rFonts w:ascii="Arial" w:cs="Arial" w:eastAsia="Arial" w:hAnsi="Arial"/>
          <w:sz w:val="16"/>
          <w:szCs w:val="16"/>
          <w:b w:val="1"/>
          <w:bCs w:val="1"/>
          <w:color w:val="auto"/>
        </w:rPr>
        <w:t>Issuer</w:t>
      </w:r>
      <w:r>
        <w:rPr>
          <w:rFonts w:ascii="Arial" w:cs="Arial" w:eastAsia="Arial" w:hAnsi="Arial"/>
          <w:sz w:val="16"/>
          <w:szCs w:val="16"/>
          <w:color w:val="auto"/>
        </w:rPr>
        <w:t>”), promises to pay interest on the principal amount of this Security at the rate per annum shown above. Cash interest on the Securities will accrue from the most recent date to which interest has been paid or, if no interest has been paid, from September 14, 2021. The Issuer will pay interest annually in arrears on the Interest Payment Date, commencing September 14, 2022.</w:t>
      </w:r>
    </w:p>
    <w:p>
      <w:pPr>
        <w:spacing w:after="0" w:line="14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Interest on the Securities will be computed on the basis of the actual number of days in the period for which interest is being calculated and the actual number of days from and including the last date to which interest was paid on the Securities (or September 14, 2021 if no interest has been paid on the Securities), to but excluding the next scheduled Interest Payment Date. This payment convention is referred to as ACTUAL/ACTUAL (ICMA) as defined in the rulebook of the International Capital Market Association.</w:t>
      </w:r>
    </w:p>
    <w:p>
      <w:pPr>
        <w:spacing w:after="0" w:line="187"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If any Interest Payment Date, maturity date or redemption date falls on a day that is not a Business Day, the payment will be made on the next Business Day with the same force and effect as if made on the relevant Interest Payment Date, maturity date or redemption date, and no interest will accrue in respect of the delay.</w:t>
      </w:r>
    </w:p>
    <w:p>
      <w:pPr>
        <w:spacing w:after="0" w:line="180"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or Sunday (i) which is not a day on which banking institutions in The City of New York or London are authorized or obligated by law, regulation or executive order to close and (ii) on which the Trans-European Automated Real-Time Gross Settlement Express Transfer System (the TARGET2 system) or any successor thereto is open.</w:t>
      </w:r>
    </w:p>
    <w:p>
      <w:pPr>
        <w:spacing w:after="0" w:line="18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170" w:lineRule="exact"/>
        <w:rPr>
          <w:sz w:val="20"/>
          <w:szCs w:val="20"/>
          <w:color w:val="auto"/>
        </w:rPr>
      </w:pPr>
    </w:p>
    <w:p>
      <w:pPr>
        <w:ind w:left="1300" w:hanging="45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Issuance in Euro.</w:t>
      </w:r>
    </w:p>
    <w:p>
      <w:pPr>
        <w:spacing w:after="0" w:line="225" w:lineRule="exact"/>
        <w:rPr>
          <w:sz w:val="20"/>
          <w:szCs w:val="20"/>
          <w:color w:val="auto"/>
        </w:rPr>
      </w:pPr>
    </w:p>
    <w:p>
      <w:pPr>
        <w:jc w:val="both"/>
        <w:ind w:right="60" w:firstLine="648"/>
        <w:spacing w:after="0" w:line="275" w:lineRule="auto"/>
        <w:rPr>
          <w:sz w:val="20"/>
          <w:szCs w:val="20"/>
          <w:color w:val="auto"/>
        </w:rPr>
      </w:pPr>
      <w:r>
        <w:rPr>
          <w:rFonts w:ascii="Arial" w:cs="Arial" w:eastAsia="Arial" w:hAnsi="Arial"/>
          <w:sz w:val="17"/>
          <w:szCs w:val="17"/>
          <w:color w:val="auto"/>
        </w:rPr>
        <w:t>Principal, premium, if any, and interest payments will be payable in Euro. If Euro is unavailable to the Issuer due to the imposition of exchange controls or other circumstances beyond the Issuer’s control, then all payments will be made in U.S. dollars until Euro is again available to the Issuer. The amount payable on any date in Euro will be converted into U.S. dollars at the Market Exchange Rate (as defined below) or, if such Market Exchange Rate is not then available, on the basis of the most recently available market exchange rate for Euro. Any payment so made in U.S. dollars will not constitute an event of default under the Indenture. Neither the Trustee nor the Paying Agent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318135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responsible for obtaining exchange rates, effecting currency conversions or otherwise handling re-denominations.</w:t>
      </w:r>
    </w:p>
    <w:p>
      <w:pPr>
        <w:spacing w:after="0" w:line="221"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Market Exchange Rate</w:t>
      </w:r>
      <w:r>
        <w:rPr>
          <w:rFonts w:ascii="Arial" w:cs="Arial" w:eastAsia="Arial" w:hAnsi="Arial"/>
          <w:sz w:val="18"/>
          <w:szCs w:val="18"/>
          <w:color w:val="auto"/>
        </w:rPr>
        <w:t>” means the noon buying rate in The City of New York for cable transfers of Euro as certified for customs purposes (or, if not so certified, as otherwise determined) by the Federal Reserve Bank of New York.</w:t>
      </w:r>
    </w:p>
    <w:p>
      <w:pPr>
        <w:spacing w:after="0" w:line="166" w:lineRule="exact"/>
        <w:rPr>
          <w:sz w:val="20"/>
          <w:szCs w:val="20"/>
          <w:color w:val="auto"/>
        </w:rPr>
      </w:pPr>
    </w:p>
    <w:p>
      <w:pPr>
        <w:ind w:left="1300" w:hanging="450"/>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8"/>
          <w:szCs w:val="18"/>
          <w:b w:val="1"/>
          <w:bCs w:val="1"/>
          <w:color w:val="auto"/>
        </w:rPr>
        <w:t>Trustee</w:t>
      </w:r>
      <w:r>
        <w:rPr>
          <w:rFonts w:ascii="Arial" w:cs="Arial" w:eastAsia="Arial" w:hAnsi="Arial"/>
          <w:sz w:val="18"/>
          <w:szCs w:val="18"/>
          <w:color w:val="auto"/>
        </w:rPr>
        <w:t>”) to collect principal payments.</w:t>
      </w:r>
    </w:p>
    <w:p>
      <w:pPr>
        <w:spacing w:after="0" w:line="18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payments of interest, and any portion of the principal (other than interest payable at maturity or on any redemption or repayment date or the final payment of principal) shall be made by the Paying Agent, upon receipt from the Issuer of immediately available funds by 10:00 a.m., London time one Business Day prior to the payment due date (or such other time as may be agreed to between the Issuer and the Paying Agent), directly to a Holder (by Federal funds wire transfer or otherwise) if the Holder has delivered written instructions to the Paying Agent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195" w:lineRule="exact"/>
        <w:rPr>
          <w:sz w:val="20"/>
          <w:szCs w:val="20"/>
          <w:color w:val="auto"/>
        </w:rPr>
      </w:pPr>
    </w:p>
    <w:p>
      <w:pPr>
        <w:ind w:left="1300" w:hanging="45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Initially, The Bank of New York Mellon, London Branch will act as Paying Agent. The Issuer may change any Paying Agent without notice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27" w:name="page28"/>
    <w:bookmarkEnd w:id="27"/>
    <w:p>
      <w:pPr>
        <w:ind w:left="1300" w:hanging="450"/>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Indenture.</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Issuer issued the Securities under an Indenture dated as of September 18, 2013, by and among the Issuer, the guarantors named therein and the Trustee, as amended by the First Supplemental Indenture dated as of November 17, 2015, by and among the Issuer, the guarantors named therein (the “</w:t>
      </w:r>
      <w:r>
        <w:rPr>
          <w:rFonts w:ascii="Arial" w:cs="Arial" w:eastAsia="Arial" w:hAnsi="Arial"/>
          <w:sz w:val="16"/>
          <w:szCs w:val="16"/>
          <w:b w:val="1"/>
          <w:bCs w:val="1"/>
          <w:color w:val="auto"/>
        </w:rPr>
        <w:t>Guarantors</w:t>
      </w:r>
      <w:r>
        <w:rPr>
          <w:rFonts w:ascii="Arial" w:cs="Arial" w:eastAsia="Arial" w:hAnsi="Arial"/>
          <w:sz w:val="16"/>
          <w:szCs w:val="16"/>
          <w:color w:val="auto"/>
        </w:rPr>
        <w:t>”) and the Trustee (as amended, the “</w:t>
      </w:r>
      <w:r>
        <w:rPr>
          <w:rFonts w:ascii="Arial" w:cs="Arial" w:eastAsia="Arial" w:hAnsi="Arial"/>
          <w:sz w:val="16"/>
          <w:szCs w:val="16"/>
          <w:b w:val="1"/>
          <w:bCs w:val="1"/>
          <w:color w:val="auto"/>
        </w:rPr>
        <w:t>Indenture</w:t>
      </w:r>
      <w:r>
        <w:rPr>
          <w:rFonts w:ascii="Arial" w:cs="Arial" w:eastAsia="Arial" w:hAnsi="Arial"/>
          <w:sz w:val="16"/>
          <w:szCs w:val="16"/>
          <w:color w:val="auto"/>
        </w:rPr>
        <w:t>”). Capitalized terms herein are used as defined in the Indenture unless otherwise defined herein. The terms of the Securities include those stated in the Indenture and those made part of the Indenture by reference to the Trust Indenture Act of</w:t>
      </w:r>
    </w:p>
    <w:p>
      <w:pPr>
        <w:spacing w:after="0" w:line="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1939 (15 U.S.C. Sections 77aaa-77bbbb) (the “</w:t>
      </w:r>
      <w:r>
        <w:rPr>
          <w:rFonts w:ascii="Arial" w:cs="Arial" w:eastAsia="Arial" w:hAnsi="Arial"/>
          <w:sz w:val="18"/>
          <w:szCs w:val="18"/>
          <w:b w:val="1"/>
          <w:bCs w:val="1"/>
          <w:color w:val="auto"/>
        </w:rPr>
        <w:t>TIA</w:t>
      </w:r>
      <w:r>
        <w:rPr>
          <w:rFonts w:ascii="Arial" w:cs="Arial" w:eastAsia="Arial" w:hAnsi="Arial"/>
          <w:sz w:val="18"/>
          <w:szCs w:val="18"/>
          <w:color w:val="auto"/>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 This note is a “</w:t>
      </w:r>
      <w:r>
        <w:rPr>
          <w:rFonts w:ascii="Arial" w:cs="Arial" w:eastAsia="Arial" w:hAnsi="Arial"/>
          <w:sz w:val="18"/>
          <w:szCs w:val="18"/>
          <w:b w:val="1"/>
          <w:bCs w:val="1"/>
          <w:color w:val="auto"/>
        </w:rPr>
        <w:t>Security</w:t>
      </w:r>
      <w:r>
        <w:rPr>
          <w:rFonts w:ascii="Arial" w:cs="Arial" w:eastAsia="Arial" w:hAnsi="Arial"/>
          <w:sz w:val="18"/>
          <w:szCs w:val="18"/>
          <w:color w:val="auto"/>
        </w:rPr>
        <w:t>” and the notes are “</w:t>
      </w:r>
      <w:r>
        <w:rPr>
          <w:rFonts w:ascii="Arial" w:cs="Arial" w:eastAsia="Arial" w:hAnsi="Arial"/>
          <w:sz w:val="18"/>
          <w:szCs w:val="18"/>
          <w:b w:val="1"/>
          <w:bCs w:val="1"/>
          <w:color w:val="auto"/>
        </w:rPr>
        <w:t>Securities</w:t>
      </w:r>
      <w:r>
        <w:rPr>
          <w:rFonts w:ascii="Arial" w:cs="Arial" w:eastAsia="Arial" w:hAnsi="Arial"/>
          <w:sz w:val="18"/>
          <w:szCs w:val="18"/>
          <w:color w:val="auto"/>
        </w:rPr>
        <w:t>” under the Indenture.</w:t>
      </w:r>
    </w:p>
    <w:p>
      <w:pPr>
        <w:spacing w:after="0" w:line="191" w:lineRule="exact"/>
        <w:rPr>
          <w:sz w:val="20"/>
          <w:szCs w:val="20"/>
          <w:color w:val="auto"/>
        </w:rPr>
      </w:pPr>
    </w:p>
    <w:p>
      <w:pPr>
        <w:ind w:left="1300" w:hanging="450"/>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Guarantees.</w:t>
      </w:r>
    </w:p>
    <w:p>
      <w:pPr>
        <w:spacing w:after="0" w:line="225" w:lineRule="exact"/>
        <w:rPr>
          <w:sz w:val="20"/>
          <w:szCs w:val="20"/>
          <w:color w:val="auto"/>
        </w:rPr>
      </w:pPr>
    </w:p>
    <w:p>
      <w:pPr>
        <w:jc w:val="both"/>
        <w:ind w:right="40" w:firstLine="648"/>
        <w:spacing w:after="0" w:line="311" w:lineRule="auto"/>
        <w:rPr>
          <w:sz w:val="20"/>
          <w:szCs w:val="20"/>
          <w:color w:val="auto"/>
        </w:rPr>
      </w:pPr>
      <w:r>
        <w:rPr>
          <w:rFonts w:ascii="Arial" w:cs="Arial" w:eastAsia="Arial" w:hAnsi="Arial"/>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149" w:lineRule="exact"/>
        <w:rPr>
          <w:sz w:val="20"/>
          <w:szCs w:val="20"/>
          <w:color w:val="auto"/>
        </w:rPr>
      </w:pPr>
    </w:p>
    <w:p>
      <w:pPr>
        <w:ind w:left="1300" w:hanging="450"/>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22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Securities are in registered form, without coupons, in denominations of €100,000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giving of a notice of redemption, nor need the Issuer register the transfer or exchange any security selected for redemption in whole or in part.</w:t>
      </w:r>
    </w:p>
    <w:p>
      <w:pPr>
        <w:spacing w:after="0" w:line="161" w:lineRule="exact"/>
        <w:rPr>
          <w:sz w:val="20"/>
          <w:szCs w:val="20"/>
          <w:color w:val="auto"/>
        </w:rPr>
      </w:pPr>
    </w:p>
    <w:p>
      <w:pPr>
        <w:ind w:left="1300" w:hanging="450"/>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225" w:lineRule="exact"/>
        <w:rPr>
          <w:sz w:val="20"/>
          <w:szCs w:val="20"/>
          <w:color w:val="auto"/>
        </w:rPr>
      </w:pPr>
    </w:p>
    <w:p>
      <w:pPr>
        <w:ind w:left="1300" w:hanging="450"/>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225"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8" w:name="page29"/>
    <w:bookmarkEnd w:id="28"/>
    <w:p>
      <w:pPr>
        <w:ind w:left="1400" w:hanging="550"/>
        <w:spacing w:after="0"/>
        <w:tabs>
          <w:tab w:leader="none" w:pos="14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Legal Defeasance and Covenant Defeasance.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165" w:lineRule="exact"/>
        <w:rPr>
          <w:sz w:val="20"/>
          <w:szCs w:val="20"/>
          <w:color w:val="auto"/>
        </w:rPr>
      </w:pPr>
    </w:p>
    <w:p>
      <w:pPr>
        <w:ind w:left="1380" w:hanging="530"/>
        <w:spacing w:after="0"/>
        <w:tabs>
          <w:tab w:leader="none" w:pos="1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177" w:lineRule="exact"/>
        <w:rPr>
          <w:sz w:val="20"/>
          <w:szCs w:val="20"/>
          <w:color w:val="auto"/>
        </w:rPr>
      </w:pPr>
    </w:p>
    <w:p>
      <w:pPr>
        <w:ind w:left="1400" w:hanging="550"/>
        <w:spacing w:after="0"/>
        <w:tabs>
          <w:tab w:leader="none" w:pos="14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Restrictive Covenants.</w:t>
      </w:r>
    </w:p>
    <w:p>
      <w:pPr>
        <w:spacing w:after="0" w:line="225" w:lineRule="exact"/>
        <w:rPr>
          <w:sz w:val="20"/>
          <w:szCs w:val="20"/>
          <w:color w:val="auto"/>
        </w:rPr>
      </w:pPr>
    </w:p>
    <w:p>
      <w:pPr>
        <w:ind w:right="480" w:firstLine="648"/>
        <w:spacing w:after="0" w:line="311" w:lineRule="auto"/>
        <w:rPr>
          <w:sz w:val="20"/>
          <w:szCs w:val="20"/>
          <w:color w:val="auto"/>
        </w:rPr>
      </w:pPr>
      <w:r>
        <w:rPr>
          <w:rFonts w:ascii="Arial" w:cs="Arial" w:eastAsia="Arial" w:hAnsi="Arial"/>
          <w:sz w:val="16"/>
          <w:szCs w:val="16"/>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149" w:lineRule="exact"/>
        <w:rPr>
          <w:sz w:val="20"/>
          <w:szCs w:val="20"/>
          <w:color w:val="auto"/>
        </w:rPr>
      </w:pPr>
    </w:p>
    <w:p>
      <w:pPr>
        <w:ind w:left="1400" w:hanging="550"/>
        <w:spacing w:after="0"/>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Optional Redemption.</w:t>
      </w:r>
    </w:p>
    <w:p>
      <w:pPr>
        <w:spacing w:after="0" w:line="225" w:lineRule="exact"/>
        <w:rPr>
          <w:sz w:val="20"/>
          <w:szCs w:val="20"/>
          <w:color w:val="auto"/>
        </w:rPr>
      </w:pPr>
    </w:p>
    <w:p>
      <w:pPr>
        <w:jc w:val="both"/>
        <w:ind w:right="480" w:firstLine="648"/>
        <w:spacing w:after="0" w:line="311" w:lineRule="auto"/>
        <w:rPr>
          <w:sz w:val="20"/>
          <w:szCs w:val="20"/>
          <w:color w:val="auto"/>
        </w:rPr>
      </w:pPr>
      <w:r>
        <w:rPr>
          <w:rFonts w:ascii="Arial" w:cs="Arial" w:eastAsia="Arial" w:hAnsi="Arial"/>
          <w:sz w:val="16"/>
          <w:szCs w:val="16"/>
          <w:color w:val="auto"/>
        </w:rPr>
        <w:t>The Issuer will have the right at its option to redeem any of the Securities in whole or in part, at any time or from time to time prior to their maturity, on at least 15 days, but not more than 30 days, prior notice delivered electronically or mailed to the registered address of each Holder of the Securities, at the applicable Redemption Price. The Issuer will calculate the Redemption Price in connection with any redemption hereunder.</w:t>
      </w:r>
    </w:p>
    <w:p>
      <w:pPr>
        <w:spacing w:after="0" w:line="145"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Redemption Price”</w:t>
      </w:r>
      <w:r>
        <w:rPr>
          <w:rFonts w:ascii="Arial" w:cs="Arial" w:eastAsia="Arial" w:hAnsi="Arial"/>
          <w:sz w:val="17"/>
          <w:szCs w:val="17"/>
          <w:color w:val="auto"/>
        </w:rPr>
        <w:t xml:space="preserve"> means (a) at any time prior to June 14, 2029 (three (3) months prior to the maturity of the Securities) (the “</w:t>
      </w:r>
      <w:r>
        <w:rPr>
          <w:rFonts w:ascii="Arial" w:cs="Arial" w:eastAsia="Arial" w:hAnsi="Arial"/>
          <w:sz w:val="17"/>
          <w:szCs w:val="17"/>
          <w:b w:val="1"/>
          <w:bCs w:val="1"/>
          <w:color w:val="auto"/>
        </w:rPr>
        <w:t>Par Call Date</w:t>
      </w:r>
      <w:r>
        <w:rPr>
          <w:rFonts w:ascii="Arial" w:cs="Arial" w:eastAsia="Arial" w:hAnsi="Arial"/>
          <w:sz w:val="17"/>
          <w:szCs w:val="17"/>
          <w:color w:val="auto"/>
        </w:rPr>
        <w:t>”), the greater of (i) 100% of the principal amount of such Securities and (ii) the sum of the present values of the principal amount of such Securities and the scheduled payments of interest thereon (exclusive of interest accrued to the date of redemption) from the redemption date to the Par Call Date, in each case discounted to the redemption date on an actual (ACTUAL/ACTUAL (ICMA)) basis at a rate equal to the applicable comparable government bond rate plus 15 basis points and (b) if the Securities are redeemed on or after the Par Call Date, 100% of the principal amount of such Securities; plus, in each case, accrued and unpaid interest thereon to the date of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318770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9" w:name="page30"/>
    <w:bookmarkEnd w:id="29"/>
    <w:p>
      <w:pPr>
        <w:ind w:right="20" w:firstLine="648"/>
        <w:spacing w:after="0" w:line="256"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comparable government bond</w:t>
      </w:r>
      <w:r>
        <w:rPr>
          <w:rFonts w:ascii="Arial" w:cs="Arial" w:eastAsia="Arial" w:hAnsi="Arial"/>
          <w:sz w:val="18"/>
          <w:szCs w:val="18"/>
          <w:color w:val="auto"/>
        </w:rPr>
        <w:t>” means in relation to any comparable government bond rate calculation, at the discretion of an independent investment banker selected by the Issuer, a German government bond whose maturity is closest to the maturity of the Securities to be redeemed (assuming for this purpose that the Securities matured on the Par Call Date), or if such independent investment banker in its discretion determines that such similar bond is not in issue, such other German government bond as such independent investment banker may, with the advice of three brokers of, and/or market makers in, German government bonds selected by us, determine to be appropriate for determining the comparable government bond rate.</w:t>
      </w:r>
    </w:p>
    <w:p>
      <w:pPr>
        <w:spacing w:after="0" w:line="187" w:lineRule="exact"/>
        <w:rPr>
          <w:sz w:val="20"/>
          <w:szCs w:val="20"/>
          <w:color w:val="auto"/>
        </w:rPr>
      </w:pPr>
    </w:p>
    <w:p>
      <w:pPr>
        <w:jc w:val="both"/>
        <w:ind w:right="260" w:firstLine="648"/>
        <w:spacing w:after="0" w:line="261"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comparable government bond rate</w:t>
      </w:r>
      <w:r>
        <w:rPr>
          <w:rFonts w:ascii="Arial" w:cs="Arial" w:eastAsia="Arial" w:hAnsi="Arial"/>
          <w:sz w:val="18"/>
          <w:szCs w:val="18"/>
          <w:color w:val="auto"/>
        </w:rPr>
        <w:t>” means the yield to maturity, expressed as a percentage (rounded to three decimal places, with 0.0005 being rounded upwards), on the third Business Day prior to the date fixed for redemption, of the applicable comparable government bond on the basis of the middle market price of such comparable government bond prevailing at 11:00 a.m. (London time) on such business day as determined by an independent investment banker selected by the Issuer.</w:t>
      </w:r>
    </w:p>
    <w:p>
      <w:pPr>
        <w:spacing w:after="0" w:line="180" w:lineRule="exact"/>
        <w:rPr>
          <w:sz w:val="20"/>
          <w:szCs w:val="20"/>
          <w:color w:val="auto"/>
        </w:rPr>
      </w:pPr>
    </w:p>
    <w:p>
      <w:pPr>
        <w:ind w:right="380" w:firstLine="648"/>
        <w:spacing w:after="0" w:line="266"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each of Barclays Bank PLC and Deutsche Bank AG, London Branch (or their respective successors), or if each such firm is unwilling or unable to select the comparable government bond, an independent investment banking institution of international standing appointed by the Issuer.</w:t>
      </w:r>
    </w:p>
    <w:p>
      <w:pPr>
        <w:spacing w:after="0" w:line="180" w:lineRule="exact"/>
        <w:rPr>
          <w:sz w:val="20"/>
          <w:szCs w:val="20"/>
          <w:color w:val="auto"/>
        </w:rPr>
      </w:pPr>
    </w:p>
    <w:p>
      <w:pPr>
        <w:ind w:left="1400" w:hanging="550"/>
        <w:spacing w:after="0"/>
        <w:tabs>
          <w:tab w:leader="none" w:pos="1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Redemption for Tax Reasons.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If, as a result of any change in, or amendment to, the laws (or any regulations or rulings promulgated under the laws) of the United States (or any taxing authority in the United States), or any change in, or amendment to, an official position regarding the application or interpretation of such laws, regulations or rulings, which change or amendment is announced or becomes effective on or after September 7, 2021, the Issuer becomes or, based upon a written opinion of independent counsel selected by us, will become obligated to pay additional amounts as described in Section 15 herein under the heading “Payment of Additional Amounts” with respect to the Securities, then the Issuer may, at any time at its option, redeem, in whole, but not in part, the Securities on not less than 15 nor more than 30 days’ prior notice, at a redemption price equal to 100% of their principal amount, together with accrued and unpaid interest on the Securities to, but not including, the date fixed for redemption.</w:t>
      </w:r>
    </w:p>
    <w:p>
      <w:pPr>
        <w:spacing w:after="0" w:line="177" w:lineRule="exact"/>
        <w:rPr>
          <w:sz w:val="20"/>
          <w:szCs w:val="20"/>
          <w:color w:val="auto"/>
        </w:rPr>
      </w:pPr>
    </w:p>
    <w:p>
      <w:pPr>
        <w:ind w:left="1400" w:hanging="550"/>
        <w:spacing w:after="0"/>
        <w:tabs>
          <w:tab w:leader="none" w:pos="1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Payment of Additional Amounts.</w:t>
      </w:r>
    </w:p>
    <w:p>
      <w:pPr>
        <w:spacing w:after="0" w:line="225"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The Issuer, will, subject to the exceptions and limitations set forth below, pay as additional interest on the Securities such additional amounts as are necessary in order that the net payment by the Issuer or its paying agent of the principal of and interest in respect of the Securities to a beneficial owner who is not a United States person (as defined below), after withholding or deduction for any present or future tax, assessment or other governmental charge (“</w:t>
      </w:r>
      <w:r>
        <w:rPr>
          <w:rFonts w:ascii="Arial" w:cs="Arial" w:eastAsia="Arial" w:hAnsi="Arial"/>
          <w:sz w:val="17"/>
          <w:szCs w:val="17"/>
          <w:b w:val="1"/>
          <w:bCs w:val="1"/>
          <w:color w:val="auto"/>
        </w:rPr>
        <w:t>Tax</w:t>
      </w:r>
      <w:r>
        <w:rPr>
          <w:rFonts w:ascii="Arial" w:cs="Arial" w:eastAsia="Arial" w:hAnsi="Arial"/>
          <w:sz w:val="17"/>
          <w:szCs w:val="17"/>
          <w:color w:val="auto"/>
        </w:rPr>
        <w:t>”) imposed by the United States or a taxing authority in the United States, will not be less than the amount provided in the Securities to be then due and payable; provided, however, that the foregoing obligation to pay additional amounts shall not apply:</w:t>
      </w:r>
    </w:p>
    <w:p>
      <w:pPr>
        <w:spacing w:after="0" w:line="176" w:lineRule="exact"/>
        <w:rPr>
          <w:sz w:val="20"/>
          <w:szCs w:val="20"/>
          <w:color w:val="auto"/>
        </w:rPr>
      </w:pPr>
    </w:p>
    <w:p>
      <w:pPr>
        <w:ind w:left="660" w:right="36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any Tax that is imposed by reason of the Holder (or the beneficial owner for whose benefit such Holder holds the Securities), or a fiduciary, settlor,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0" w:name="page31"/>
    <w:bookmarkEnd w:id="30"/>
    <w:p>
      <w:pPr>
        <w:ind w:left="328" w:right="100"/>
        <w:spacing w:after="0" w:line="308" w:lineRule="auto"/>
        <w:rPr>
          <w:sz w:val="20"/>
          <w:szCs w:val="20"/>
          <w:color w:val="auto"/>
        </w:rPr>
      </w:pPr>
      <w:r>
        <w:rPr>
          <w:rFonts w:ascii="Arial" w:cs="Arial" w:eastAsia="Arial" w:hAnsi="Arial"/>
          <w:sz w:val="17"/>
          <w:szCs w:val="17"/>
          <w:color w:val="auto"/>
        </w:rPr>
        <w:t>beneficiary, member or shareholder of the Holder or beneficial owner if the Holder or beneficial owner is an estate, trust, partnership, corporation or other entity, or a person holding a power over an estate or trust administered by a fiduciary Holder, being considered as:</w:t>
      </w:r>
    </w:p>
    <w:p>
      <w:pPr>
        <w:spacing w:after="0" w:line="146" w:lineRule="exact"/>
        <w:rPr>
          <w:sz w:val="20"/>
          <w:szCs w:val="20"/>
          <w:color w:val="auto"/>
        </w:rPr>
      </w:pPr>
    </w:p>
    <w:p>
      <w:pPr>
        <w:ind w:left="968" w:right="40" w:hanging="320"/>
        <w:spacing w:after="0" w:line="277" w:lineRule="auto"/>
        <w:tabs>
          <w:tab w:leader="none" w:pos="968" w:val="left"/>
        </w:tabs>
        <w:numPr>
          <w:ilvl w:val="1"/>
          <w:numId w:val="44"/>
        </w:numPr>
        <w:rPr>
          <w:rFonts w:ascii="Arial" w:cs="Arial" w:eastAsia="Arial" w:hAnsi="Arial"/>
          <w:sz w:val="18"/>
          <w:szCs w:val="18"/>
          <w:color w:val="auto"/>
        </w:rPr>
      </w:pPr>
      <w:r>
        <w:rPr>
          <w:rFonts w:ascii="Arial" w:cs="Arial" w:eastAsia="Arial" w:hAnsi="Arial"/>
          <w:sz w:val="18"/>
          <w:szCs w:val="18"/>
          <w:color w:val="auto"/>
        </w:rPr>
        <w:t>being or having been engaged in a trade or business in the United States or having or having had a permanent establishment in the United States;</w:t>
      </w:r>
    </w:p>
    <w:p>
      <w:pPr>
        <w:spacing w:after="0" w:line="170" w:lineRule="exact"/>
        <w:rPr>
          <w:rFonts w:ascii="Arial" w:cs="Arial" w:eastAsia="Arial" w:hAnsi="Arial"/>
          <w:sz w:val="18"/>
          <w:szCs w:val="18"/>
          <w:color w:val="auto"/>
        </w:rPr>
      </w:pPr>
    </w:p>
    <w:p>
      <w:pPr>
        <w:ind w:left="968" w:right="60" w:hanging="320"/>
        <w:spacing w:after="0" w:line="263" w:lineRule="auto"/>
        <w:tabs>
          <w:tab w:leader="none" w:pos="968" w:val="left"/>
        </w:tabs>
        <w:numPr>
          <w:ilvl w:val="1"/>
          <w:numId w:val="44"/>
        </w:numPr>
        <w:rPr>
          <w:rFonts w:ascii="Arial" w:cs="Arial" w:eastAsia="Arial" w:hAnsi="Arial"/>
          <w:sz w:val="18"/>
          <w:szCs w:val="18"/>
          <w:color w:val="auto"/>
        </w:rPr>
      </w:pPr>
      <w:r>
        <w:rPr>
          <w:rFonts w:ascii="Arial" w:cs="Arial" w:eastAsia="Arial" w:hAnsi="Arial"/>
          <w:sz w:val="18"/>
          <w:szCs w:val="18"/>
          <w:color w:val="auto"/>
        </w:rPr>
        <w:t>having a current or former connection with the United States (other than a connection arising solely as a result of the ownership of the Securities, the receipt of any payment or the enforcement of any rights hereunder), including being or having been a citizen or resident of the United States;</w:t>
      </w:r>
    </w:p>
    <w:p>
      <w:pPr>
        <w:spacing w:after="0" w:line="183" w:lineRule="exact"/>
        <w:rPr>
          <w:rFonts w:ascii="Arial" w:cs="Arial" w:eastAsia="Arial" w:hAnsi="Arial"/>
          <w:sz w:val="18"/>
          <w:szCs w:val="18"/>
          <w:color w:val="auto"/>
        </w:rPr>
      </w:pPr>
    </w:p>
    <w:p>
      <w:pPr>
        <w:jc w:val="both"/>
        <w:ind w:left="968" w:right="360" w:hanging="320"/>
        <w:spacing w:after="0" w:line="263" w:lineRule="auto"/>
        <w:tabs>
          <w:tab w:leader="none" w:pos="968" w:val="left"/>
        </w:tabs>
        <w:numPr>
          <w:ilvl w:val="1"/>
          <w:numId w:val="44"/>
        </w:numPr>
        <w:rPr>
          <w:rFonts w:ascii="Arial" w:cs="Arial" w:eastAsia="Arial" w:hAnsi="Arial"/>
          <w:sz w:val="18"/>
          <w:szCs w:val="18"/>
          <w:color w:val="auto"/>
        </w:rPr>
      </w:pPr>
      <w:r>
        <w:rPr>
          <w:rFonts w:ascii="Arial" w:cs="Arial" w:eastAsia="Arial" w:hAnsi="Arial"/>
          <w:sz w:val="18"/>
          <w:szCs w:val="18"/>
          <w:color w:val="auto"/>
        </w:rPr>
        <w:t>being or having been a personal holding company, a passive foreign investment company or a controlled foreign corporation for U.S. federal income tax purposes, a foreign-tax exempt organization, or a corporation that has accumulated earnings to avoid U.S. federal income tax;</w:t>
      </w:r>
    </w:p>
    <w:p>
      <w:pPr>
        <w:spacing w:after="0" w:line="179" w:lineRule="exact"/>
        <w:rPr>
          <w:rFonts w:ascii="Arial" w:cs="Arial" w:eastAsia="Arial" w:hAnsi="Arial"/>
          <w:sz w:val="18"/>
          <w:szCs w:val="18"/>
          <w:color w:val="auto"/>
        </w:rPr>
      </w:pPr>
    </w:p>
    <w:p>
      <w:pPr>
        <w:ind w:left="968" w:right="120" w:hanging="320"/>
        <w:spacing w:after="0" w:line="282" w:lineRule="auto"/>
        <w:tabs>
          <w:tab w:leader="none" w:pos="968" w:val="left"/>
        </w:tabs>
        <w:numPr>
          <w:ilvl w:val="1"/>
          <w:numId w:val="44"/>
        </w:numPr>
        <w:rPr>
          <w:rFonts w:ascii="Arial" w:cs="Arial" w:eastAsia="Arial" w:hAnsi="Arial"/>
          <w:sz w:val="18"/>
          <w:szCs w:val="18"/>
          <w:color w:val="auto"/>
        </w:rPr>
      </w:pPr>
      <w:r>
        <w:rPr>
          <w:rFonts w:ascii="Arial" w:cs="Arial" w:eastAsia="Arial" w:hAnsi="Arial"/>
          <w:sz w:val="18"/>
          <w:szCs w:val="18"/>
          <w:color w:val="auto"/>
        </w:rPr>
        <w:t>being or having been a “</w:t>
      </w:r>
      <w:r>
        <w:rPr>
          <w:rFonts w:ascii="Arial" w:cs="Arial" w:eastAsia="Arial" w:hAnsi="Arial"/>
          <w:sz w:val="18"/>
          <w:szCs w:val="18"/>
          <w:b w:val="1"/>
          <w:bCs w:val="1"/>
          <w:color w:val="auto"/>
        </w:rPr>
        <w:t>10-percent shareholder</w:t>
      </w:r>
      <w:r>
        <w:rPr>
          <w:rFonts w:ascii="Arial" w:cs="Arial" w:eastAsia="Arial" w:hAnsi="Arial"/>
          <w:sz w:val="18"/>
          <w:szCs w:val="18"/>
          <w:color w:val="auto"/>
        </w:rPr>
        <w:t>” of the Issuer or the applicable guarantor as defined in Section 871(h)(3) of the United States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or any successor provision; or</w:t>
      </w:r>
    </w:p>
    <w:p>
      <w:pPr>
        <w:spacing w:after="0" w:line="165" w:lineRule="exact"/>
        <w:rPr>
          <w:rFonts w:ascii="Arial" w:cs="Arial" w:eastAsia="Arial" w:hAnsi="Arial"/>
          <w:sz w:val="18"/>
          <w:szCs w:val="18"/>
          <w:color w:val="auto"/>
        </w:rPr>
      </w:pPr>
    </w:p>
    <w:p>
      <w:pPr>
        <w:ind w:left="968" w:right="260" w:hanging="320"/>
        <w:spacing w:after="0" w:line="277" w:lineRule="auto"/>
        <w:tabs>
          <w:tab w:leader="none" w:pos="968" w:val="left"/>
        </w:tabs>
        <w:numPr>
          <w:ilvl w:val="1"/>
          <w:numId w:val="44"/>
        </w:numPr>
        <w:rPr>
          <w:rFonts w:ascii="Arial" w:cs="Arial" w:eastAsia="Arial" w:hAnsi="Arial"/>
          <w:sz w:val="18"/>
          <w:szCs w:val="18"/>
          <w:color w:val="auto"/>
        </w:rPr>
      </w:pPr>
      <w:r>
        <w:rPr>
          <w:rFonts w:ascii="Arial" w:cs="Arial" w:eastAsia="Arial" w:hAnsi="Arial"/>
          <w:sz w:val="18"/>
          <w:szCs w:val="18"/>
          <w:color w:val="auto"/>
        </w:rPr>
        <w:t>being a bank receiving payments on an extension of credit made pursuant to a loan agreement entered into in the ordinary course of its trade or business, as described in Section 881(c)(3) of the Code or any successor provision;</w:t>
      </w:r>
    </w:p>
    <w:p>
      <w:pPr>
        <w:spacing w:after="0" w:line="170" w:lineRule="exact"/>
        <w:rPr>
          <w:rFonts w:ascii="Arial" w:cs="Arial" w:eastAsia="Arial" w:hAnsi="Arial"/>
          <w:sz w:val="18"/>
          <w:szCs w:val="18"/>
          <w:color w:val="auto"/>
        </w:rPr>
      </w:pPr>
    </w:p>
    <w:p>
      <w:pPr>
        <w:ind w:left="328" w:hanging="328"/>
        <w:spacing w:after="0" w:line="257" w:lineRule="auto"/>
        <w:tabs>
          <w:tab w:leader="none" w:pos="3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any Holder that is not the sole beneficial owner of the Securities, or a portion of the Securities, or that is a fiduciary, partnership, limited liability company or other fiscally transparent entity, but only to the extent that a beneficial owner with respect to the Holder, a beneficiary or settlor with respect to the fiduciary, or a beneficial owner or member of the partnership, limited liability company or other fiscally transparent entity, would not have been entitled to the payment of an additional amount had the beneficiary, settlor, beneficial owner or member received directly its beneficial or distributive share of the payment;</w:t>
      </w:r>
    </w:p>
    <w:p>
      <w:pPr>
        <w:spacing w:after="0" w:line="187" w:lineRule="exact"/>
        <w:rPr>
          <w:rFonts w:ascii="Arial" w:cs="Arial" w:eastAsia="Arial" w:hAnsi="Arial"/>
          <w:sz w:val="18"/>
          <w:szCs w:val="18"/>
          <w:color w:val="auto"/>
        </w:rPr>
      </w:pPr>
    </w:p>
    <w:p>
      <w:pPr>
        <w:ind w:left="328" w:right="40" w:hanging="328"/>
        <w:spacing w:after="0" w:line="301" w:lineRule="auto"/>
        <w:tabs>
          <w:tab w:leader="none" w:pos="328" w:val="left"/>
        </w:tabs>
        <w:numPr>
          <w:ilvl w:val="0"/>
          <w:numId w:val="45"/>
        </w:numPr>
        <w:rPr>
          <w:rFonts w:ascii="Arial" w:cs="Arial" w:eastAsia="Arial" w:hAnsi="Arial"/>
          <w:sz w:val="16"/>
          <w:szCs w:val="16"/>
          <w:color w:val="auto"/>
        </w:rPr>
      </w:pPr>
      <w:r>
        <w:rPr>
          <w:rFonts w:ascii="Arial" w:cs="Arial" w:eastAsia="Arial" w:hAnsi="Arial"/>
          <w:sz w:val="16"/>
          <w:szCs w:val="16"/>
          <w:color w:val="auto"/>
        </w:rPr>
        <w:t>to the extent any Tax that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Securities, if compliance is required by statute, by regulation of the United States or any taxing authority therein or by an applicable income tax treaty to which the United States is a party as a precondition to exemption from such Tax, or reduction in such Tax;</w:t>
      </w:r>
    </w:p>
    <w:p>
      <w:pPr>
        <w:spacing w:after="0" w:line="157" w:lineRule="exact"/>
        <w:rPr>
          <w:rFonts w:ascii="Arial" w:cs="Arial" w:eastAsia="Arial" w:hAnsi="Arial"/>
          <w:sz w:val="16"/>
          <w:szCs w:val="16"/>
          <w:color w:val="auto"/>
        </w:rPr>
      </w:pPr>
    </w:p>
    <w:p>
      <w:pPr>
        <w:ind w:left="328" w:hanging="328"/>
        <w:spacing w:after="0"/>
        <w:tabs>
          <w:tab w:leader="none" w:pos="3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any Tax that is imposed otherwise than by withholding by the Issuer or a an applicable withholding agent from the payment;</w:t>
      </w:r>
    </w:p>
    <w:p>
      <w:pPr>
        <w:spacing w:after="0" w:line="225" w:lineRule="exact"/>
        <w:rPr>
          <w:rFonts w:ascii="Arial" w:cs="Arial" w:eastAsia="Arial" w:hAnsi="Arial"/>
          <w:sz w:val="18"/>
          <w:szCs w:val="18"/>
          <w:color w:val="auto"/>
        </w:rPr>
      </w:pPr>
    </w:p>
    <w:p>
      <w:pPr>
        <w:ind w:left="328" w:right="40" w:hanging="328"/>
        <w:spacing w:after="0" w:line="277" w:lineRule="auto"/>
        <w:tabs>
          <w:tab w:leader="none" w:pos="3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any Tax that would not have been imposed but for a change in law, regulation, or administrative or judicial interpretation that becomes effective more than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314325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544" w:right="339" w:bottom="1440" w:gutter="0" w:footer="0" w:header="0"/>
        </w:sectPr>
      </w:pPr>
    </w:p>
    <w:bookmarkStart w:id="31" w:name="page32"/>
    <w:bookmarkEnd w:id="31"/>
    <w:p>
      <w:pPr>
        <w:ind w:left="660"/>
        <w:spacing w:after="0"/>
        <w:rPr>
          <w:sz w:val="20"/>
          <w:szCs w:val="20"/>
          <w:color w:val="auto"/>
        </w:rPr>
      </w:pPr>
      <w:r>
        <w:rPr>
          <w:rFonts w:ascii="Arial" w:cs="Arial" w:eastAsia="Arial" w:hAnsi="Arial"/>
          <w:sz w:val="18"/>
          <w:szCs w:val="18"/>
          <w:color w:val="auto"/>
        </w:rPr>
        <w:t>days after the payment becomes due or is duly provided for, whichever occurs later;</w:t>
      </w:r>
    </w:p>
    <w:p>
      <w:pPr>
        <w:spacing w:after="0" w:line="225"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any estate, inheritance, gift, sales, excise, transfer, wealth, capital gains or personal property or similar Tax;</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any Tax required to be withheld by any paying agent from any payment of principal of or interest on any Security, if such payment can be made without such withholding by at least one other paying agent;</w:t>
      </w:r>
    </w:p>
    <w:p>
      <w:pPr>
        <w:spacing w:after="0" w:line="170" w:lineRule="exact"/>
        <w:rPr>
          <w:rFonts w:ascii="Arial" w:cs="Arial" w:eastAsia="Arial" w:hAnsi="Arial"/>
          <w:sz w:val="18"/>
          <w:szCs w:val="18"/>
          <w:color w:val="auto"/>
        </w:rPr>
      </w:pPr>
    </w:p>
    <w:p>
      <w:pPr>
        <w:ind w:left="660" w:right="60" w:hanging="328"/>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the extent any Tax that would not have been imposed but for the presentation by the Holder of any Security, where presentation is required, for payment on a date more than 30 days after the date on which payment became due and payable or the date on which payment thereof is duly provided for, whichever occurs later;</w:t>
      </w:r>
    </w:p>
    <w:p>
      <w:pPr>
        <w:spacing w:after="0" w:line="183"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any Tax that is imposed or withheld solely by reason of the beneficial owner being a bank (i) purchasing the Securities in the ordinary course of its lending business or (ii) that is neither (A) buying the Securities for investment purposes only nor (B) buying the Securities for resale to a third party that either is not a bank or holding the Securities for investment purposes only;</w:t>
      </w:r>
    </w:p>
    <w:p>
      <w:pPr>
        <w:spacing w:after="0" w:line="183"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any Tax imposed under Sections 1471 through 1474 of the Code (or any amended or successor provisions),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whether currently in effect or as published and amended from time to time; or</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the case of any combination of items (a)-(j) above.</w:t>
      </w:r>
    </w:p>
    <w:p>
      <w:pPr>
        <w:spacing w:after="0" w:line="221" w:lineRule="exact"/>
        <w:rPr>
          <w:sz w:val="20"/>
          <w:szCs w:val="20"/>
          <w:color w:val="auto"/>
        </w:rPr>
      </w:pPr>
    </w:p>
    <w:p>
      <w:pPr>
        <w:ind w:right="40" w:firstLine="648"/>
        <w:spacing w:after="0" w:line="314" w:lineRule="auto"/>
        <w:rPr>
          <w:sz w:val="20"/>
          <w:szCs w:val="20"/>
          <w:color w:val="auto"/>
        </w:rPr>
      </w:pPr>
      <w:r>
        <w:rPr>
          <w:rFonts w:ascii="Arial" w:cs="Arial" w:eastAsia="Arial" w:hAnsi="Arial"/>
          <w:sz w:val="16"/>
          <w:szCs w:val="16"/>
          <w:color w:val="auto"/>
        </w:rPr>
        <w:t>As used in this Section 15, “</w:t>
      </w:r>
      <w:r>
        <w:rPr>
          <w:rFonts w:ascii="Arial" w:cs="Arial" w:eastAsia="Arial" w:hAnsi="Arial"/>
          <w:sz w:val="16"/>
          <w:szCs w:val="16"/>
          <w:b w:val="1"/>
          <w:bCs w:val="1"/>
          <w:color w:val="auto"/>
        </w:rPr>
        <w:t>United States person</w:t>
      </w:r>
      <w:r>
        <w:rPr>
          <w:rFonts w:ascii="Arial" w:cs="Arial" w:eastAsia="Arial" w:hAnsi="Arial"/>
          <w:sz w:val="16"/>
          <w:szCs w:val="16"/>
          <w:color w:val="auto"/>
        </w:rPr>
        <w:t>” means any individual who is a citizen or resident of the United States for U.S. federal income tax purposes, a corporation, partnership or other entity created or organized in or under the laws of the United States, any state of the United States or the District of Columbia, or any estate or trust the income of which is subject to U.S. federal income taxation regardless of its source.</w:t>
      </w:r>
    </w:p>
    <w:p>
      <w:pPr>
        <w:spacing w:after="0" w:line="146" w:lineRule="exact"/>
        <w:rPr>
          <w:sz w:val="20"/>
          <w:szCs w:val="20"/>
          <w:color w:val="auto"/>
        </w:rPr>
      </w:pPr>
    </w:p>
    <w:p>
      <w:pPr>
        <w:ind w:left="1400" w:hanging="550"/>
        <w:spacing w:after="0"/>
        <w:tabs>
          <w:tab w:leader="none" w:pos="14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32" w:name="page33"/>
    <w:bookmarkEnd w:id="32"/>
    <w:p>
      <w:pPr>
        <w:jc w:val="both"/>
        <w:ind w:right="160"/>
        <w:spacing w:after="0" w:line="259" w:lineRule="auto"/>
        <w:rPr>
          <w:sz w:val="20"/>
          <w:szCs w:val="20"/>
          <w:color w:val="auto"/>
        </w:rPr>
      </w:pPr>
      <w:r>
        <w:rPr>
          <w:rFonts w:ascii="Arial" w:cs="Arial" w:eastAsia="Arial" w:hAnsi="Arial"/>
          <w:sz w:val="18"/>
          <w:szCs w:val="18"/>
          <w:color w:val="auto"/>
        </w:rPr>
        <w:t>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187" w:lineRule="exact"/>
        <w:rPr>
          <w:sz w:val="20"/>
          <w:szCs w:val="20"/>
          <w:color w:val="auto"/>
        </w:rPr>
      </w:pPr>
    </w:p>
    <w:p>
      <w:pPr>
        <w:ind w:left="1380" w:hanging="530"/>
        <w:spacing w:after="0"/>
        <w:tabs>
          <w:tab w:leader="none" w:pos="1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Trustee Dealings with Issuer.</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170" w:lineRule="exact"/>
        <w:rPr>
          <w:sz w:val="20"/>
          <w:szCs w:val="20"/>
          <w:color w:val="auto"/>
        </w:rPr>
      </w:pPr>
    </w:p>
    <w:p>
      <w:pPr>
        <w:ind w:left="1400" w:hanging="550"/>
        <w:spacing w:after="0"/>
        <w:tabs>
          <w:tab w:leader="none" w:pos="14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 Recourse Against Others.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187" w:lineRule="exact"/>
        <w:rPr>
          <w:sz w:val="20"/>
          <w:szCs w:val="20"/>
          <w:color w:val="auto"/>
        </w:rPr>
      </w:pPr>
    </w:p>
    <w:p>
      <w:pPr>
        <w:ind w:left="1380" w:hanging="530"/>
        <w:spacing w:after="0"/>
        <w:tabs>
          <w:tab w:leader="none" w:pos="1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225" w:lineRule="exact"/>
        <w:rPr>
          <w:sz w:val="20"/>
          <w:szCs w:val="20"/>
          <w:color w:val="auto"/>
        </w:rPr>
      </w:pPr>
    </w:p>
    <w:p>
      <w:pPr>
        <w:ind w:left="1380" w:hanging="530"/>
        <w:spacing w:after="0"/>
        <w:tabs>
          <w:tab w:leader="none" w:pos="13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Abbreviations and Defined Terms.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84" w:lineRule="exact"/>
        <w:rPr>
          <w:sz w:val="20"/>
          <w:szCs w:val="20"/>
          <w:color w:val="auto"/>
        </w:rPr>
      </w:pPr>
    </w:p>
    <w:p>
      <w:pPr>
        <w:ind w:left="1400" w:hanging="550"/>
        <w:spacing w:after="0"/>
        <w:tabs>
          <w:tab w:leader="none" w:pos="1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ISIN Numbers.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ISIN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184" w:lineRule="exact"/>
        <w:rPr>
          <w:sz w:val="20"/>
          <w:szCs w:val="20"/>
          <w:color w:val="auto"/>
        </w:rPr>
      </w:pPr>
    </w:p>
    <w:p>
      <w:pPr>
        <w:ind w:left="1400" w:hanging="550"/>
        <w:spacing w:after="0"/>
        <w:tabs>
          <w:tab w:leader="none" w:pos="1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33" w:name="page34"/>
    <w:bookmarkEnd w:id="33"/>
    <w:p>
      <w:pPr>
        <w:ind w:left="4760"/>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(Insert Social Security or other identifying number of assignee or transferee)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and irrevocably appoint_________________________________________ agent to transfer this Security on the books of the Issuer. The agent may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substitute another to act for him.</w:t>
      </w:r>
    </w:p>
    <w:p>
      <w:pPr>
        <w:sectPr>
          <w:pgSz w:w="11900" w:h="16838" w:orient="portrait"/>
          <w:cols w:equalWidth="0" w:num="1">
            <w:col w:w="10620"/>
          </w:cols>
          <w:pgMar w:left="320" w:top="544" w:right="95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Dated: _______________________</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Signed:_____________________________</w:t>
      </w:r>
    </w:p>
    <w:p>
      <w:pPr>
        <w:spacing w:after="0" w:line="4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(Signed exactly as name appears</w:t>
      </w:r>
    </w:p>
    <w:p>
      <w:pPr>
        <w:spacing w:after="0" w:line="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the other side of this Security)</w:t>
      </w:r>
    </w:p>
    <w:p>
      <w:pPr>
        <w:spacing w:after="0" w:line="200" w:lineRule="exact"/>
        <w:rPr>
          <w:sz w:val="20"/>
          <w:szCs w:val="20"/>
          <w:color w:val="auto"/>
        </w:rPr>
      </w:pPr>
    </w:p>
    <w:p>
      <w:pPr>
        <w:sectPr>
          <w:pgSz w:w="11900" w:h="16838" w:orient="portrait"/>
          <w:cols w:equalWidth="0" w:num="2">
            <w:col w:w="4920" w:space="720"/>
            <w:col w:w="4980"/>
          </w:cols>
          <w:pgMar w:left="320" w:top="544" w:right="959" w:bottom="1440" w:gutter="0" w:footer="0" w:header="0"/>
          <w:type w:val="continuous"/>
        </w:sectPr>
      </w:pP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Signature Guarantee:</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Participant in a recognized Signature Guarantee</w:t>
      </w:r>
    </w:p>
    <w:p>
      <w:pPr>
        <w:spacing w:after="0" w:line="21" w:lineRule="exact"/>
        <w:rPr>
          <w:sz w:val="20"/>
          <w:szCs w:val="20"/>
          <w:color w:val="auto"/>
        </w:rPr>
      </w:pPr>
    </w:p>
    <w:p>
      <w:pPr>
        <w:sectPr>
          <w:pgSz w:w="11900" w:h="16838" w:orient="portrait"/>
          <w:cols w:equalWidth="0" w:num="2">
            <w:col w:w="1540" w:space="720"/>
            <w:col w:w="8360"/>
          </w:cols>
          <w:pgMar w:left="320" w:top="544" w:right="959" w:bottom="1440" w:gutter="0" w:footer="0" w:header="0"/>
          <w:type w:val="continuous"/>
        </w:sectPr>
      </w:pPr>
    </w:p>
    <w:p>
      <w:pPr>
        <w:ind w:left="2260"/>
        <w:spacing w:after="0"/>
        <w:rPr>
          <w:sz w:val="20"/>
          <w:szCs w:val="20"/>
          <w:color w:val="auto"/>
        </w:rPr>
      </w:pPr>
      <w:r>
        <w:rPr>
          <w:rFonts w:ascii="Arial" w:cs="Arial" w:eastAsia="Arial" w:hAnsi="Arial"/>
          <w:sz w:val="16"/>
          <w:szCs w:val="16"/>
          <w:color w:val="auto"/>
        </w:rPr>
        <w:t>Medallion Program (or other signature guarantor</w:t>
      </w:r>
    </w:p>
    <w:p>
      <w:pPr>
        <w:spacing w:after="0" w:line="32"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program reasonably acceptable to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363220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20"/>
          </w:cols>
          <w:pgMar w:left="320" w:top="544" w:right="959" w:bottom="1440" w:gutter="0" w:footer="0" w:header="0"/>
          <w:type w:val="continuous"/>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COMCAST CORPORATION]</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14,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 am Senior Vice President, Senior Deputy General Counsel and Assistant Secretary of Comcast Corporation, a Pennsylvania corporation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and have acted for the Company in connection with the issuance by the Company, pursuant to the Underwriting Agreement dated September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7, 2021 (the “</w:t>
      </w:r>
      <w:r>
        <w:rPr>
          <w:rFonts w:ascii="Arial" w:cs="Arial" w:eastAsia="Arial" w:hAnsi="Arial"/>
          <w:sz w:val="17"/>
          <w:szCs w:val="17"/>
          <w:b w:val="1"/>
          <w:bCs w:val="1"/>
          <w:color w:val="auto"/>
        </w:rPr>
        <w:t>Underwriting Agreement</w:t>
      </w:r>
      <w:r>
        <w:rPr>
          <w:rFonts w:ascii="Arial" w:cs="Arial" w:eastAsia="Arial" w:hAnsi="Arial"/>
          <w:sz w:val="17"/>
          <w:szCs w:val="17"/>
          <w:color w:val="auto"/>
        </w:rPr>
        <w:t>”) among the Company, the Guarantors (as defined below) and the several underwriters named therein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Underwriters</w:t>
      </w:r>
      <w:r>
        <w:rPr>
          <w:rFonts w:ascii="Arial" w:cs="Arial" w:eastAsia="Arial" w:hAnsi="Arial"/>
          <w:sz w:val="16"/>
          <w:szCs w:val="16"/>
          <w:color w:val="auto"/>
        </w:rPr>
        <w:t xml:space="preserve">”), of €1,250,000,000 aggregate principal amount of its 0.000% Notes due 2026 (the </w:t>
      </w:r>
      <w:r>
        <w:rPr>
          <w:rFonts w:ascii="Arial" w:cs="Arial" w:eastAsia="Arial" w:hAnsi="Arial"/>
          <w:sz w:val="16"/>
          <w:szCs w:val="16"/>
          <w:b w:val="1"/>
          <w:bCs w:val="1"/>
          <w:color w:val="auto"/>
        </w:rPr>
        <w:t>“2026 Notes”</w:t>
      </w:r>
      <w:r>
        <w:rPr>
          <w:rFonts w:ascii="Arial" w:cs="Arial" w:eastAsia="Arial" w:hAnsi="Arial"/>
          <w:sz w:val="16"/>
          <w:szCs w:val="16"/>
          <w:color w:val="auto"/>
        </w:rPr>
        <w:t>) and €500,000,000 aggregate principal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amount of its 0.250% Notes due 2029 (the </w:t>
      </w:r>
      <w:r>
        <w:rPr>
          <w:rFonts w:ascii="Arial" w:cs="Arial" w:eastAsia="Arial" w:hAnsi="Arial"/>
          <w:sz w:val="16"/>
          <w:szCs w:val="16"/>
          <w:b w:val="1"/>
          <w:bCs w:val="1"/>
          <w:color w:val="auto"/>
        </w:rPr>
        <w:t>“2029 Notes”</w:t>
      </w:r>
      <w:r>
        <w:rPr>
          <w:rFonts w:ascii="Arial" w:cs="Arial" w:eastAsia="Arial" w:hAnsi="Arial"/>
          <w:sz w:val="16"/>
          <w:szCs w:val="16"/>
          <w:color w:val="auto"/>
        </w:rPr>
        <w:t xml:space="preserve"> and, together with the 2026 Notes, the </w:t>
      </w:r>
      <w:r>
        <w:rPr>
          <w:rFonts w:ascii="Arial" w:cs="Arial" w:eastAsia="Arial" w:hAnsi="Arial"/>
          <w:sz w:val="16"/>
          <w:szCs w:val="16"/>
          <w:b w:val="1"/>
          <w:bCs w:val="1"/>
          <w:color w:val="auto"/>
        </w:rPr>
        <w:t>“Notes”</w:t>
      </w:r>
      <w:r>
        <w:rPr>
          <w:rFonts w:ascii="Arial" w:cs="Arial" w:eastAsia="Arial" w:hAnsi="Arial"/>
          <w:sz w:val="16"/>
          <w:szCs w:val="16"/>
          <w:color w:val="auto"/>
        </w:rPr>
        <w:t>). The Notes are to be issued pursuant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provisions of the Indenture dated as of September 18, 2013, as amended by the First Supplemental Indenture thereto dated as of November 17, 2015,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among the Company, the guarantors named therein (the “</w:t>
      </w:r>
      <w:r>
        <w:rPr>
          <w:rFonts w:ascii="Arial" w:cs="Arial" w:eastAsia="Arial" w:hAnsi="Arial"/>
          <w:sz w:val="16"/>
          <w:szCs w:val="16"/>
          <w:b w:val="1"/>
          <w:bCs w:val="1"/>
          <w:color w:val="auto"/>
        </w:rPr>
        <w:t>Guarantors</w:t>
      </w:r>
      <w:r>
        <w:rPr>
          <w:rFonts w:ascii="Arial" w:cs="Arial" w:eastAsia="Arial" w:hAnsi="Arial"/>
          <w:sz w:val="16"/>
          <w:szCs w:val="16"/>
          <w:color w:val="auto"/>
        </w:rPr>
        <w:t xml:space="preserve">”) and The Bank of New York Mellon,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and guaranteed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an unsecured and unsubordinated basis by the Guarantors.</w:t>
      </w:r>
    </w:p>
    <w:p>
      <w:pPr>
        <w:spacing w:after="0" w:line="211"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I have examined originals or copies, certified or otherwise identified to my satisfaction, of such documents, corporate records, certificates of public officials and other instruments as I have deemed necessary or advisable for the purpose of rendering this opinion.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Based upon the foregoing, I am of the opinion that:</w:t>
      </w:r>
    </w:p>
    <w:p>
      <w:pPr>
        <w:spacing w:after="0" w:line="225" w:lineRule="exact"/>
        <w:rPr>
          <w:sz w:val="20"/>
          <w:szCs w:val="20"/>
          <w:color w:val="auto"/>
        </w:rPr>
      </w:pPr>
    </w:p>
    <w:p>
      <w:pPr>
        <w:ind w:left="1600" w:hanging="944"/>
        <w:spacing w:after="0"/>
        <w:tabs>
          <w:tab w:leader="none" w:pos="16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w:t>
      </w:r>
    </w:p>
    <w:p>
      <w:pPr>
        <w:spacing w:after="0" w:line="225" w:lineRule="exact"/>
        <w:rPr>
          <w:rFonts w:ascii="Arial" w:cs="Arial" w:eastAsia="Arial" w:hAnsi="Arial"/>
          <w:sz w:val="18"/>
          <w:szCs w:val="18"/>
          <w:color w:val="auto"/>
        </w:rPr>
      </w:pPr>
    </w:p>
    <w:p>
      <w:pPr>
        <w:ind w:left="1600" w:hanging="944"/>
        <w:spacing w:after="0"/>
        <w:tabs>
          <w:tab w:leader="none" w:pos="16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Notes have been duly authorized by the Company.</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I am a member of the Bar of the Commonwealth of Pennsylvania and the foregoing opinion is limited to the laws of the Commonwealth of Pennsylvania and the federal laws of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ind w:firstLine="648"/>
        <w:spacing w:after="0" w:line="257" w:lineRule="auto"/>
        <w:rPr>
          <w:sz w:val="20"/>
          <w:szCs w:val="20"/>
          <w:color w:val="auto"/>
        </w:rPr>
      </w:pPr>
      <w:r>
        <w:rPr>
          <w:rFonts w:ascii="Arial" w:cs="Arial" w:eastAsia="Arial" w:hAnsi="Arial"/>
          <w:sz w:val="18"/>
          <w:szCs w:val="18"/>
          <w:color w:val="auto"/>
        </w:rPr>
        <w:t>I hereby consent to the filing of this opinion as an exhibit to a report on Form 8-K filed by the Company on the date hereof and its incorporation by reference into the Company’s registration statement on Form S-3 filed on August 1, 2019, as amended as of the date of the Underwriting Agreement (File No. 333-232941). In addition, I consent to the reference to my name under the caption “Legal Matters” in the prospectus, which is a part of the registration statement. In giving this consent, I do not admit that I am in the category of persons whose consent is required under Section 7 of the Securities Act of 1933, as amended.</w:t>
      </w:r>
    </w:p>
    <w:p>
      <w:pPr>
        <w:spacing w:after="0" w:line="188"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Elizabeth Wideman</w:t>
      </w:r>
    </w:p>
    <w:p>
      <w:pPr>
        <w:spacing w:after="0" w:line="22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Elizabeth Wideman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36" w:name="page37"/>
    <w:bookmarkEnd w:id="36"/>
    <w:p>
      <w:pPr>
        <w:jc w:val="right"/>
        <w:spacing w:after="0"/>
        <w:rPr>
          <w:sz w:val="20"/>
          <w:szCs w:val="20"/>
          <w:color w:val="auto"/>
        </w:rPr>
      </w:pPr>
      <w:r>
        <w:rPr>
          <w:rFonts w:ascii="Arial" w:cs="Arial" w:eastAsia="Arial" w:hAnsi="Arial"/>
          <w:sz w:val="22"/>
          <w:szCs w:val="22"/>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169545</wp:posOffset>
            </wp:positionV>
            <wp:extent cx="899795"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99795" cy="171450"/>
                    </a:xfrm>
                    <a:prstGeom prst="rect">
                      <a:avLst/>
                    </a:prstGeom>
                    <a:noFill/>
                  </pic:spPr>
                </pic:pic>
              </a:graphicData>
            </a:graphic>
          </wp:anchor>
        </w:drawing>
      </w:r>
    </w:p>
    <w:p>
      <w:pPr>
        <w:spacing w:after="0" w:line="249" w:lineRule="exact"/>
        <w:rPr>
          <w:sz w:val="20"/>
          <w:szCs w:val="20"/>
          <w:color w:val="auto"/>
        </w:rPr>
      </w:pPr>
    </w:p>
    <w:p>
      <w:pPr>
        <w:ind w:left="1820"/>
        <w:spacing w:after="0"/>
        <w:rPr>
          <w:sz w:val="20"/>
          <w:szCs w:val="20"/>
          <w:color w:val="auto"/>
        </w:rPr>
      </w:pPr>
      <w:r>
        <w:rPr>
          <w:rFonts w:ascii="Arial" w:cs="Arial" w:eastAsia="Arial" w:hAnsi="Arial"/>
          <w:sz w:val="16"/>
          <w:szCs w:val="16"/>
          <w:color w:val="140BE3"/>
        </w:rPr>
        <w:t xml:space="preserve">Davis Polk &amp; Wardwell </w:t>
      </w:r>
      <w:r>
        <w:rPr>
          <w:rFonts w:ascii="Arial" w:cs="Arial" w:eastAsia="Arial" w:hAnsi="Arial"/>
          <w:sz w:val="10"/>
          <w:szCs w:val="10"/>
          <w:color w:val="140BE3"/>
        </w:rPr>
        <w:t>LLP</w:t>
      </w:r>
    </w:p>
    <w:p>
      <w:pPr>
        <w:spacing w:after="0" w:line="5" w:lineRule="exact"/>
        <w:rPr>
          <w:sz w:val="20"/>
          <w:szCs w:val="20"/>
          <w:color w:val="auto"/>
        </w:rPr>
      </w:pPr>
    </w:p>
    <w:p>
      <w:pPr>
        <w:ind w:left="1820"/>
        <w:spacing w:after="0"/>
        <w:rPr>
          <w:sz w:val="20"/>
          <w:szCs w:val="20"/>
          <w:color w:val="auto"/>
        </w:rPr>
      </w:pPr>
      <w:r>
        <w:rPr>
          <w:rFonts w:ascii="Arial" w:cs="Arial" w:eastAsia="Arial" w:hAnsi="Arial"/>
          <w:sz w:val="16"/>
          <w:szCs w:val="16"/>
          <w:color w:val="140BE3"/>
        </w:rPr>
        <w:t>450 Lexington Avenue</w:t>
      </w:r>
    </w:p>
    <w:p>
      <w:pPr>
        <w:spacing w:after="0" w:line="5" w:lineRule="exact"/>
        <w:rPr>
          <w:sz w:val="20"/>
          <w:szCs w:val="20"/>
          <w:color w:val="auto"/>
        </w:rPr>
      </w:pPr>
    </w:p>
    <w:p>
      <w:pPr>
        <w:ind w:left="1820"/>
        <w:spacing w:after="0"/>
        <w:rPr>
          <w:sz w:val="20"/>
          <w:szCs w:val="20"/>
          <w:color w:val="auto"/>
        </w:rPr>
      </w:pPr>
      <w:r>
        <w:rPr>
          <w:rFonts w:ascii="Arial" w:cs="Arial" w:eastAsia="Arial" w:hAnsi="Arial"/>
          <w:sz w:val="16"/>
          <w:szCs w:val="16"/>
          <w:color w:val="140BE3"/>
        </w:rPr>
        <w:t>New York, NY 10017</w:t>
      </w:r>
    </w:p>
    <w:p>
      <w:pPr>
        <w:spacing w:after="0" w:line="5" w:lineRule="exact"/>
        <w:rPr>
          <w:sz w:val="20"/>
          <w:szCs w:val="20"/>
          <w:color w:val="auto"/>
        </w:rPr>
      </w:pPr>
    </w:p>
    <w:p>
      <w:pPr>
        <w:ind w:left="1820"/>
        <w:spacing w:after="0"/>
        <w:rPr>
          <w:sz w:val="20"/>
          <w:szCs w:val="20"/>
          <w:color w:val="auto"/>
        </w:rPr>
      </w:pPr>
      <w:r>
        <w:rPr>
          <w:rFonts w:ascii="Arial" w:cs="Arial" w:eastAsia="Arial" w:hAnsi="Arial"/>
          <w:sz w:val="16"/>
          <w:szCs w:val="16"/>
          <w:color w:val="140BE3"/>
        </w:rPr>
        <w:t>davispolk.com</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September 14,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4" w:lineRule="auto"/>
        <w:rPr>
          <w:sz w:val="20"/>
          <w:szCs w:val="20"/>
          <w:color w:val="auto"/>
        </w:rPr>
      </w:pPr>
      <w:r>
        <w:rPr>
          <w:rFonts w:ascii="Arial" w:cs="Arial" w:eastAsia="Arial" w:hAnsi="Arial"/>
          <w:sz w:val="18"/>
          <w:szCs w:val="18"/>
          <w:color w:val="auto"/>
        </w:rPr>
        <w:t>One Comcast Center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the guarantors listed in Schedule I hereto (the “</w:t>
      </w:r>
      <w:r>
        <w:rPr>
          <w:rFonts w:ascii="Arial" w:cs="Arial" w:eastAsia="Arial" w:hAnsi="Arial"/>
          <w:sz w:val="18"/>
          <w:szCs w:val="18"/>
          <w:b w:val="1"/>
          <w:bCs w:val="1"/>
          <w:color w:val="auto"/>
        </w:rPr>
        <w:t>Guarantors</w:t>
      </w:r>
      <w:r>
        <w:rPr>
          <w:rFonts w:ascii="Arial" w:cs="Arial" w:eastAsia="Arial" w:hAnsi="Arial"/>
          <w:sz w:val="18"/>
          <w:szCs w:val="18"/>
          <w:color w:val="auto"/>
        </w:rPr>
        <w:t>”), have filed with the Securities and Exchange Commission a Registration Statement on Form S-3 (File No. 333-232941) (the “</w:t>
      </w:r>
      <w:r>
        <w:rPr>
          <w:rFonts w:ascii="Arial" w:cs="Arial" w:eastAsia="Arial" w:hAnsi="Arial"/>
          <w:sz w:val="18"/>
          <w:szCs w:val="18"/>
          <w:b w:val="1"/>
          <w:bCs w:val="1"/>
          <w:color w:val="auto"/>
        </w:rPr>
        <w:t>Registration</w:t>
      </w:r>
      <w:r>
        <w:rPr>
          <w:rFonts w:ascii="Arial" w:cs="Arial" w:eastAsia="Arial" w:hAnsi="Arial"/>
          <w:sz w:val="18"/>
          <w:szCs w:val="18"/>
          <w:color w:val="auto"/>
        </w:rPr>
        <w:t xml:space="preserve"> </w:t>
      </w:r>
      <w:r>
        <w:rPr>
          <w:rFonts w:ascii="Arial" w:cs="Arial" w:eastAsia="Arial" w:hAnsi="Arial"/>
          <w:sz w:val="18"/>
          <w:szCs w:val="18"/>
          <w:b w:val="1"/>
          <w:bCs w:val="1"/>
          <w:color w:val="auto"/>
        </w:rPr>
        <w:t>Statement</w:t>
      </w:r>
      <w:r>
        <w:rPr>
          <w:rFonts w:ascii="Arial" w:cs="Arial" w:eastAsia="Arial" w:hAnsi="Arial"/>
          <w:sz w:val="18"/>
          <w:szCs w:val="18"/>
          <w:color w:val="auto"/>
        </w:rPr>
        <w:t>”) for the purpose of registering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certain securities,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€1,250,000,000 aggregate principal amount of its 0.000% Notes due 2026 (the </w:t>
      </w:r>
      <w:r>
        <w:rPr>
          <w:rFonts w:ascii="Arial" w:cs="Arial" w:eastAsia="Arial" w:hAnsi="Arial"/>
          <w:sz w:val="18"/>
          <w:szCs w:val="18"/>
          <w:b w:val="1"/>
          <w:bCs w:val="1"/>
          <w:color w:val="auto"/>
        </w:rPr>
        <w:t>“2026 Notes”</w:t>
      </w:r>
      <w:r>
        <w:rPr>
          <w:rFonts w:ascii="Arial" w:cs="Arial" w:eastAsia="Arial" w:hAnsi="Arial"/>
          <w:sz w:val="18"/>
          <w:szCs w:val="18"/>
          <w:color w:val="auto"/>
        </w:rPr>
        <w:t xml:space="preserve">) and €500,000,000 aggregate principal amount of its 0.250% Notes due 2029 (the </w:t>
      </w:r>
      <w:r>
        <w:rPr>
          <w:rFonts w:ascii="Arial" w:cs="Arial" w:eastAsia="Arial" w:hAnsi="Arial"/>
          <w:sz w:val="18"/>
          <w:szCs w:val="18"/>
          <w:b w:val="1"/>
          <w:bCs w:val="1"/>
          <w:color w:val="auto"/>
        </w:rPr>
        <w:t>“2029 Notes,”</w:t>
      </w:r>
      <w:r>
        <w:rPr>
          <w:rFonts w:ascii="Arial" w:cs="Arial" w:eastAsia="Arial" w:hAnsi="Arial"/>
          <w:sz w:val="18"/>
          <w:szCs w:val="18"/>
          <w:color w:val="auto"/>
        </w:rPr>
        <w:t xml:space="preserve"> and together with the 2026 Notes the </w:t>
      </w:r>
      <w:r>
        <w:rPr>
          <w:rFonts w:ascii="Arial" w:cs="Arial" w:eastAsia="Arial" w:hAnsi="Arial"/>
          <w:sz w:val="18"/>
          <w:szCs w:val="18"/>
          <w:b w:val="1"/>
          <w:bCs w:val="1"/>
          <w:color w:val="auto"/>
        </w:rPr>
        <w:t>“Notes”</w:t>
      </w:r>
      <w:r>
        <w:rPr>
          <w:rFonts w:ascii="Arial" w:cs="Arial" w:eastAsia="Arial" w:hAnsi="Arial"/>
          <w:sz w:val="18"/>
          <w:szCs w:val="18"/>
          <w:color w:val="auto"/>
        </w:rPr>
        <w:t>). The Notes are to be issued pursuant to the provisions of the Indenture dated as of September 18, 2013 (the “</w:t>
      </w:r>
      <w:r>
        <w:rPr>
          <w:rFonts w:ascii="Arial" w:cs="Arial" w:eastAsia="Arial" w:hAnsi="Arial"/>
          <w:sz w:val="18"/>
          <w:szCs w:val="18"/>
          <w:b w:val="1"/>
          <w:bCs w:val="1"/>
          <w:color w:val="auto"/>
        </w:rPr>
        <w:t>Base Indenture”</w:t>
      </w:r>
      <w:r>
        <w:rPr>
          <w:rFonts w:ascii="Arial" w:cs="Arial" w:eastAsia="Arial" w:hAnsi="Arial"/>
          <w:sz w:val="18"/>
          <w:szCs w:val="18"/>
          <w:color w:val="auto"/>
        </w:rPr>
        <w:t>), as amended by the First Supplemental Indenture thereto dated as of November 17, 2015 (the “</w:t>
      </w:r>
      <w:r>
        <w:rPr>
          <w:rFonts w:ascii="Arial" w:cs="Arial" w:eastAsia="Arial" w:hAnsi="Arial"/>
          <w:sz w:val="18"/>
          <w:szCs w:val="18"/>
          <w:b w:val="1"/>
          <w:bCs w:val="1"/>
          <w:color w:val="auto"/>
        </w:rPr>
        <w:t>First Supplemental Indenture</w:t>
      </w:r>
      <w:r>
        <w:rPr>
          <w:rFonts w:ascii="Arial" w:cs="Arial" w:eastAsia="Arial" w:hAnsi="Arial"/>
          <w:sz w:val="18"/>
          <w:szCs w:val="18"/>
          <w:color w:val="auto"/>
        </w:rPr>
        <w:t>,” and together with the Base Indenture, the “</w:t>
      </w:r>
      <w:r>
        <w:rPr>
          <w:rFonts w:ascii="Arial" w:cs="Arial" w:eastAsia="Arial" w:hAnsi="Arial"/>
          <w:sz w:val="18"/>
          <w:szCs w:val="18"/>
          <w:b w:val="1"/>
          <w:bCs w:val="1"/>
          <w:color w:val="auto"/>
        </w:rPr>
        <w:t>Indenture</w:t>
      </w:r>
      <w:r>
        <w:rPr>
          <w:rFonts w:ascii="Arial" w:cs="Arial" w:eastAsia="Arial" w:hAnsi="Arial"/>
          <w:sz w:val="18"/>
          <w:szCs w:val="18"/>
          <w:color w:val="auto"/>
        </w:rPr>
        <w:t>”) by and among the Company, the Guarantors party thereto (the “</w:t>
      </w:r>
      <w:r>
        <w:rPr>
          <w:rFonts w:ascii="Arial" w:cs="Arial" w:eastAsia="Arial" w:hAnsi="Arial"/>
          <w:sz w:val="18"/>
          <w:szCs w:val="18"/>
          <w:b w:val="1"/>
          <w:bCs w:val="1"/>
          <w:color w:val="auto"/>
        </w:rPr>
        <w:t>Guarantors</w:t>
      </w:r>
      <w:r>
        <w:rPr>
          <w:rFonts w:ascii="Arial" w:cs="Arial" w:eastAsia="Arial" w:hAnsi="Arial"/>
          <w:sz w:val="18"/>
          <w:szCs w:val="18"/>
          <w:color w:val="auto"/>
        </w:rPr>
        <w:t>”) and The Bank of New York Mellon, as trustee (the “</w:t>
      </w:r>
      <w:r>
        <w:rPr>
          <w:rFonts w:ascii="Arial" w:cs="Arial" w:eastAsia="Arial" w:hAnsi="Arial"/>
          <w:sz w:val="18"/>
          <w:szCs w:val="18"/>
          <w:b w:val="1"/>
          <w:bCs w:val="1"/>
          <w:color w:val="auto"/>
        </w:rPr>
        <w:t>Trustee”</w:t>
      </w:r>
      <w:r>
        <w:rPr>
          <w:rFonts w:ascii="Arial" w:cs="Arial" w:eastAsia="Arial" w:hAnsi="Arial"/>
          <w:sz w:val="18"/>
          <w:szCs w:val="18"/>
          <w:color w:val="auto"/>
        </w:rPr>
        <w:t>). The Notes will be guaranteed by each of the Guarantors (the “</w:t>
      </w:r>
      <w:r>
        <w:rPr>
          <w:rFonts w:ascii="Arial" w:cs="Arial" w:eastAsia="Arial" w:hAnsi="Arial"/>
          <w:sz w:val="18"/>
          <w:szCs w:val="18"/>
          <w:b w:val="1"/>
          <w:bCs w:val="1"/>
          <w:color w:val="auto"/>
        </w:rPr>
        <w:t>Guarantees</w:t>
      </w:r>
      <w:r>
        <w:rPr>
          <w:rFonts w:ascii="Arial" w:cs="Arial" w:eastAsia="Arial" w:hAnsi="Arial"/>
          <w:sz w:val="18"/>
          <w:szCs w:val="18"/>
          <w:color w:val="auto"/>
        </w:rPr>
        <w:t>” and, together with the Notes, the “</w:t>
      </w:r>
      <w:r>
        <w:rPr>
          <w:rFonts w:ascii="Arial" w:cs="Arial" w:eastAsia="Arial" w:hAnsi="Arial"/>
          <w:sz w:val="18"/>
          <w:szCs w:val="18"/>
          <w:b w:val="1"/>
          <w:bCs w:val="1"/>
          <w:color w:val="auto"/>
        </w:rPr>
        <w:t>Securities</w:t>
      </w:r>
      <w:r>
        <w:rPr>
          <w:rFonts w:ascii="Arial" w:cs="Arial" w:eastAsia="Arial" w:hAnsi="Arial"/>
          <w:sz w:val="18"/>
          <w:szCs w:val="18"/>
          <w:color w:val="auto"/>
        </w:rPr>
        <w:t>”). The Securities are to be sold pursuant to the Underwriting Agreement dated September 7, 2021 (the “</w:t>
      </w:r>
      <w:r>
        <w:rPr>
          <w:rFonts w:ascii="Arial" w:cs="Arial" w:eastAsia="Arial" w:hAnsi="Arial"/>
          <w:sz w:val="18"/>
          <w:szCs w:val="18"/>
          <w:b w:val="1"/>
          <w:bCs w:val="1"/>
          <w:color w:val="auto"/>
        </w:rPr>
        <w:t>Underwriting Agreement</w:t>
      </w:r>
      <w:r>
        <w:rPr>
          <w:rFonts w:ascii="Arial" w:cs="Arial" w:eastAsia="Arial" w:hAnsi="Arial"/>
          <w:sz w:val="18"/>
          <w:szCs w:val="18"/>
          <w:color w:val="auto"/>
        </w:rPr>
        <w:t>”) among the Company, the Guarantors and the several underwriters named therein (the “</w:t>
      </w:r>
      <w:r>
        <w:rPr>
          <w:rFonts w:ascii="Arial" w:cs="Arial" w:eastAsia="Arial" w:hAnsi="Arial"/>
          <w:sz w:val="18"/>
          <w:szCs w:val="18"/>
          <w:b w:val="1"/>
          <w:bCs w:val="1"/>
          <w:color w:val="auto"/>
        </w:rPr>
        <w:t>Underwriters</w:t>
      </w:r>
      <w:r>
        <w:rPr>
          <w:rFonts w:ascii="Arial" w:cs="Arial" w:eastAsia="Arial" w:hAnsi="Arial"/>
          <w:sz w:val="18"/>
          <w:szCs w:val="18"/>
          <w:color w:val="auto"/>
        </w:rPr>
        <w:t>”).</w:t>
      </w:r>
    </w:p>
    <w:p>
      <w:pPr>
        <w:spacing w:after="0" w:line="194"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8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 rendering the opinions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 (v) all natural persons executing documents had and have the legal capacity to do so, (vi) all statements in certificates of public officials and officers of the Company and the Guarantors that we reviewed were and are accurate and (vii) all representations made by the Company and the Guarantors as to matters of fact in the documents that we reviewed were and are accurate.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37" w:name="page38"/>
    <w:bookmarkEnd w:id="37"/>
    <w:p>
      <w:pPr>
        <w:ind w:left="1820"/>
        <w:spacing w:after="0"/>
        <w:rPr>
          <w:sz w:val="20"/>
          <w:szCs w:val="20"/>
          <w:color w:val="auto"/>
        </w:rPr>
      </w:pPr>
      <w:r>
        <w:rPr>
          <w:rFonts w:ascii="Arial" w:cs="Arial" w:eastAsia="Arial" w:hAnsi="Arial"/>
          <w:sz w:val="18"/>
          <w:szCs w:val="18"/>
          <w:color w:val="0000FF"/>
        </w:rPr>
        <w:t>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-130175</wp:posOffset>
            </wp:positionV>
            <wp:extent cx="899795"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99795" cy="171450"/>
                    </a:xfrm>
                    <a:prstGeom prst="rect">
                      <a:avLst/>
                    </a:prstGeom>
                    <a:noFill/>
                  </pic:spPr>
                </pic:pic>
              </a:graphicData>
            </a:graphic>
          </wp:anchor>
        </w:drawing>
      </w:r>
    </w:p>
    <w:p>
      <w:pPr>
        <w:spacing w:after="0" w:line="30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Based upon the foregoing, and subject to the additional assumptions and qualifications set forth below, we advise you that, in our opinion, assuming the Notes have been duly executed and authenticated in accordance with the provisions of the Indenture and delivered to and paid for by the Underwriters pursuant to the Underwriting Agreement, the Notes will constitute valid and binding obligations of the Company and the Guarantors, as applicable, enforceable in accordance with their terms, subject to applicable bankruptcy, insolvency and similar laws affecting creditors’ rights generally, concepts of reasonableness and equitable principles of general applicability, provided that we express no opinion as to, (x) (i) the effect of fraudulent conveyance, fraudulent transfer or similar provision of applicable law on the conclusions expressed above or (ii) any provision of the Indenture that purports to avoid the effect of fraudulent conveyance, fraudulent transfer or similar provision of applicable law by limiting the amount of any Guarantor’s obligation or (y) the validity, legally binding effect or enforceability of any provision that permits holders to collect any portion of stated principal amount upon acceleration of the Debt Securities to the extent determined to constitute unearned interest.</w:t>
      </w:r>
    </w:p>
    <w:p>
      <w:pPr>
        <w:spacing w:after="0" w:line="192"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Assuming the due authorization of the Notes by the Company and assuming the Notes (and the Guarantees endorsed thereon) have been duly executed and authenticated in accordance with the provisions of the Indenture and delivered to and paid for by the Underwriters pursuant to the Underwriting Agreement, the Guarantees will be valid and binding obligations of each Guarantor, enforceable in accordance with their terms, subject to applicable bankruptcy, insolvency and similar laws affecting creditors’ rights generally, concepts of reasonableness and equitable principles of general applicability; provided that we express no opinion as to the (x) (i) effect of fraudulent conveyance, fraudulent transfer or similar provision of applicable law on the conclusions expressed above or (ii) any provision of the Guarantee that purports to avoid the effect of fraudulent conveyance, fraudulent transfer or similar provision of applicable law by limiting the amount of the Guarantor’s obligation or (y) validity, legally binding effect or enforceability of any provision that permits holders to collect any portion of stated principal amount upon acceleration of the Notes to the extent determined to constitute unearned interest.</w:t>
      </w:r>
    </w:p>
    <w:p>
      <w:pPr>
        <w:spacing w:after="0" w:line="19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connection with the opinions expressed above, we have assumed that the Company and each Guarantor is validly existing and in good standing under the laws of the Commonwealth of Pennsylvania or the State of Delaware, as applicable. In addition, we have assumed that the Indenture and the Securities (collectively, the “</w:t>
      </w:r>
      <w:r>
        <w:rPr>
          <w:rFonts w:ascii="Arial" w:cs="Arial" w:eastAsia="Arial" w:hAnsi="Arial"/>
          <w:sz w:val="18"/>
          <w:szCs w:val="18"/>
          <w:b w:val="1"/>
          <w:bCs w:val="1"/>
          <w:color w:val="auto"/>
        </w:rPr>
        <w:t>Documents</w:t>
      </w:r>
      <w:r>
        <w:rPr>
          <w:rFonts w:ascii="Arial" w:cs="Arial" w:eastAsia="Arial" w:hAnsi="Arial"/>
          <w:sz w:val="18"/>
          <w:szCs w:val="18"/>
          <w:color w:val="auto"/>
        </w:rPr>
        <w:t>”) are valid, binding and enforceable agreements of each party thereto (other than as expressly covered above in respect of the Company and the Guarantors). We have also assumed that the execution, delivery and performance by each party to each Document to which it is a party (a) are within their corporate or limited liability company powers, as applicable, (b) do not contravene, or constitute a default under, the certificate of incorporation or bylaws or other constitutive documents of the Company or any Guarantor, (c) require no action by or in respect of, or filing with, any governmental body, agency or official and (d) do not contravene, or constitute a default under, any provision of applicable law or regulation or any judgment, injunction, order or decree or any agreement or other instrument binding upon the Company or any Guarantor, provided that we make no such assumption to the extent that we have specifically opined as to such matters with respect to the Company and each Guarantor.</w:t>
      </w:r>
    </w:p>
    <w:p>
      <w:pPr>
        <w:spacing w:after="0" w:line="192"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We are members of the Bar of the State of New York and the foregoing opinion is limited to the laws of the State of New York and the Limited Liability Company laws of the State of Delaware, except that we express no opinion as to any law, rule or regulation that is applicable to the Company or the Guarantors, the Documents or such transactions solely because such law, rule or regulation is part of a regulatory regime applicable to any party to any of the Documents or any of its affiliates due to the specific assets or business of such party or such affiliate.</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8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September 14, 2021</w:t>
            </w:r>
          </w:p>
        </w:tc>
        <w:tc>
          <w:tcPr>
            <w:tcW w:w="486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240"/>
          </w:cols>
          <w:pgMar w:left="320" w:top="598" w:right="339" w:bottom="1440" w:gutter="0" w:footer="0" w:header="0"/>
        </w:sectPr>
      </w:pPr>
    </w:p>
    <w:bookmarkStart w:id="38" w:name="page39"/>
    <w:bookmarkEnd w:id="38"/>
    <w:p>
      <w:pPr>
        <w:ind w:left="1820"/>
        <w:spacing w:after="0"/>
        <w:rPr>
          <w:sz w:val="20"/>
          <w:szCs w:val="20"/>
          <w:color w:val="auto"/>
        </w:rPr>
      </w:pPr>
      <w:r>
        <w:rPr>
          <w:rFonts w:ascii="Arial" w:cs="Arial" w:eastAsia="Arial" w:hAnsi="Arial"/>
          <w:sz w:val="18"/>
          <w:szCs w:val="18"/>
          <w:color w:val="0000FF"/>
        </w:rPr>
        <w:t>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-130175</wp:posOffset>
            </wp:positionV>
            <wp:extent cx="899795"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99795" cy="171450"/>
                    </a:xfrm>
                    <a:prstGeom prst="rect">
                      <a:avLst/>
                    </a:prstGeom>
                    <a:noFill/>
                  </pic:spPr>
                </pic:pic>
              </a:graphicData>
            </a:graphic>
          </wp:anchor>
        </w:drawing>
      </w:r>
    </w:p>
    <w:p>
      <w:pPr>
        <w:spacing w:after="0" w:line="300"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We hereby consent to the filing of this opinion as an exhibit to the Registration Statement to a report on Form 8-K to be filed by the Company on the date hereof and its incorporation by reference into the Registration Statement and further consent to the reference to our name under the caption “Legal Matters” in the prospectus supplement which is a part of the Registration Statement. In giving this consent, we do not admit that we are in the category of persons whose consent is required under Section 7 of the Securities Act.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 LLP</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8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September 14, 2021</w:t>
            </w:r>
          </w:p>
        </w:tc>
        <w:tc>
          <w:tcPr>
            <w:tcW w:w="486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auto"/>
              </w:rPr>
              <w:t>3</w:t>
            </w:r>
          </w:p>
        </w:tc>
      </w:tr>
    </w:tbl>
    <w:p>
      <w:pPr>
        <w:spacing w:after="0" w:line="1" w:lineRule="exact"/>
        <w:rPr>
          <w:sz w:val="20"/>
          <w:szCs w:val="20"/>
          <w:color w:val="auto"/>
        </w:rPr>
      </w:pPr>
    </w:p>
    <w:sectPr>
      <w:pgSz w:w="11900" w:h="16838" w:orient="portrait"/>
      <w:cols w:equalWidth="0" w:num="1">
        <w:col w:w="11240"/>
      </w:cols>
      <w:pgMar w:left="320" w:top="5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1."/>
      <w:numFmt w:val="decimal"/>
      <w:start w:val="1"/>
    </w:lvl>
  </w:abstractNum>
  <w:abstractNum w:abstractNumId="2">
    <w:nsid w:val="836C40E"/>
    <w:multiLevelType w:val="hybridMultilevel"/>
    <w:lvl w:ilvl="0">
      <w:lvlJc w:val="left"/>
      <w:lvlText w:val="%1."/>
      <w:numFmt w:val="decimal"/>
      <w:start w:val="2"/>
    </w:lvl>
  </w:abstractNum>
  <w:abstractNum w:abstractNumId="3">
    <w:nsid w:val="2901D82"/>
    <w:multiLevelType w:val="hybridMultilevel"/>
    <w:lvl w:ilvl="0">
      <w:lvlJc w:val="left"/>
      <w:lvlText w:val="%1."/>
      <w:numFmt w:val="decimal"/>
      <w:start w:val="3"/>
    </w:lvl>
  </w:abstractNum>
  <w:abstractNum w:abstractNumId="4">
    <w:nsid w:val="3A95F874"/>
    <w:multiLevelType w:val="hybridMultilevel"/>
    <w:lvl w:ilvl="0">
      <w:lvlJc w:val="left"/>
      <w:lvlText w:val="%1."/>
      <w:numFmt w:val="decimal"/>
      <w:start w:val="4"/>
    </w:lvl>
  </w:abstractNum>
  <w:abstractNum w:abstractNumId="5">
    <w:nsid w:val="8138641"/>
    <w:multiLevelType w:val="hybridMultilevel"/>
    <w:lvl w:ilvl="0">
      <w:lvlJc w:val="left"/>
      <w:lvlText w:val="%1."/>
      <w:numFmt w:val="decimal"/>
      <w:start w:val="5"/>
    </w:lvl>
  </w:abstractNum>
  <w:abstractNum w:abstractNumId="6">
    <w:nsid w:val="1E7FF521"/>
    <w:multiLevelType w:val="hybridMultilevel"/>
    <w:lvl w:ilvl="0">
      <w:lvlJc w:val="left"/>
      <w:lvlText w:val="%1."/>
      <w:numFmt w:val="decimal"/>
      <w:start w:val="6"/>
    </w:lvl>
  </w:abstractNum>
  <w:abstractNum w:abstractNumId="7">
    <w:nsid w:val="7C3DBD3D"/>
    <w:multiLevelType w:val="hybridMultilevel"/>
    <w:lvl w:ilvl="0">
      <w:lvlJc w:val="left"/>
      <w:lvlText w:val="%1."/>
      <w:numFmt w:val="decimal"/>
      <w:start w:val="7"/>
    </w:lvl>
  </w:abstractNum>
  <w:abstractNum w:abstractNumId="8">
    <w:nsid w:val="737B8DDC"/>
    <w:multiLevelType w:val="hybridMultilevel"/>
    <w:lvl w:ilvl="0">
      <w:lvlJc w:val="left"/>
      <w:lvlText w:val="%1."/>
      <w:numFmt w:val="decimal"/>
      <w:start w:val="8"/>
    </w:lvl>
  </w:abstractNum>
  <w:abstractNum w:abstractNumId="9">
    <w:nsid w:val="6CEAF087"/>
    <w:multiLevelType w:val="hybridMultilevel"/>
    <w:lvl w:ilvl="0">
      <w:lvlJc w:val="left"/>
      <w:lvlText w:val="%1."/>
      <w:numFmt w:val="decimal"/>
      <w:start w:val="9"/>
    </w:lvl>
  </w:abstractNum>
  <w:abstractNum w:abstractNumId="10">
    <w:nsid w:val="22221A70"/>
    <w:multiLevelType w:val="hybridMultilevel"/>
    <w:lvl w:ilvl="0">
      <w:lvlJc w:val="left"/>
      <w:lvlText w:val="%1."/>
      <w:numFmt w:val="decimal"/>
      <w:start w:val="10"/>
    </w:lvl>
  </w:abstractNum>
  <w:abstractNum w:abstractNumId="11">
    <w:nsid w:val="4516DDE9"/>
    <w:multiLevelType w:val="hybridMultilevel"/>
    <w:lvl w:ilvl="0">
      <w:lvlJc w:val="left"/>
      <w:lvlText w:val="%1."/>
      <w:numFmt w:val="decimal"/>
      <w:start w:val="11"/>
    </w:lvl>
  </w:abstractNum>
  <w:abstractNum w:abstractNumId="12">
    <w:nsid w:val="3006C83E"/>
    <w:multiLevelType w:val="hybridMultilevel"/>
    <w:lvl w:ilvl="0">
      <w:lvlJc w:val="left"/>
      <w:lvlText w:val="%1."/>
      <w:numFmt w:val="decimal"/>
      <w:start w:val="12"/>
    </w:lvl>
  </w:abstractNum>
  <w:abstractNum w:abstractNumId="13">
    <w:nsid w:val="614FD4A1"/>
    <w:multiLevelType w:val="hybridMultilevel"/>
    <w:lvl w:ilvl="0">
      <w:lvlJc w:val="left"/>
      <w:lvlText w:val="%1."/>
      <w:numFmt w:val="decimal"/>
      <w:start w:val="13"/>
    </w:lvl>
  </w:abstractNum>
  <w:abstractNum w:abstractNumId="14">
    <w:nsid w:val="419AC241"/>
    <w:multiLevelType w:val="hybridMultilevel"/>
    <w:lvl w:ilvl="0">
      <w:lvlJc w:val="left"/>
      <w:lvlText w:val="%1."/>
      <w:numFmt w:val="decimal"/>
      <w:start w:val="14"/>
    </w:lvl>
  </w:abstractNum>
  <w:abstractNum w:abstractNumId="15">
    <w:nsid w:val="5577F8E1"/>
    <w:multiLevelType w:val="hybridMultilevel"/>
    <w:lvl w:ilvl="0">
      <w:lvlJc w:val="left"/>
      <w:lvlText w:val="%1."/>
      <w:numFmt w:val="decimal"/>
      <w:start w:val="15"/>
    </w:lvl>
  </w:abstractNum>
  <w:abstractNum w:abstractNumId="16">
    <w:nsid w:val="440BADFC"/>
    <w:multiLevelType w:val="hybridMultilevel"/>
    <w:lvl w:ilvl="0">
      <w:lvlJc w:val="left"/>
      <w:lvlText w:val="(%1)"/>
      <w:numFmt w:val="lowerLetter"/>
      <w:start w:val="1"/>
    </w:lvl>
  </w:abstractNum>
  <w:abstractNum w:abstractNumId="17">
    <w:nsid w:val="5072367"/>
    <w:multiLevelType w:val="hybridMultilevel"/>
    <w:lvl w:ilvl="0">
      <w:lvlJc w:val="left"/>
      <w:lvlText w:val="%1"/>
      <w:numFmt w:val="lowerLetter"/>
      <w:start w:val="1"/>
    </w:lvl>
    <w:lvl w:ilvl="1">
      <w:lvlJc w:val="left"/>
      <w:lvlText w:val="(%2)"/>
      <w:numFmt w:val="lowerRoman"/>
      <w:start w:val="1"/>
    </w:lvl>
  </w:abstractNum>
  <w:abstractNum w:abstractNumId="18">
    <w:nsid w:val="3804823E"/>
    <w:multiLevelType w:val="hybridMultilevel"/>
    <w:lvl w:ilvl="0">
      <w:lvlJc w:val="left"/>
      <w:lvlText w:val="(%1)"/>
      <w:numFmt w:val="lowerLetter"/>
      <w:start w:val="2"/>
    </w:lvl>
    <w:lvl w:ilvl="1">
      <w:lvlJc w:val="left"/>
      <w:lvlText w:val="%2"/>
      <w:numFmt w:val="lowerRoman"/>
      <w:start w:val="1"/>
    </w:lvl>
  </w:abstractNum>
  <w:abstractNum w:abstractNumId="19">
    <w:nsid w:val="77465F01"/>
    <w:multiLevelType w:val="hybridMultilevel"/>
    <w:lvl w:ilvl="0">
      <w:lvlJc w:val="left"/>
      <w:lvlText w:val="(%1)"/>
      <w:numFmt w:val="lowerLetter"/>
      <w:start w:val="6"/>
    </w:lvl>
  </w:abstractNum>
  <w:abstractNum w:abstractNumId="20">
    <w:nsid w:val="7724C67E"/>
    <w:multiLevelType w:val="hybridMultilevel"/>
    <w:lvl w:ilvl="0">
      <w:lvlJc w:val="left"/>
      <w:lvlText w:val="%1."/>
      <w:numFmt w:val="decimal"/>
      <w:start w:val="16"/>
    </w:lvl>
  </w:abstractNum>
  <w:abstractNum w:abstractNumId="21">
    <w:nsid w:val="5C482A97"/>
    <w:multiLevelType w:val="hybridMultilevel"/>
    <w:lvl w:ilvl="0">
      <w:lvlJc w:val="left"/>
      <w:lvlText w:val="%1."/>
      <w:numFmt w:val="decimal"/>
      <w:start w:val="17"/>
    </w:lvl>
  </w:abstractNum>
  <w:abstractNum w:abstractNumId="22">
    <w:nsid w:val="2463B9EA"/>
    <w:multiLevelType w:val="hybridMultilevel"/>
    <w:lvl w:ilvl="0">
      <w:lvlJc w:val="left"/>
      <w:lvlText w:val="%1."/>
      <w:numFmt w:val="decimal"/>
      <w:start w:val="18"/>
    </w:lvl>
  </w:abstractNum>
  <w:abstractNum w:abstractNumId="23">
    <w:nsid w:val="5E884ADC"/>
    <w:multiLevelType w:val="hybridMultilevel"/>
    <w:lvl w:ilvl="0">
      <w:lvlJc w:val="left"/>
      <w:lvlText w:val="%1."/>
      <w:numFmt w:val="decimal"/>
      <w:start w:val="19"/>
    </w:lvl>
  </w:abstractNum>
  <w:abstractNum w:abstractNumId="24">
    <w:nsid w:val="51EAD36B"/>
    <w:multiLevelType w:val="hybridMultilevel"/>
    <w:lvl w:ilvl="0">
      <w:lvlJc w:val="left"/>
      <w:lvlText w:val="%1."/>
      <w:numFmt w:val="decimal"/>
      <w:start w:val="20"/>
    </w:lvl>
  </w:abstractNum>
  <w:abstractNum w:abstractNumId="25">
    <w:nsid w:val="2D517796"/>
    <w:multiLevelType w:val="hybridMultilevel"/>
    <w:lvl w:ilvl="0">
      <w:lvlJc w:val="left"/>
      <w:lvlText w:val="%1."/>
      <w:numFmt w:val="decimal"/>
      <w:start w:val="21"/>
    </w:lvl>
  </w:abstractNum>
  <w:abstractNum w:abstractNumId="26">
    <w:nsid w:val="580BD78F"/>
    <w:multiLevelType w:val="hybridMultilevel"/>
    <w:lvl w:ilvl="0">
      <w:lvlJc w:val="left"/>
      <w:lvlText w:val="%1."/>
      <w:numFmt w:val="decimal"/>
      <w:start w:val="22"/>
    </w:lvl>
  </w:abstractNum>
  <w:abstractNum w:abstractNumId="27">
    <w:nsid w:val="153EA438"/>
    <w:multiLevelType w:val="hybridMultilevel"/>
    <w:lvl w:ilvl="0">
      <w:lvlJc w:val="left"/>
      <w:lvlText w:val="%1."/>
      <w:numFmt w:val="decimal"/>
      <w:start w:val="1"/>
    </w:lvl>
  </w:abstractNum>
  <w:abstractNum w:abstractNumId="28">
    <w:nsid w:val="3855585C"/>
    <w:multiLevelType w:val="hybridMultilevel"/>
    <w:lvl w:ilvl="0">
      <w:lvlJc w:val="left"/>
      <w:lvlText w:val="%1."/>
      <w:numFmt w:val="decimal"/>
      <w:start w:val="2"/>
    </w:lvl>
  </w:abstractNum>
  <w:abstractNum w:abstractNumId="29">
    <w:nsid w:val="70A64E2A"/>
    <w:multiLevelType w:val="hybridMultilevel"/>
    <w:lvl w:ilvl="0">
      <w:lvlJc w:val="left"/>
      <w:lvlText w:val="%1."/>
      <w:numFmt w:val="decimal"/>
      <w:start w:val="3"/>
    </w:lvl>
  </w:abstractNum>
  <w:abstractNum w:abstractNumId="30">
    <w:nsid w:val="6A2342EC"/>
    <w:multiLevelType w:val="hybridMultilevel"/>
    <w:lvl w:ilvl="0">
      <w:lvlJc w:val="left"/>
      <w:lvlText w:val="%1."/>
      <w:numFmt w:val="decimal"/>
      <w:start w:val="4"/>
    </w:lvl>
  </w:abstractNum>
  <w:abstractNum w:abstractNumId="31">
    <w:nsid w:val="2A487CB0"/>
    <w:multiLevelType w:val="hybridMultilevel"/>
    <w:lvl w:ilvl="0">
      <w:lvlJc w:val="left"/>
      <w:lvlText w:val="%1."/>
      <w:numFmt w:val="decimal"/>
      <w:start w:val="5"/>
    </w:lvl>
  </w:abstractNum>
  <w:abstractNum w:abstractNumId="32">
    <w:nsid w:val="1D4ED43B"/>
    <w:multiLevelType w:val="hybridMultilevel"/>
    <w:lvl w:ilvl="0">
      <w:lvlJc w:val="left"/>
      <w:lvlText w:val="%1."/>
      <w:numFmt w:val="decimal"/>
      <w:start w:val="6"/>
    </w:lvl>
  </w:abstractNum>
  <w:abstractNum w:abstractNumId="33">
    <w:nsid w:val="725A06FB"/>
    <w:multiLevelType w:val="hybridMultilevel"/>
    <w:lvl w:ilvl="0">
      <w:lvlJc w:val="left"/>
      <w:lvlText w:val="%1."/>
      <w:numFmt w:val="decimal"/>
      <w:start w:val="7"/>
    </w:lvl>
  </w:abstractNum>
  <w:abstractNum w:abstractNumId="34">
    <w:nsid w:val="2CD89A32"/>
    <w:multiLevelType w:val="hybridMultilevel"/>
    <w:lvl w:ilvl="0">
      <w:lvlJc w:val="left"/>
      <w:lvlText w:val="%1."/>
      <w:numFmt w:val="decimal"/>
      <w:start w:val="8"/>
    </w:lvl>
  </w:abstractNum>
  <w:abstractNum w:abstractNumId="35">
    <w:nsid w:val="57E4CCAF"/>
    <w:multiLevelType w:val="hybridMultilevel"/>
    <w:lvl w:ilvl="0">
      <w:lvlJc w:val="left"/>
      <w:lvlText w:val="%1."/>
      <w:numFmt w:val="decimal"/>
      <w:start w:val="9"/>
    </w:lvl>
  </w:abstractNum>
  <w:abstractNum w:abstractNumId="36">
    <w:nsid w:val="7A6D8D3C"/>
    <w:multiLevelType w:val="hybridMultilevel"/>
    <w:lvl w:ilvl="0">
      <w:lvlJc w:val="left"/>
      <w:lvlText w:val="%1."/>
      <w:numFmt w:val="decimal"/>
      <w:start w:val="10"/>
    </w:lvl>
  </w:abstractNum>
  <w:abstractNum w:abstractNumId="37">
    <w:nsid w:val="4B588F54"/>
    <w:multiLevelType w:val="hybridMultilevel"/>
    <w:lvl w:ilvl="0">
      <w:lvlJc w:val="left"/>
      <w:lvlText w:val="%1."/>
      <w:numFmt w:val="decimal"/>
      <w:start w:val="11"/>
    </w:lvl>
  </w:abstractNum>
  <w:abstractNum w:abstractNumId="38">
    <w:nsid w:val="542289EC"/>
    <w:multiLevelType w:val="hybridMultilevel"/>
    <w:lvl w:ilvl="0">
      <w:lvlJc w:val="left"/>
      <w:lvlText w:val="%1."/>
      <w:numFmt w:val="decimal"/>
      <w:start w:val="12"/>
    </w:lvl>
  </w:abstractNum>
  <w:abstractNum w:abstractNumId="39">
    <w:nsid w:val="6DE91B18"/>
    <w:multiLevelType w:val="hybridMultilevel"/>
    <w:lvl w:ilvl="0">
      <w:lvlJc w:val="left"/>
      <w:lvlText w:val="%1."/>
      <w:numFmt w:val="decimal"/>
      <w:start w:val="13"/>
    </w:lvl>
  </w:abstractNum>
  <w:abstractNum w:abstractNumId="40">
    <w:nsid w:val="38437FDB"/>
    <w:multiLevelType w:val="hybridMultilevel"/>
    <w:lvl w:ilvl="0">
      <w:lvlJc w:val="left"/>
      <w:lvlText w:val="%1."/>
      <w:numFmt w:val="decimal"/>
      <w:start w:val="14"/>
    </w:lvl>
  </w:abstractNum>
  <w:abstractNum w:abstractNumId="41">
    <w:nsid w:val="7644A45C"/>
    <w:multiLevelType w:val="hybridMultilevel"/>
    <w:lvl w:ilvl="0">
      <w:lvlJc w:val="left"/>
      <w:lvlText w:val="%1."/>
      <w:numFmt w:val="decimal"/>
      <w:start w:val="15"/>
    </w:lvl>
  </w:abstractNum>
  <w:abstractNum w:abstractNumId="42">
    <w:nsid w:val="32FFF902"/>
    <w:multiLevelType w:val="hybridMultilevel"/>
    <w:lvl w:ilvl="0">
      <w:lvlJc w:val="left"/>
      <w:lvlText w:val="(%1)"/>
      <w:numFmt w:val="lowerLetter"/>
      <w:start w:val="1"/>
    </w:lvl>
  </w:abstractNum>
  <w:abstractNum w:abstractNumId="43">
    <w:nsid w:val="684A481A"/>
    <w:multiLevelType w:val="hybridMultilevel"/>
    <w:lvl w:ilvl="0">
      <w:lvlJc w:val="left"/>
      <w:lvlText w:val="%1"/>
      <w:numFmt w:val="lowerLetter"/>
      <w:start w:val="1"/>
    </w:lvl>
    <w:lvl w:ilvl="1">
      <w:lvlJc w:val="left"/>
      <w:lvlText w:val="(%2)"/>
      <w:numFmt w:val="lowerRoman"/>
      <w:start w:val="1"/>
    </w:lvl>
  </w:abstractNum>
  <w:abstractNum w:abstractNumId="44">
    <w:nsid w:val="579478FE"/>
    <w:multiLevelType w:val="hybridMultilevel"/>
    <w:lvl w:ilvl="0">
      <w:lvlJc w:val="left"/>
      <w:lvlText w:val="(%1)"/>
      <w:numFmt w:val="lowerLetter"/>
      <w:start w:val="2"/>
    </w:lvl>
    <w:lvl w:ilvl="1">
      <w:lvlJc w:val="left"/>
      <w:lvlText w:val="%2"/>
      <w:numFmt w:val="lowerRoman"/>
      <w:start w:val="1"/>
    </w:lvl>
  </w:abstractNum>
  <w:abstractNum w:abstractNumId="45">
    <w:nsid w:val="749ABB43"/>
    <w:multiLevelType w:val="hybridMultilevel"/>
    <w:lvl w:ilvl="0">
      <w:lvlJc w:val="left"/>
      <w:lvlText w:val="(%1)"/>
      <w:numFmt w:val="lowerLetter"/>
      <w:start w:val="6"/>
    </w:lvl>
  </w:abstractNum>
  <w:abstractNum w:abstractNumId="46">
    <w:nsid w:val="3DC240FB"/>
    <w:multiLevelType w:val="hybridMultilevel"/>
    <w:lvl w:ilvl="0">
      <w:lvlJc w:val="left"/>
      <w:lvlText w:val="%1."/>
      <w:numFmt w:val="decimal"/>
      <w:start w:val="16"/>
    </w:lvl>
  </w:abstractNum>
  <w:abstractNum w:abstractNumId="47">
    <w:nsid w:val="1BA026FA"/>
    <w:multiLevelType w:val="hybridMultilevel"/>
    <w:lvl w:ilvl="0">
      <w:lvlJc w:val="left"/>
      <w:lvlText w:val="%1."/>
      <w:numFmt w:val="decimal"/>
      <w:start w:val="17"/>
    </w:lvl>
  </w:abstractNum>
  <w:abstractNum w:abstractNumId="48">
    <w:nsid w:val="79A1DEAA"/>
    <w:multiLevelType w:val="hybridMultilevel"/>
    <w:lvl w:ilvl="0">
      <w:lvlJc w:val="left"/>
      <w:lvlText w:val="%1."/>
      <w:numFmt w:val="decimal"/>
      <w:start w:val="18"/>
    </w:lvl>
  </w:abstractNum>
  <w:abstractNum w:abstractNumId="49">
    <w:nsid w:val="75C6C33A"/>
    <w:multiLevelType w:val="hybridMultilevel"/>
    <w:lvl w:ilvl="0">
      <w:lvlJc w:val="left"/>
      <w:lvlText w:val="%1."/>
      <w:numFmt w:val="decimal"/>
      <w:start w:val="19"/>
    </w:lvl>
  </w:abstractNum>
  <w:abstractNum w:abstractNumId="50">
    <w:nsid w:val="12E685FB"/>
    <w:multiLevelType w:val="hybridMultilevel"/>
    <w:lvl w:ilvl="0">
      <w:lvlJc w:val="left"/>
      <w:lvlText w:val="%1."/>
      <w:numFmt w:val="decimal"/>
      <w:start w:val="20"/>
    </w:lvl>
  </w:abstractNum>
  <w:abstractNum w:abstractNumId="51">
    <w:nsid w:val="70C6A529"/>
    <w:multiLevelType w:val="hybridMultilevel"/>
    <w:lvl w:ilvl="0">
      <w:lvlJc w:val="left"/>
      <w:lvlText w:val="%1."/>
      <w:numFmt w:val="decimal"/>
      <w:start w:val="21"/>
    </w:lvl>
  </w:abstractNum>
  <w:abstractNum w:abstractNumId="52">
    <w:nsid w:val="520EEDD1"/>
    <w:multiLevelType w:val="hybridMultilevel"/>
    <w:lvl w:ilvl="0">
      <w:lvlJc w:val="left"/>
      <w:lvlText w:val="%1."/>
      <w:numFmt w:val="decimal"/>
      <w:start w:val="22"/>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2021-09-14T15:29:09Z</dcterms:created>
  <dcterms:modified xsi:type="dcterms:W3CDTF">2021-09-14T15:29:09Z</dcterms:modified>
</cp:coreProperties>
</file>