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60" w:type="dxa"/>
            <w:vAlign w:val="bottom"/>
          </w:tcPr>
          <w:p>
            <w:pPr>
              <w:spacing w:after="0"/>
              <w:rPr>
                <w:sz w:val="20"/>
                <w:szCs w:val="20"/>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January 29, 2026</w:t>
            </w:r>
          </w:p>
        </w:tc>
      </w:tr>
      <w:tr>
        <w:trPr>
          <w:trHeight w:val="45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29, 2026, Comcast Corporation (“Comcast”) issued a press release reporting the results of its operations for the three and twelve months ended December 31, 2025.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January 29, 2026.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508000</wp:posOffset>
            </wp:positionH>
            <wp:positionV relativeFrom="page">
              <wp:posOffset>260350</wp:posOffset>
            </wp:positionV>
            <wp:extent cx="13716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4038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4th QUARTER 2025 RESULTS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PHILADELPHIA - January 29, 2026… Comcast Corporation (NASDAQ: CMCSA) today reported results for the quarter and year ended December 31, 2025.</w:t>
      </w:r>
    </w:p>
    <w:p>
      <w:pPr>
        <w:jc w:val="both"/>
        <w:spacing w:after="0" w:line="234" w:lineRule="auto"/>
        <w:rPr>
          <w:sz w:val="20"/>
          <w:szCs w:val="20"/>
          <w:color w:val="auto"/>
        </w:rPr>
      </w:pPr>
      <w:r>
        <w:rPr>
          <w:rFonts w:ascii="Arial" w:cs="Arial" w:eastAsia="Arial" w:hAnsi="Arial"/>
          <w:sz w:val="18"/>
          <w:szCs w:val="18"/>
          <w:i w:val="1"/>
          <w:iCs w:val="1"/>
          <w:color w:val="auto"/>
        </w:rPr>
        <w:t xml:space="preserve">"2025 was a year of meaningful progress as we made decisive changes to position the company for long -term, sustainable growth," </w:t>
      </w:r>
      <w:r>
        <w:rPr>
          <w:rFonts w:ascii="Arial" w:cs="Arial" w:eastAsia="Arial" w:hAnsi="Arial"/>
          <w:sz w:val="18"/>
          <w:szCs w:val="18"/>
          <w:color w:val="auto"/>
        </w:rPr>
        <w:t xml:space="preserve">said co-CEOs Brian L. Roberts and Mike Cavanagh. </w:t>
      </w:r>
      <w:r>
        <w:rPr>
          <w:rFonts w:ascii="Arial" w:cs="Arial" w:eastAsia="Arial" w:hAnsi="Arial"/>
          <w:sz w:val="18"/>
          <w:szCs w:val="18"/>
          <w:i w:val="1"/>
          <w:iCs w:val="1"/>
          <w:color w:val="auto"/>
        </w:rPr>
        <w:t>"It was also our best year ever in wireless, with 1.5 million net line additions and more than 9</w:t>
      </w:r>
      <w:r>
        <w:rPr>
          <w:rFonts w:ascii="Arial" w:cs="Arial" w:eastAsia="Arial" w:hAnsi="Arial"/>
          <w:sz w:val="18"/>
          <w:szCs w:val="18"/>
          <w:color w:val="auto"/>
        </w:rPr>
        <w:t xml:space="preserve"> </w:t>
      </w:r>
      <w:r>
        <w:rPr>
          <w:rFonts w:ascii="Arial" w:cs="Arial" w:eastAsia="Arial" w:hAnsi="Arial"/>
          <w:sz w:val="18"/>
          <w:szCs w:val="18"/>
          <w:i w:val="1"/>
          <w:iCs w:val="1"/>
          <w:color w:val="auto"/>
        </w:rPr>
        <w:t>million total lines, clear evidence of the strength of our converged connectivity strategy. We launched the most significant broadband go-to-market shift in our history, simplifying how we sell to and serve customers, and we are seeing encouraging early results. Epic Universe is off to a terrific start, driving higher per-cap spending and attendance across Orlando; and Peacock delivered double-digit revenue growth, underscoring the momentum of its sports and entertainment lineup, including the debut of the NBA on NBC and Peacock. We also completed</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the spin of Versant Media, creating a more focused NBCUniversal centered on streaming, live sports, and premium content. Even as we invested behind these initiatives, we generated record levels of free cash flow and maintained a strong balance sheet, reflecting a disciplined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approach to capital allocation as we remain focused on execution in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1"/>
                <w:szCs w:val="11"/>
                <w:i w:val="1"/>
                <w:iCs w:val="1"/>
                <w:color w:val="auto"/>
              </w:rPr>
              <w:t>($ in millions, except per share data)</w:t>
            </w:r>
          </w:p>
        </w:tc>
        <w:tc>
          <w:tcPr>
            <w:tcW w:w="6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right w:val="single" w:sz="8" w:color="D9D9D6"/>
            </w:tcBorders>
            <w:shd w:val="clear" w:color="auto" w:fill="D9D9D6"/>
          </w:tcPr>
          <w:p>
            <w:pPr>
              <w:spacing w:after="0"/>
              <w:rPr>
                <w:sz w:val="17"/>
                <w:szCs w:val="17"/>
                <w:color w:val="auto"/>
              </w:rPr>
            </w:pPr>
          </w:p>
        </w:tc>
        <w:tc>
          <w:tcPr>
            <w:tcW w:w="280" w:type="dxa"/>
            <w:vAlign w:val="bottom"/>
            <w:tcBorders>
              <w:bottom w:val="single" w:sz="8" w:color="D9D9D6"/>
              <w:right w:val="single" w:sz="8" w:color="D9D9D6"/>
            </w:tcBorders>
            <w:shd w:val="clear" w:color="auto" w:fill="D9D9D6"/>
          </w:tcPr>
          <w:p>
            <w:pPr>
              <w:spacing w:after="0"/>
              <w:rPr>
                <w:sz w:val="17"/>
                <w:szCs w:val="17"/>
                <w:color w:val="auto"/>
              </w:rPr>
            </w:pPr>
          </w:p>
        </w:tc>
        <w:tc>
          <w:tcPr>
            <w:tcW w:w="8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6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4440" w:type="dxa"/>
            <w:vAlign w:val="bottom"/>
            <w:tcBorders>
              <w:bottom w:val="single" w:sz="8" w:color="D9D9D6"/>
            </w:tcBorders>
            <w:shd w:val="clear" w:color="auto" w:fill="D9D9D6"/>
          </w:tcPr>
          <w:p>
            <w:pPr>
              <w:spacing w:after="0"/>
              <w:rPr>
                <w:sz w:val="14"/>
                <w:szCs w:val="14"/>
                <w:color w:val="auto"/>
              </w:rPr>
            </w:pPr>
          </w:p>
        </w:tc>
        <w:tc>
          <w:tcPr>
            <w:tcW w:w="64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right w:val="single" w:sz="8" w:color="D9D9D6"/>
            </w:tcBorders>
            <w:shd w:val="clear" w:color="auto" w:fill="D9D9D6"/>
          </w:tcPr>
          <w:p>
            <w:pPr>
              <w:spacing w:after="0"/>
              <w:rPr>
                <w:sz w:val="14"/>
                <w:szCs w:val="14"/>
                <w:color w:val="auto"/>
              </w:rPr>
            </w:pPr>
          </w:p>
        </w:tc>
        <w:tc>
          <w:tcPr>
            <w:tcW w:w="20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4th Quarter</w:t>
            </w:r>
          </w:p>
        </w:tc>
        <w:tc>
          <w:tcPr>
            <w:tcW w:w="60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right w:val="single" w:sz="8" w:color="D9D9D6"/>
            </w:tcBorders>
            <w:shd w:val="clear" w:color="auto" w:fill="D9D9D6"/>
          </w:tcPr>
          <w:p>
            <w:pPr>
              <w:spacing w:after="0"/>
              <w:rPr>
                <w:sz w:val="14"/>
                <w:szCs w:val="14"/>
                <w:color w:val="auto"/>
              </w:rPr>
            </w:pPr>
          </w:p>
        </w:tc>
        <w:tc>
          <w:tcPr>
            <w:tcW w:w="280" w:type="dxa"/>
            <w:vAlign w:val="bottom"/>
            <w:tcBorders>
              <w:bottom w:val="single" w:sz="8" w:color="D9D9D6"/>
              <w:right w:val="single" w:sz="8" w:color="828282"/>
            </w:tcBorders>
            <w:shd w:val="clear" w:color="auto" w:fill="D9D9D6"/>
          </w:tcPr>
          <w:p>
            <w:pPr>
              <w:spacing w:after="0"/>
              <w:rPr>
                <w:sz w:val="14"/>
                <w:szCs w:val="14"/>
                <w:color w:val="auto"/>
              </w:rPr>
            </w:pPr>
          </w:p>
        </w:tc>
        <w:tc>
          <w:tcPr>
            <w:tcW w:w="86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56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w w:val="96"/>
              </w:rPr>
              <w:t>Full Year</w:t>
            </w:r>
          </w:p>
        </w:tc>
        <w:tc>
          <w:tcPr>
            <w:tcW w:w="760" w:type="dxa"/>
            <w:vAlign w:val="bottom"/>
            <w:tcBorders>
              <w:bottom w:val="single" w:sz="8" w:color="D9D9D6"/>
            </w:tcBorders>
            <w:gridSpan w:val="2"/>
            <w:shd w:val="clear" w:color="auto" w:fill="D9D9D6"/>
          </w:tcPr>
          <w:p>
            <w:pPr>
              <w:spacing w:after="0"/>
              <w:rPr>
                <w:sz w:val="14"/>
                <w:szCs w:val="14"/>
                <w:color w:val="auto"/>
              </w:rPr>
            </w:pPr>
          </w:p>
        </w:tc>
        <w:tc>
          <w:tcPr>
            <w:tcW w:w="500" w:type="dxa"/>
            <w:vAlign w:val="bottom"/>
            <w:tcBorders>
              <w:bottom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r>
      <w:tr>
        <w:trPr>
          <w:trHeight w:val="183"/>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b w:val="1"/>
                <w:bCs w:val="1"/>
                <w:color w:val="auto"/>
              </w:rPr>
              <w:t>Consolidated Results</w:t>
            </w:r>
          </w:p>
        </w:tc>
        <w:tc>
          <w:tcPr>
            <w:tcW w:w="64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12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280" w:type="dxa"/>
            <w:vAlign w:val="bottom"/>
            <w:tcBorders>
              <w:right w:val="single" w:sz="8" w:color="828282"/>
            </w:tcBorders>
            <w:shd w:val="clear" w:color="auto" w:fill="D9D9D6"/>
          </w:tcPr>
          <w:p>
            <w:pPr>
              <w:spacing w:after="0"/>
              <w:rPr>
                <w:sz w:val="15"/>
                <w:szCs w:val="15"/>
                <w:color w:val="auto"/>
              </w:rPr>
            </w:pPr>
          </w:p>
        </w:tc>
        <w:tc>
          <w:tcPr>
            <w:tcW w:w="150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2025</w:t>
            </w:r>
          </w:p>
        </w:tc>
        <w:tc>
          <w:tcPr>
            <w:tcW w:w="1320" w:type="dxa"/>
            <w:vAlign w:val="bottom"/>
            <w:gridSpan w:val="4"/>
            <w:shd w:val="clear" w:color="auto" w:fill="D9D9D6"/>
          </w:tcPr>
          <w:p>
            <w:pPr>
              <w:jc w:val="right"/>
              <w:ind w:right="660"/>
              <w:spacing w:after="0"/>
              <w:rPr>
                <w:sz w:val="20"/>
                <w:szCs w:val="20"/>
                <w:color w:val="auto"/>
              </w:rPr>
            </w:pPr>
            <w:r>
              <w:rPr>
                <w:rFonts w:ascii="Arial" w:cs="Arial" w:eastAsia="Arial" w:hAnsi="Arial"/>
                <w:sz w:val="14"/>
                <w:szCs w:val="14"/>
                <w:color w:val="auto"/>
              </w:rPr>
              <w:t>2024</w:t>
            </w:r>
          </w:p>
        </w:tc>
        <w:tc>
          <w:tcPr>
            <w:tcW w:w="6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444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6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309"/>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Revenue</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$32,310</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$31,915</w:t>
            </w:r>
          </w:p>
        </w:tc>
        <w:tc>
          <w:tcPr>
            <w:tcW w:w="112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w:t>
            </w:r>
          </w:p>
        </w:tc>
        <w:tc>
          <w:tcPr>
            <w:tcW w:w="280" w:type="dxa"/>
            <w:vAlign w:val="bottom"/>
            <w:tcBorders>
              <w:right w:val="single" w:sz="8" w:color="828282"/>
            </w:tcBorders>
            <w:shd w:val="clear" w:color="auto" w:fill="D9D9D6"/>
          </w:tcPr>
          <w:p>
            <w:pPr>
              <w:spacing w:after="0"/>
              <w:rPr>
                <w:sz w:val="24"/>
                <w:szCs w:val="24"/>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$123,707</w:t>
            </w:r>
          </w:p>
        </w:tc>
        <w:tc>
          <w:tcPr>
            <w:tcW w:w="320" w:type="dxa"/>
            <w:vAlign w:val="bottom"/>
            <w:shd w:val="clear" w:color="auto" w:fill="D9D9D6"/>
          </w:tcPr>
          <w:p>
            <w:pPr>
              <w:spacing w:after="0"/>
              <w:rPr>
                <w:sz w:val="24"/>
                <w:szCs w:val="24"/>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$123,731</w:t>
            </w:r>
          </w:p>
        </w:tc>
        <w:tc>
          <w:tcPr>
            <w:tcW w:w="660" w:type="dxa"/>
            <w:vAlign w:val="bottom"/>
            <w:shd w:val="clear" w:color="auto" w:fill="D9D9D6"/>
          </w:tcPr>
          <w:p>
            <w:pPr>
              <w:spacing w:after="0"/>
              <w:rPr>
                <w:sz w:val="24"/>
                <w:szCs w:val="24"/>
                <w:color w:val="auto"/>
              </w:rPr>
            </w:pPr>
          </w:p>
        </w:tc>
        <w:tc>
          <w:tcPr>
            <w:tcW w:w="620" w:type="dxa"/>
            <w:vAlign w:val="bottom"/>
            <w:gridSpan w:val="2"/>
            <w:shd w:val="clear" w:color="auto" w:fill="D9D9D6"/>
          </w:tcPr>
          <w:p>
            <w:pPr>
              <w:ind w:left="160"/>
              <w:spacing w:after="0"/>
              <w:rPr>
                <w:sz w:val="20"/>
                <w:szCs w:val="20"/>
                <w:color w:val="auto"/>
              </w:rPr>
            </w:pPr>
            <w:r>
              <w:rPr>
                <w:rFonts w:ascii="Arial" w:cs="Arial" w:eastAsia="Arial" w:hAnsi="Arial"/>
                <w:sz w:val="14"/>
                <w:szCs w:val="14"/>
                <w:color w:val="auto"/>
              </w:rPr>
              <w:t>—%</w:t>
            </w:r>
          </w:p>
        </w:tc>
      </w:tr>
      <w:tr>
        <w:trPr>
          <w:trHeight w:val="203"/>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Income Attributable to Comcast</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$2,168</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$4,778</w:t>
            </w:r>
          </w:p>
        </w:tc>
        <w:tc>
          <w:tcPr>
            <w:tcW w:w="112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(54.6%)</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$19,998</w:t>
            </w:r>
          </w:p>
        </w:tc>
        <w:tc>
          <w:tcPr>
            <w:tcW w:w="320" w:type="dxa"/>
            <w:vAlign w:val="bottom"/>
            <w:shd w:val="clear" w:color="auto" w:fill="D9D9D6"/>
          </w:tcPr>
          <w:p>
            <w:pPr>
              <w:spacing w:after="0"/>
              <w:rPr>
                <w:sz w:val="17"/>
                <w:szCs w:val="17"/>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$16,192</w:t>
            </w:r>
          </w:p>
        </w:tc>
        <w:tc>
          <w:tcPr>
            <w:tcW w:w="660" w:type="dxa"/>
            <w:vAlign w:val="bottom"/>
            <w:shd w:val="clear" w:color="auto" w:fill="D9D9D6"/>
          </w:tcPr>
          <w:p>
            <w:pPr>
              <w:spacing w:after="0"/>
              <w:rPr>
                <w:sz w:val="17"/>
                <w:szCs w:val="17"/>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D9D9D6"/>
          </w:tcPr>
          <w:p>
            <w:pPr>
              <w:spacing w:after="0"/>
              <w:rPr>
                <w:sz w:val="17"/>
                <w:szCs w:val="17"/>
                <w:color w:val="auto"/>
              </w:rPr>
            </w:pPr>
          </w:p>
        </w:tc>
      </w:tr>
      <w:tr>
        <w:trPr>
          <w:trHeight w:val="210"/>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$3,062</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$3,694</w:t>
            </w:r>
          </w:p>
        </w:tc>
        <w:tc>
          <w:tcPr>
            <w:tcW w:w="112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(17.1%)</w:t>
            </w:r>
          </w:p>
        </w:tc>
        <w:tc>
          <w:tcPr>
            <w:tcW w:w="280" w:type="dxa"/>
            <w:vAlign w:val="bottom"/>
            <w:tcBorders>
              <w:right w:val="single" w:sz="8" w:color="828282"/>
            </w:tcBorders>
            <w:shd w:val="clear" w:color="auto" w:fill="D9D9D6"/>
          </w:tcPr>
          <w:p>
            <w:pPr>
              <w:spacing w:after="0"/>
              <w:rPr>
                <w:sz w:val="18"/>
                <w:szCs w:val="18"/>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$15,972</w:t>
            </w:r>
          </w:p>
        </w:tc>
        <w:tc>
          <w:tcPr>
            <w:tcW w:w="320" w:type="dxa"/>
            <w:vAlign w:val="bottom"/>
            <w:shd w:val="clear" w:color="auto" w:fill="D9D9D6"/>
          </w:tcPr>
          <w:p>
            <w:pPr>
              <w:spacing w:after="0"/>
              <w:rPr>
                <w:sz w:val="18"/>
                <w:szCs w:val="18"/>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$16,937</w:t>
            </w:r>
          </w:p>
        </w:tc>
        <w:tc>
          <w:tcPr>
            <w:tcW w:w="660" w:type="dxa"/>
            <w:vAlign w:val="bottom"/>
            <w:shd w:val="clear" w:color="auto" w:fill="D9D9D6"/>
          </w:tcPr>
          <w:p>
            <w:pPr>
              <w:spacing w:after="0"/>
              <w:rPr>
                <w:sz w:val="18"/>
                <w:szCs w:val="18"/>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D9D9D6"/>
          </w:tcPr>
          <w:p>
            <w:pPr>
              <w:spacing w:after="0"/>
              <w:rPr>
                <w:sz w:val="18"/>
                <w:szCs w:val="18"/>
                <w:color w:val="auto"/>
              </w:rPr>
            </w:pPr>
          </w:p>
        </w:tc>
      </w:tr>
      <w:tr>
        <w:trPr>
          <w:trHeight w:val="203"/>
        </w:trPr>
        <w:tc>
          <w:tcPr>
            <w:tcW w:w="444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$7,900</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$8,807</w:t>
            </w:r>
          </w:p>
        </w:tc>
        <w:tc>
          <w:tcPr>
            <w:tcW w:w="112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(10.3%)</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$37,384</w:t>
            </w:r>
          </w:p>
        </w:tc>
        <w:tc>
          <w:tcPr>
            <w:tcW w:w="320" w:type="dxa"/>
            <w:vAlign w:val="bottom"/>
            <w:shd w:val="clear" w:color="auto" w:fill="D9D9D6"/>
          </w:tcPr>
          <w:p>
            <w:pPr>
              <w:spacing w:after="0"/>
              <w:rPr>
                <w:sz w:val="17"/>
                <w:szCs w:val="17"/>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$38,069</w:t>
            </w:r>
          </w:p>
        </w:tc>
        <w:tc>
          <w:tcPr>
            <w:tcW w:w="660" w:type="dxa"/>
            <w:vAlign w:val="bottom"/>
            <w:shd w:val="clear" w:color="auto" w:fill="D9D9D6"/>
          </w:tcPr>
          <w:p>
            <w:pPr>
              <w:spacing w:after="0"/>
              <w:rPr>
                <w:sz w:val="17"/>
                <w:szCs w:val="17"/>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9D9D6"/>
          </w:tcPr>
          <w:p>
            <w:pPr>
              <w:spacing w:after="0"/>
              <w:rPr>
                <w:sz w:val="17"/>
                <w:szCs w:val="17"/>
                <w:color w:val="auto"/>
              </w:rPr>
            </w:pPr>
          </w:p>
        </w:tc>
      </w:tr>
      <w:tr>
        <w:trPr>
          <w:trHeight w:val="203"/>
        </w:trPr>
        <w:tc>
          <w:tcPr>
            <w:tcW w:w="444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$0.60</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$1.24</w:t>
            </w:r>
          </w:p>
        </w:tc>
        <w:tc>
          <w:tcPr>
            <w:tcW w:w="112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(52.0%)</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$5.39</w:t>
            </w:r>
          </w:p>
        </w:tc>
        <w:tc>
          <w:tcPr>
            <w:tcW w:w="320" w:type="dxa"/>
            <w:vAlign w:val="bottom"/>
            <w:shd w:val="clear" w:color="auto" w:fill="D9D9D6"/>
          </w:tcPr>
          <w:p>
            <w:pPr>
              <w:spacing w:after="0"/>
              <w:rPr>
                <w:sz w:val="17"/>
                <w:szCs w:val="17"/>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$4.14</w:t>
            </w:r>
          </w:p>
        </w:tc>
        <w:tc>
          <w:tcPr>
            <w:tcW w:w="660" w:type="dxa"/>
            <w:vAlign w:val="bottom"/>
            <w:shd w:val="clear" w:color="auto" w:fill="D9D9D6"/>
          </w:tcPr>
          <w:p>
            <w:pPr>
              <w:spacing w:after="0"/>
              <w:rPr>
                <w:sz w:val="17"/>
                <w:szCs w:val="17"/>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D9D9D6"/>
          </w:tcPr>
          <w:p>
            <w:pPr>
              <w:spacing w:after="0"/>
              <w:rPr>
                <w:sz w:val="17"/>
                <w:szCs w:val="17"/>
                <w:color w:val="auto"/>
              </w:rPr>
            </w:pPr>
          </w:p>
        </w:tc>
      </w:tr>
      <w:tr>
        <w:trPr>
          <w:trHeight w:val="203"/>
        </w:trPr>
        <w:tc>
          <w:tcPr>
            <w:tcW w:w="444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$0.84</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$0.96</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(12.4%)</w:t>
            </w:r>
          </w:p>
        </w:tc>
        <w:tc>
          <w:tcPr>
            <w:tcW w:w="280" w:type="dxa"/>
            <w:vAlign w:val="bottom"/>
            <w:tcBorders>
              <w:right w:val="single" w:sz="8" w:color="828282"/>
            </w:tcBorders>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$4.31</w:t>
            </w:r>
          </w:p>
        </w:tc>
        <w:tc>
          <w:tcPr>
            <w:tcW w:w="32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$4.33</w:t>
            </w:r>
          </w:p>
        </w:tc>
        <w:tc>
          <w:tcPr>
            <w:tcW w:w="6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r>
      <w:tr>
        <w:trPr>
          <w:trHeight w:val="195"/>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$8,841</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$8,080</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c>
          <w:tcPr>
            <w:tcW w:w="280" w:type="dxa"/>
            <w:vAlign w:val="bottom"/>
            <w:tcBorders>
              <w:right w:val="single" w:sz="8" w:color="828282"/>
            </w:tcBorders>
            <w:shd w:val="clear" w:color="auto" w:fill="D9D9D6"/>
          </w:tcPr>
          <w:p>
            <w:pPr>
              <w:spacing w:after="0"/>
              <w:rPr>
                <w:sz w:val="16"/>
                <w:szCs w:val="16"/>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$33,643</w:t>
            </w:r>
          </w:p>
        </w:tc>
        <w:tc>
          <w:tcPr>
            <w:tcW w:w="320" w:type="dxa"/>
            <w:vAlign w:val="bottom"/>
            <w:shd w:val="clear" w:color="auto" w:fill="D9D9D6"/>
          </w:tcPr>
          <w:p>
            <w:pPr>
              <w:spacing w:after="0"/>
              <w:rPr>
                <w:sz w:val="16"/>
                <w:szCs w:val="16"/>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$27,673</w:t>
            </w:r>
          </w:p>
        </w:tc>
        <w:tc>
          <w:tcPr>
            <w:tcW w:w="660" w:type="dxa"/>
            <w:vAlign w:val="bottom"/>
            <w:shd w:val="clear" w:color="auto" w:fill="D9D9D6"/>
          </w:tcPr>
          <w:p>
            <w:pPr>
              <w:spacing w:after="0"/>
              <w:rPr>
                <w:sz w:val="16"/>
                <w:szCs w:val="16"/>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D9D9D6"/>
          </w:tcPr>
          <w:p>
            <w:pPr>
              <w:spacing w:after="0"/>
              <w:rPr>
                <w:sz w:val="16"/>
                <w:szCs w:val="16"/>
                <w:color w:val="auto"/>
              </w:rPr>
            </w:pPr>
          </w:p>
        </w:tc>
      </w:tr>
      <w:tr>
        <w:trPr>
          <w:trHeight w:val="245"/>
        </w:trPr>
        <w:tc>
          <w:tcPr>
            <w:tcW w:w="44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8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$4,369</w:t>
            </w:r>
          </w:p>
        </w:tc>
        <w:tc>
          <w:tcPr>
            <w:tcW w:w="980" w:type="dxa"/>
            <w:vAlign w:val="bottom"/>
            <w:tcBorders>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$3,260</w:t>
            </w:r>
          </w:p>
        </w:tc>
        <w:tc>
          <w:tcPr>
            <w:tcW w:w="1120" w:type="dxa"/>
            <w:vAlign w:val="bottom"/>
            <w:tcBorders>
              <w:bottom w:val="single" w:sz="8" w:color="D9D9D6"/>
            </w:tcBorders>
            <w:gridSpan w:val="2"/>
          </w:tcPr>
          <w:p>
            <w:pPr>
              <w:jc w:val="right"/>
              <w:ind w:right="60"/>
              <w:spacing w:after="0"/>
              <w:rPr>
                <w:sz w:val="20"/>
                <w:szCs w:val="20"/>
                <w:color w:val="auto"/>
              </w:rPr>
            </w:pPr>
            <w:r>
              <w:rPr>
                <w:rFonts w:ascii="Arial" w:cs="Arial" w:eastAsia="Arial" w:hAnsi="Arial"/>
                <w:sz w:val="14"/>
                <w:szCs w:val="14"/>
                <w:color w:val="auto"/>
              </w:rPr>
              <w:t>34.0%</w:t>
            </w:r>
          </w:p>
        </w:tc>
        <w:tc>
          <w:tcPr>
            <w:tcW w:w="280" w:type="dxa"/>
            <w:vAlign w:val="bottom"/>
            <w:tcBorders>
              <w:bottom w:val="single" w:sz="8" w:color="D9D9D6"/>
              <w:right w:val="single" w:sz="8" w:color="828282"/>
            </w:tcBorders>
            <w:shd w:val="clear" w:color="auto" w:fill="D9D9D6"/>
          </w:tcPr>
          <w:p>
            <w:pPr>
              <w:spacing w:after="0"/>
              <w:rPr>
                <w:sz w:val="21"/>
                <w:szCs w:val="21"/>
                <w:color w:val="auto"/>
              </w:rPr>
            </w:pPr>
          </w:p>
        </w:tc>
        <w:tc>
          <w:tcPr>
            <w:tcW w:w="118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$19,235</w:t>
            </w:r>
          </w:p>
        </w:tc>
        <w:tc>
          <w:tcPr>
            <w:tcW w:w="320" w:type="dxa"/>
            <w:vAlign w:val="bottom"/>
            <w:tcBorders>
              <w:bottom w:val="single" w:sz="8" w:color="D9D9D6"/>
            </w:tcBorders>
            <w:shd w:val="clear" w:color="auto" w:fill="D9D9D6"/>
          </w:tcPr>
          <w:p>
            <w:pPr>
              <w:spacing w:after="0"/>
              <w:rPr>
                <w:sz w:val="21"/>
                <w:szCs w:val="21"/>
                <w:color w:val="auto"/>
              </w:rPr>
            </w:pPr>
          </w:p>
        </w:tc>
        <w:tc>
          <w:tcPr>
            <w:tcW w:w="66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$12,543</w:t>
            </w:r>
          </w:p>
        </w:tc>
        <w:tc>
          <w:tcPr>
            <w:tcW w:w="660" w:type="dxa"/>
            <w:vAlign w:val="bottom"/>
            <w:tcBorders>
              <w:bottom w:val="single" w:sz="8" w:color="D9D9D6"/>
            </w:tcBorders>
            <w:shd w:val="clear" w:color="auto" w:fill="D9D9D6"/>
          </w:tcPr>
          <w:p>
            <w:pPr>
              <w:spacing w:after="0"/>
              <w:rPr>
                <w:sz w:val="21"/>
                <w:szCs w:val="21"/>
                <w:color w:val="auto"/>
              </w:rPr>
            </w:pPr>
          </w:p>
        </w:tc>
        <w:tc>
          <w:tcPr>
            <w:tcW w:w="50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D9D9D6"/>
            </w:tcBorders>
            <w:shd w:val="clear" w:color="auto" w:fill="D9D9D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-548005</wp:posOffset>
            </wp:positionV>
            <wp:extent cx="307721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7210" cy="514350"/>
                    </a:xfrm>
                    <a:prstGeom prst="rect">
                      <a:avLst/>
                    </a:prstGeom>
                    <a:noFill/>
                  </pic:spPr>
                </pic:pic>
              </a:graphicData>
            </a:graphic>
          </wp:anchor>
        </w:drawing>
      </w:r>
    </w:p>
    <w:p>
      <w:pPr>
        <w:spacing w:after="0" w:line="146"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and Full Year 2025 Highlights:</w:t>
      </w:r>
    </w:p>
    <w:p>
      <w:pPr>
        <w:spacing w:after="0" w:line="63" w:lineRule="exact"/>
        <w:rPr>
          <w:sz w:val="20"/>
          <w:szCs w:val="20"/>
          <w:color w:val="auto"/>
        </w:rPr>
      </w:pPr>
    </w:p>
    <w:p>
      <w:pPr>
        <w:jc w:val="both"/>
        <w:ind w:left="340" w:hanging="332"/>
        <w:spacing w:after="0" w:line="259"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Consolidated Adjusted EBITDA of $7.9 Billion in the Fourth Quarter and $37.4 Billion for the Full Year; Adjusted EPS of $0.84 in the Fourth Quarter and $4.31 for the Full Year; and Free Cash Flow of $4.4 Billion in the Fourth Quarter and $19.2 Billion for the Full Year</w:t>
      </w: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$2.7 Billion to Shareholders in the Fourth Quarter Through $1.2 Billion in Dividend Payments and $1.5 Billion in Share Repurchases. Total Capital Returned for the Full Year Was $11.7 Billion, Including $6.8 Billion in Share Repurchases, Reducing Shares Outstanding by 5%</w:t>
      </w:r>
    </w:p>
    <w:p>
      <w:pPr>
        <w:spacing w:after="0" w:line="1"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Connectivity &amp; Platforms, Connectivity Revenue Increased 3.2% to $11.6 Billion in the Fourth Quarter and 4.2% to $46.0 Billion for the Full Year, Driven By Growth In Domestic Wireless, International Connectivity and Business Services Connectivity</w:t>
      </w:r>
    </w:p>
    <w:p>
      <w:pPr>
        <w:spacing w:after="0" w:line="1" w:lineRule="exact"/>
        <w:rPr>
          <w:rFonts w:ascii="Arial" w:cs="Arial" w:eastAsia="Arial" w:hAnsi="Arial"/>
          <w:sz w:val="18"/>
          <w:szCs w:val="18"/>
          <w:color w:val="auto"/>
        </w:rPr>
      </w:pPr>
    </w:p>
    <w:p>
      <w:pPr>
        <w:jc w:val="both"/>
        <w:ind w:left="340" w:hanging="332"/>
        <w:spacing w:after="0" w:line="279" w:lineRule="auto"/>
        <w:tabs>
          <w:tab w:leader="none" w:pos="335" w:val="left"/>
        </w:tabs>
        <w:numPr>
          <w:ilvl w:val="0"/>
          <w:numId w:val="2"/>
        </w:numPr>
        <w:rPr>
          <w:rFonts w:ascii="Arial" w:cs="Arial" w:eastAsia="Arial" w:hAnsi="Arial"/>
          <w:sz w:val="17"/>
          <w:szCs w:val="17"/>
          <w:color w:val="auto"/>
        </w:rPr>
      </w:pPr>
      <w:r>
        <w:rPr>
          <w:rFonts w:ascii="Arial" w:cs="Arial" w:eastAsia="Arial" w:hAnsi="Arial"/>
          <w:sz w:val="17"/>
          <w:szCs w:val="17"/>
          <w:color w:val="auto"/>
        </w:rPr>
        <w:t>Domestic Wireless Delivered its Best Year Ever With 1.5 Million Net Line Additions, Reaching 9.3 Million Total Lines and Surpassing 15% Penetration of Domestic Residential Broadband Customers, Reflecting Strong Demand for Our Converged Broadband and Mobile Offers</w:t>
      </w: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Advanced Our New National Go-to-Market Strategy, Including Simplified Internet Plans Featuring Everyday Pricing, Everything Included and a 5-Year Price Guarantee; Alongside New Wireless Offers, Including a Free Xfinity Unlimited Mobile Line for One Year and a Premium Unlimited Plan Offering Gigabit Speeds and Enhanced Features</w:t>
      </w:r>
    </w:p>
    <w:p>
      <w:pPr>
        <w:spacing w:after="0" w:line="1"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the NBA Across NBC and Peacock With the Best Season Start for Any Network in 24 Years; Sunday Night Football Remained Primetime's #1 Show for the 15th Consecutive Year, Averaging 23.5 Million Viewers Across NBC and Peacock</w:t>
      </w:r>
    </w:p>
    <w:p>
      <w:pPr>
        <w:spacing w:after="0" w:line="1"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Increased 22% Year-over-Year to 44 Million; Revenue Grew 23% to $1.6 Billion in the Fourth Quarter and 10% to $5.4 Billion for the Full Year; and Adjusted EBITDA Losses Improved by Over $700 Million for the Full Year, Including the Impact of NBA Rights Beginning in the Fourth Quarter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ind w:left="340" w:hanging="332"/>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Wicked: For Good </w:t>
      </w:r>
      <w:r>
        <w:rPr>
          <w:rFonts w:ascii="Arial" w:cs="Arial" w:eastAsia="Arial" w:hAnsi="Arial"/>
          <w:sz w:val="18"/>
          <w:szCs w:val="18"/>
          <w:color w:val="auto"/>
        </w:rPr>
        <w:t>Premiered in November, With the Franchise Now Grossing $1.3 Billion Worldwide, Becoming the #1 Broadway-to-Feature Film Adaptation of All-Time</w:t>
      </w:r>
    </w:p>
    <w:p>
      <w:pPr>
        <w:spacing w:after="0" w:line="1"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Theme Parks Adjusted EBITDA Increased 24% in the Fourth Quarter, Surpassing $1.0 Billion in Quarterly EBITDA for the First Time, Fueled by the Opening of Epic Universe in May</w:t>
      </w:r>
    </w:p>
    <w:p>
      <w:pPr>
        <w:ind w:left="340" w:hanging="332"/>
        <w:spacing w:after="0" w:line="276"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Tax-Free Separation of Versant Media Group on January 2, 2026, with Comcast Shareholders Receiving One Share of Versant for Every 25 Shares of Comcast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4th Quarter Consolidated Financial Results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1.2% compared to the prior year period.</w:t>
      </w:r>
      <w:r>
        <w:rPr>
          <w:rFonts w:ascii="Arial" w:cs="Arial" w:eastAsia="Arial" w:hAnsi="Arial"/>
          <w:sz w:val="18"/>
          <w:szCs w:val="18"/>
          <w:b w:val="1"/>
          <w:bCs w:val="1"/>
          <w:color w:val="auto"/>
        </w:rPr>
        <w:t xml:space="preserve"> Net Income Attributable to Comcast </w:t>
      </w:r>
      <w:r>
        <w:rPr>
          <w:rFonts w:ascii="Arial" w:cs="Arial" w:eastAsia="Arial" w:hAnsi="Arial"/>
          <w:sz w:val="18"/>
          <w:szCs w:val="18"/>
          <w:color w:val="auto"/>
        </w:rPr>
        <w:t>decreased 54.6%, reflecting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unfavorable comparison to the prior year period, which included a $1.9 billion income tax benefit due to an internal corporate reorganization. </w:t>
      </w: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decreased 17.1%.</w:t>
      </w:r>
      <w:r>
        <w:rPr>
          <w:rFonts w:ascii="Arial" w:cs="Arial" w:eastAsia="Arial" w:hAnsi="Arial"/>
          <w:sz w:val="18"/>
          <w:szCs w:val="18"/>
          <w:b w:val="1"/>
          <w:bCs w:val="1"/>
          <w:color w:val="auto"/>
        </w:rPr>
        <w:t xml:space="preserve"> Adjusted EBITDA </w:t>
      </w:r>
      <w:r>
        <w:rPr>
          <w:rFonts w:ascii="Arial" w:cs="Arial" w:eastAsia="Arial" w:hAnsi="Arial"/>
          <w:sz w:val="18"/>
          <w:szCs w:val="18"/>
          <w:color w:val="auto"/>
        </w:rPr>
        <w:t>decreased 10.3%.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decreased 52.0% to $0.60.</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decreased 12.4% to $0.84</w:t>
      </w:r>
      <w:r>
        <w:rPr>
          <w:rFonts w:ascii="Arial" w:cs="Arial" w:eastAsia="Arial" w:hAnsi="Arial"/>
          <w:sz w:val="18"/>
          <w:szCs w:val="18"/>
          <w:color w:val="242424"/>
        </w:rPr>
        <w: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4.2% to $3.7 billion. Connectivity &amp; Platforms’ capital expenditures increased 9.8% to $2.9 billion,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higher spending on support capital, customer premise equipment and scalable infrastructure. On a full year basis, Connectivity &amp; Platforms capital expenditures increased 5.3% to $8.7 billion. Content &amp; Experiences' capital expenditures decreased 34.0% to $844 million, reflecting the opening of Epic Universe in May 2025.</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$8.8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$4.4 billion, including a $2.0 billion cash tax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an internal corporate reorganization in the fourth quarter of 2024.</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53.6 million of its shares for $1.5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$2.7 billion.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2494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383"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10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vMerge w:val="restart"/>
            <w:shd w:val="clear" w:color="auto" w:fill="D9D9D6"/>
          </w:tcPr>
          <w:p>
            <w:pPr>
              <w:spacing w:after="0"/>
              <w:rPr>
                <w:sz w:val="8"/>
                <w:szCs w:val="8"/>
                <w:color w:val="auto"/>
              </w:rPr>
            </w:pPr>
          </w:p>
        </w:tc>
        <w:tc>
          <w:tcPr>
            <w:tcW w:w="74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4th Quarter</w:t>
            </w:r>
          </w:p>
        </w:tc>
        <w:tc>
          <w:tcPr>
            <w:tcW w:w="80" w:type="dxa"/>
            <w:vAlign w:val="bottom"/>
            <w:gridSpan w:val="2"/>
            <w:vMerge w:val="restart"/>
            <w:shd w:val="clear" w:color="auto" w:fill="D9D9D6"/>
          </w:tcPr>
          <w:p>
            <w:pPr>
              <w:spacing w:after="0"/>
              <w:rPr>
                <w:sz w:val="8"/>
                <w:szCs w:val="8"/>
                <w:color w:val="auto"/>
              </w:rPr>
            </w:pPr>
          </w:p>
        </w:tc>
        <w:tc>
          <w:tcPr>
            <w:tcW w:w="680" w:type="dxa"/>
            <w:vAlign w:val="bottom"/>
            <w:shd w:val="clear" w:color="auto" w:fill="D9D9D6"/>
          </w:tcPr>
          <w:p>
            <w:pPr>
              <w:spacing w:after="0"/>
              <w:rPr>
                <w:sz w:val="8"/>
                <w:szCs w:val="8"/>
                <w:color w:val="auto"/>
              </w:rPr>
            </w:pPr>
          </w:p>
        </w:tc>
        <w:tc>
          <w:tcPr>
            <w:tcW w:w="5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60" w:type="dxa"/>
            <w:vAlign w:val="bottom"/>
            <w:tcBorders>
              <w:bottom w:val="single" w:sz="8" w:color="D9D9D6"/>
            </w:tcBorders>
            <w:shd w:val="clear" w:color="auto" w:fill="D9D9D6"/>
          </w:tcPr>
          <w:p>
            <w:pPr>
              <w:spacing w:after="0"/>
              <w:rPr>
                <w:sz w:val="6"/>
                <w:szCs w:val="6"/>
                <w:color w:val="auto"/>
              </w:rPr>
            </w:pPr>
          </w:p>
        </w:tc>
        <w:tc>
          <w:tcPr>
            <w:tcW w:w="32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80" w:type="dxa"/>
            <w:vAlign w:val="bottom"/>
            <w:tcBorders>
              <w:bottom w:val="single" w:sz="8" w:color="D9D9D6"/>
            </w:tcBorders>
            <w:vMerge w:val="continue"/>
            <w:shd w:val="clear" w:color="auto" w:fill="D9D9D6"/>
          </w:tcPr>
          <w:p>
            <w:pPr>
              <w:spacing w:after="0"/>
              <w:rPr>
                <w:sz w:val="6"/>
                <w:szCs w:val="6"/>
                <w:color w:val="auto"/>
              </w:rPr>
            </w:pPr>
          </w:p>
        </w:tc>
        <w:tc>
          <w:tcPr>
            <w:tcW w:w="740" w:type="dxa"/>
            <w:vAlign w:val="bottom"/>
            <w:tcBorders>
              <w:bottom w:val="single" w:sz="8" w:color="auto"/>
            </w:tcBorders>
            <w:gridSpan w:val="2"/>
            <w:vMerge w:val="continue"/>
            <w:shd w:val="clear" w:color="auto" w:fill="D9D9D6"/>
          </w:tcPr>
          <w:p>
            <w:pPr>
              <w:spacing w:after="0"/>
              <w:rPr>
                <w:sz w:val="6"/>
                <w:szCs w:val="6"/>
                <w:color w:val="auto"/>
              </w:rPr>
            </w:pPr>
          </w:p>
        </w:tc>
        <w:tc>
          <w:tcPr>
            <w:tcW w:w="80" w:type="dxa"/>
            <w:vAlign w:val="bottom"/>
            <w:tcBorders>
              <w:bottom w:val="single" w:sz="8" w:color="D9D9D6"/>
            </w:tcBorders>
            <w:gridSpan w:val="2"/>
            <w:vMerge w:val="continue"/>
            <w:shd w:val="clear" w:color="auto" w:fill="D9D9D6"/>
          </w:tcPr>
          <w:p>
            <w:pPr>
              <w:spacing w:after="0"/>
              <w:rPr>
                <w:sz w:val="6"/>
                <w:szCs w:val="6"/>
                <w:color w:val="auto"/>
              </w:rPr>
            </w:pPr>
          </w:p>
        </w:tc>
        <w:tc>
          <w:tcPr>
            <w:tcW w:w="680" w:type="dxa"/>
            <w:vAlign w:val="bottom"/>
            <w:tcBorders>
              <w:bottom w:val="single" w:sz="8" w:color="D9D9D6"/>
            </w:tcBorders>
            <w:shd w:val="clear" w:color="auto" w:fill="D9D9D6"/>
          </w:tcPr>
          <w:p>
            <w:pPr>
              <w:spacing w:after="0"/>
              <w:rPr>
                <w:sz w:val="6"/>
                <w:szCs w:val="6"/>
                <w:color w:val="auto"/>
              </w:rPr>
            </w:pPr>
          </w:p>
        </w:tc>
        <w:tc>
          <w:tcPr>
            <w:tcW w:w="50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200" w:type="dxa"/>
            <w:vAlign w:val="bottom"/>
            <w:tcBorders>
              <w:bottom w:val="single" w:sz="8" w:color="D9D9D6"/>
              <w:right w:val="single" w:sz="8" w:color="D9D9D6"/>
            </w:tcBorders>
            <w:gridSpan w:val="2"/>
            <w:vMerge w:val="restart"/>
            <w:shd w:val="clear" w:color="auto" w:fill="D9D9D6"/>
          </w:tcPr>
          <w:p>
            <w:pPr>
              <w:jc w:val="right"/>
              <w:spacing w:after="0" w:line="146" w:lineRule="exact"/>
              <w:rPr>
                <w:sz w:val="20"/>
                <w:szCs w:val="20"/>
                <w:color w:val="auto"/>
              </w:rPr>
            </w:pPr>
            <w:r>
              <w:rPr>
                <w:rFonts w:ascii="Arial" w:cs="Arial" w:eastAsia="Arial" w:hAnsi="Arial"/>
                <w:sz w:val="14"/>
                <w:szCs w:val="14"/>
                <w:color w:val="auto"/>
              </w:rPr>
              <w:t>Currency</w:t>
            </w:r>
          </w:p>
        </w:tc>
        <w:tc>
          <w:tcPr>
            <w:tcW w:w="320" w:type="dxa"/>
            <w:vAlign w:val="bottom"/>
            <w:tcBorders>
              <w:bottom w:val="single" w:sz="8" w:color="D9D9D6"/>
            </w:tcBorders>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760" w:type="dxa"/>
            <w:vAlign w:val="bottom"/>
            <w:shd w:val="clear" w:color="auto" w:fill="D9D9D6"/>
          </w:tcPr>
          <w:p>
            <w:pPr>
              <w:spacing w:after="0"/>
              <w:rPr>
                <w:sz w:val="4"/>
                <w:szCs w:val="4"/>
                <w:color w:val="auto"/>
              </w:rPr>
            </w:pPr>
          </w:p>
        </w:tc>
        <w:tc>
          <w:tcPr>
            <w:tcW w:w="32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20" w:type="dxa"/>
            <w:vAlign w:val="bottom"/>
            <w:shd w:val="clear" w:color="auto" w:fill="D9D9D6"/>
          </w:tcPr>
          <w:p>
            <w:pPr>
              <w:spacing w:after="0"/>
              <w:rPr>
                <w:sz w:val="4"/>
                <w:szCs w:val="4"/>
                <w:color w:val="auto"/>
              </w:rPr>
            </w:pPr>
          </w:p>
        </w:tc>
        <w:tc>
          <w:tcPr>
            <w:tcW w:w="680" w:type="dxa"/>
            <w:vAlign w:val="bottom"/>
            <w:shd w:val="clear" w:color="auto" w:fill="D9D9D6"/>
          </w:tcPr>
          <w:p>
            <w:pPr>
              <w:spacing w:after="0"/>
              <w:rPr>
                <w:sz w:val="4"/>
                <w:szCs w:val="4"/>
                <w:color w:val="auto"/>
              </w:rPr>
            </w:pPr>
          </w:p>
        </w:tc>
        <w:tc>
          <w:tcPr>
            <w:tcW w:w="50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20" w:type="dxa"/>
            <w:vAlign w:val="bottom"/>
            <w:shd w:val="clear" w:color="auto" w:fill="D9D9D6"/>
          </w:tcPr>
          <w:p>
            <w:pPr>
              <w:spacing w:after="0"/>
              <w:rPr>
                <w:sz w:val="4"/>
                <w:szCs w:val="4"/>
                <w:color w:val="auto"/>
              </w:rPr>
            </w:pPr>
          </w:p>
        </w:tc>
        <w:tc>
          <w:tcPr>
            <w:tcW w:w="1200" w:type="dxa"/>
            <w:vAlign w:val="bottom"/>
            <w:tcBorders>
              <w:right w:val="single" w:sz="8" w:color="D9D9D6"/>
            </w:tcBorders>
            <w:gridSpan w:val="2"/>
            <w:vMerge w:val="continue"/>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680" w:type="dxa"/>
            <w:vAlign w:val="bottom"/>
            <w:tcBorders>
              <w:bottom w:val="single" w:sz="8" w:color="D9D9D6"/>
            </w:tcBorders>
            <w:shd w:val="clear" w:color="auto" w:fill="D9D9D6"/>
          </w:tcPr>
          <w:p>
            <w:pPr>
              <w:spacing w:after="0"/>
              <w:rPr>
                <w:sz w:val="13"/>
                <w:szCs w:val="13"/>
                <w:color w:val="auto"/>
              </w:rPr>
            </w:pPr>
          </w:p>
        </w:tc>
        <w:tc>
          <w:tcPr>
            <w:tcW w:w="500" w:type="dxa"/>
            <w:vAlign w:val="bottom"/>
            <w:tcBorders>
              <w:bottom w:val="single" w:sz="8" w:color="auto"/>
            </w:tcBorders>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640" w:type="dxa"/>
            <w:vAlign w:val="bottom"/>
            <w:tcBorders>
              <w:bottom w:val="single" w:sz="8" w:color="D9D9D6"/>
            </w:tcBorders>
            <w:shd w:val="clear" w:color="auto" w:fill="D9D9D6"/>
          </w:tcPr>
          <w:p>
            <w:pPr>
              <w:spacing w:after="0"/>
              <w:rPr>
                <w:sz w:val="13"/>
                <w:szCs w:val="13"/>
                <w:color w:val="auto"/>
              </w:rPr>
            </w:pPr>
          </w:p>
        </w:tc>
        <w:tc>
          <w:tcPr>
            <w:tcW w:w="560" w:type="dxa"/>
            <w:vAlign w:val="bottom"/>
            <w:tcBorders>
              <w:bottom w:val="single" w:sz="8" w:color="D9D9D6"/>
              <w:right w:val="single" w:sz="8" w:color="D9D9D6"/>
            </w:tcBorders>
            <w:shd w:val="clear" w:color="auto" w:fill="D9D9D6"/>
          </w:tcPr>
          <w:p>
            <w:pPr>
              <w:jc w:val="right"/>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320" w:type="dxa"/>
            <w:vAlign w:val="bottom"/>
            <w:tcBorders>
              <w:bottom w:val="single" w:sz="8" w:color="D9D9D6"/>
            </w:tcBorders>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260" w:type="dxa"/>
            <w:vAlign w:val="bottom"/>
            <w:tcBorders>
              <w:top w:val="single" w:sz="8" w:color="D9D9D6"/>
            </w:tcBorders>
            <w:shd w:val="clear" w:color="auto" w:fill="D9D9D6"/>
          </w:tcPr>
          <w:p>
            <w:pPr>
              <w:spacing w:after="0" w:line="20" w:lineRule="exact"/>
              <w:rPr>
                <w:sz w:val="1"/>
                <w:szCs w:val="1"/>
                <w:color w:val="auto"/>
              </w:rPr>
            </w:pPr>
          </w:p>
        </w:tc>
        <w:tc>
          <w:tcPr>
            <w:tcW w:w="6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68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$17,646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$18,016</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20" w:type="dxa"/>
            <w:vAlign w:val="bottom"/>
            <w:shd w:val="clear" w:color="auto" w:fill="D9D9D6"/>
          </w:tcPr>
          <w:p>
            <w:pPr>
              <w:spacing w:after="0"/>
              <w:rPr>
                <w:sz w:val="24"/>
                <w:szCs w:val="24"/>
                <w:color w:val="auto"/>
              </w:rPr>
            </w:pPr>
          </w:p>
        </w:tc>
        <w:tc>
          <w:tcPr>
            <w:tcW w:w="64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(3.1%)</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2,590</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2,448</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$20,237</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$20,464</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w:t>
            </w:r>
          </w:p>
        </w:tc>
        <w:tc>
          <w:tcPr>
            <w:tcW w:w="20" w:type="dxa"/>
            <w:vAlign w:val="bottom"/>
          </w:tcPr>
          <w:p>
            <w:pPr>
              <w:spacing w:after="0"/>
              <w:rPr>
                <w:sz w:val="17"/>
                <w:szCs w:val="17"/>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$6,099</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$6,479</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(5.9%)</w:t>
            </w:r>
          </w:p>
        </w:tc>
        <w:tc>
          <w:tcPr>
            <w:tcW w:w="20" w:type="dxa"/>
            <w:vAlign w:val="bottom"/>
            <w:shd w:val="clear" w:color="auto" w:fill="D9D9D6"/>
          </w:tcPr>
          <w:p>
            <w:pPr>
              <w:spacing w:after="0"/>
              <w:rPr>
                <w:sz w:val="24"/>
                <w:szCs w:val="24"/>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(6.1%)</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1,405</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1,363</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$7,503</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$7,842</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(4.3%)</w:t>
            </w:r>
          </w:p>
        </w:tc>
        <w:tc>
          <w:tcPr>
            <w:tcW w:w="20" w:type="dxa"/>
            <w:vAlign w:val="bottom"/>
          </w:tcPr>
          <w:p>
            <w:pPr>
              <w:spacing w:after="0"/>
              <w:rPr>
                <w:sz w:val="17"/>
                <w:szCs w:val="17"/>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(4.5%)</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34.6%</w:t>
            </w:r>
          </w:p>
        </w:tc>
        <w:tc>
          <w:tcPr>
            <w:tcW w:w="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36.0%</w:t>
            </w:r>
          </w:p>
        </w:tc>
        <w:tc>
          <w:tcPr>
            <w:tcW w:w="20" w:type="dxa"/>
            <w:vAlign w:val="bottom"/>
            <w:shd w:val="clear" w:color="auto" w:fill="D9D9D6"/>
          </w:tcPr>
          <w:p>
            <w:pPr>
              <w:spacing w:after="0"/>
              <w:rPr>
                <w:sz w:val="24"/>
                <w:szCs w:val="24"/>
                <w:color w:val="auto"/>
              </w:rPr>
            </w:pPr>
          </w:p>
        </w:tc>
        <w:tc>
          <w:tcPr>
            <w:tcW w:w="12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(140) bps</w:t>
            </w: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(110)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54.2%</w:t>
            </w: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55.7%</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(150) bps</w:t>
            </w:r>
          </w:p>
        </w:tc>
        <w:tc>
          <w:tcPr>
            <w:tcW w:w="120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(150)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D9D9D6"/>
            </w:tcBorders>
            <w:gridSpan w:val="2"/>
          </w:tcPr>
          <w:p>
            <w:pPr>
              <w:jc w:val="right"/>
              <w:spacing w:after="0"/>
              <w:rPr>
                <w:sz w:val="20"/>
                <w:szCs w:val="20"/>
                <w:color w:val="auto"/>
              </w:rPr>
            </w:pPr>
            <w:r>
              <w:rPr>
                <w:rFonts w:ascii="Arial" w:cs="Arial" w:eastAsia="Arial" w:hAnsi="Arial"/>
                <w:sz w:val="14"/>
                <w:szCs w:val="14"/>
                <w:b w:val="1"/>
                <w:bCs w:val="1"/>
                <w:color w:val="auto"/>
              </w:rPr>
              <w:t>37.1%</w:t>
            </w:r>
          </w:p>
        </w:tc>
        <w:tc>
          <w:tcPr>
            <w:tcW w:w="20" w:type="dxa"/>
            <w:vAlign w:val="bottom"/>
            <w:tcBorders>
              <w:bottom w:val="single" w:sz="8" w:color="D9D9D6"/>
            </w:tcBorders>
          </w:tcPr>
          <w:p>
            <w:pPr>
              <w:spacing w:after="0"/>
              <w:rPr>
                <w:sz w:val="20"/>
                <w:szCs w:val="20"/>
                <w:color w:val="auto"/>
              </w:rPr>
            </w:pPr>
          </w:p>
        </w:tc>
        <w:tc>
          <w:tcPr>
            <w:tcW w:w="980" w:type="dxa"/>
            <w:vAlign w:val="bottom"/>
            <w:tcBorders>
              <w:bottom w:val="single" w:sz="8" w:color="D9D9D6"/>
            </w:tcBorders>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38.3%</w:t>
            </w:r>
          </w:p>
        </w:tc>
        <w:tc>
          <w:tcPr>
            <w:tcW w:w="20" w:type="dxa"/>
            <w:vAlign w:val="bottom"/>
            <w:tcBorders>
              <w:bottom w:val="single" w:sz="8" w:color="D9D9D6"/>
            </w:tcBorders>
            <w:shd w:val="clear" w:color="auto" w:fill="D9D9D6"/>
          </w:tcPr>
          <w:p>
            <w:pPr>
              <w:spacing w:after="0"/>
              <w:rPr>
                <w:sz w:val="20"/>
                <w:szCs w:val="20"/>
                <w:color w:val="auto"/>
              </w:rPr>
            </w:pPr>
          </w:p>
        </w:tc>
        <w:tc>
          <w:tcPr>
            <w:tcW w:w="1200" w:type="dxa"/>
            <w:vAlign w:val="bottom"/>
            <w:tcBorders>
              <w:bottom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(120) bps</w:t>
            </w:r>
          </w:p>
        </w:tc>
        <w:tc>
          <w:tcPr>
            <w:tcW w:w="640" w:type="dxa"/>
            <w:vAlign w:val="bottom"/>
            <w:tcBorders>
              <w:bottom w:val="single" w:sz="8" w:color="D9D9D6"/>
            </w:tcBorders>
            <w:shd w:val="clear" w:color="auto" w:fill="D9D9D6"/>
          </w:tcPr>
          <w:p>
            <w:pPr>
              <w:spacing w:after="0"/>
              <w:rPr>
                <w:sz w:val="20"/>
                <w:szCs w:val="20"/>
                <w:color w:val="auto"/>
              </w:rPr>
            </w:pPr>
          </w:p>
        </w:tc>
        <w:tc>
          <w:tcPr>
            <w:tcW w:w="560" w:type="dxa"/>
            <w:vAlign w:val="bottom"/>
            <w:tcBorders>
              <w:bottom w:val="single" w:sz="8" w:color="D9D9D6"/>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(90) bps</w:t>
            </w:r>
          </w:p>
        </w:tc>
        <w:tc>
          <w:tcPr>
            <w:tcW w:w="320" w:type="dxa"/>
            <w:vAlign w:val="bottom"/>
            <w:tcBorders>
              <w:bottom w:val="single" w:sz="8" w:color="D9D9D6"/>
            </w:tcBorders>
            <w:shd w:val="clear" w:color="auto" w:fill="D9D9D6"/>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5700" w:space="720"/>
            <w:col w:w="4820"/>
          </w:cols>
          <w:pgMar w:left="320" w:top="580" w:right="339" w:bottom="1440" w:gutter="0" w:footer="0" w:header="0"/>
          <w:type w:val="continuous"/>
        </w:sectPr>
      </w:pPr>
    </w:p>
    <w:p>
      <w:pPr>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decreased compared to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due to a decline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Connectivity &amp; Platforms Adjusted EBITDA, partially offset by growth in Business Services Adjusted EBITDA. Residential</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Connectivity &amp; Platforms revenue and Adjusted EBITDA reflect the investment in our new go-to-market strategy.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was 37.1%.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744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4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6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400" w:type="dxa"/>
            <w:vAlign w:val="bottom"/>
            <w:tcBorders>
              <w:top w:val="single" w:sz="8" w:color="auto"/>
              <w:bottom w:val="single" w:sz="8" w:color="D9D9D6"/>
            </w:tcBorders>
            <w:shd w:val="clear" w:color="auto" w:fill="D9D9D6"/>
          </w:tcPr>
          <w:p>
            <w:pPr>
              <w:spacing w:after="0"/>
              <w:rPr>
                <w:sz w:val="15"/>
                <w:szCs w:val="15"/>
                <w:color w:val="auto"/>
              </w:rPr>
            </w:pPr>
          </w:p>
        </w:tc>
        <w:tc>
          <w:tcPr>
            <w:tcW w:w="740" w:type="dxa"/>
            <w:vAlign w:val="bottom"/>
            <w:tcBorders>
              <w:top w:val="single" w:sz="8" w:color="auto"/>
              <w:bottom w:val="single" w:sz="8" w:color="auto"/>
            </w:tcBorders>
            <w:gridSpan w:val="3"/>
            <w:shd w:val="clear" w:color="auto" w:fill="D9D9D6"/>
          </w:tcPr>
          <w:p>
            <w:pPr>
              <w:jc w:val="center"/>
              <w:spacing w:after="0"/>
              <w:rPr>
                <w:sz w:val="20"/>
                <w:szCs w:val="20"/>
                <w:color w:val="auto"/>
              </w:rPr>
            </w:pPr>
            <w:r>
              <w:rPr>
                <w:rFonts w:ascii="Arial" w:cs="Arial" w:eastAsia="Arial" w:hAnsi="Arial"/>
                <w:sz w:val="14"/>
                <w:szCs w:val="14"/>
                <w:color w:val="auto"/>
              </w:rPr>
              <w:t>4th Quarter</w:t>
            </w:r>
          </w:p>
        </w:tc>
        <w:tc>
          <w:tcPr>
            <w:tcW w:w="80" w:type="dxa"/>
            <w:vAlign w:val="bottom"/>
            <w:tcBorders>
              <w:top w:val="single" w:sz="8" w:color="auto"/>
              <w:bottom w:val="single" w:sz="8" w:color="D9D9D6"/>
            </w:tcBorders>
            <w:shd w:val="clear" w:color="auto" w:fill="D9D9D6"/>
          </w:tcPr>
          <w:p>
            <w:pPr>
              <w:spacing w:after="0"/>
              <w:rPr>
                <w:sz w:val="15"/>
                <w:szCs w:val="15"/>
                <w:color w:val="auto"/>
              </w:rPr>
            </w:pPr>
          </w:p>
        </w:tc>
        <w:tc>
          <w:tcPr>
            <w:tcW w:w="100" w:type="dxa"/>
            <w:vAlign w:val="bottom"/>
            <w:tcBorders>
              <w:top w:val="single" w:sz="8" w:color="auto"/>
              <w:bottom w:val="single" w:sz="8" w:color="D9D9D6"/>
            </w:tcBorders>
            <w:shd w:val="clear" w:color="auto" w:fill="D9D9D6"/>
          </w:tcPr>
          <w:p>
            <w:pPr>
              <w:spacing w:after="0"/>
              <w:rPr>
                <w:sz w:val="15"/>
                <w:szCs w:val="15"/>
                <w:color w:val="auto"/>
              </w:rPr>
            </w:pPr>
          </w:p>
        </w:tc>
        <w:tc>
          <w:tcPr>
            <w:tcW w:w="220" w:type="dxa"/>
            <w:vAlign w:val="bottom"/>
            <w:tcBorders>
              <w:top w:val="single" w:sz="8" w:color="auto"/>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74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4Q25</w:t>
            </w:r>
          </w:p>
        </w:tc>
        <w:tc>
          <w:tcPr>
            <w:tcW w:w="520" w:type="dxa"/>
            <w:vAlign w:val="bottom"/>
            <w:shd w:val="clear" w:color="auto" w:fill="D9D9D6"/>
          </w:tcPr>
          <w:p>
            <w:pPr>
              <w:spacing w:after="0"/>
              <w:rPr>
                <w:sz w:val="15"/>
                <w:szCs w:val="15"/>
                <w:color w:val="auto"/>
              </w:rPr>
            </w:pPr>
          </w:p>
        </w:tc>
        <w:tc>
          <w:tcPr>
            <w:tcW w:w="3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4Q24</w:t>
            </w:r>
          </w:p>
        </w:tc>
        <w:tc>
          <w:tcPr>
            <w:tcW w:w="1260" w:type="dxa"/>
            <w:vAlign w:val="bottom"/>
            <w:gridSpan w:val="5"/>
            <w:shd w:val="clear" w:color="auto" w:fill="D9D9D6"/>
          </w:tcPr>
          <w:p>
            <w:pPr>
              <w:jc w:val="right"/>
              <w:ind w:right="400"/>
              <w:spacing w:after="0"/>
              <w:rPr>
                <w:sz w:val="20"/>
                <w:szCs w:val="20"/>
                <w:color w:val="auto"/>
              </w:rPr>
            </w:pPr>
            <w:r>
              <w:rPr>
                <w:rFonts w:ascii="Arial" w:cs="Arial" w:eastAsia="Arial" w:hAnsi="Arial"/>
                <w:sz w:val="14"/>
                <w:szCs w:val="14"/>
                <w:color w:val="auto"/>
              </w:rPr>
              <w:t>2025</w:t>
            </w:r>
          </w:p>
        </w:tc>
        <w:tc>
          <w:tcPr>
            <w:tcW w:w="80" w:type="dxa"/>
            <w:vAlign w:val="bottom"/>
            <w:shd w:val="clear" w:color="auto" w:fill="D9D9D6"/>
          </w:tcPr>
          <w:p>
            <w:pPr>
              <w:spacing w:after="0"/>
              <w:rPr>
                <w:sz w:val="15"/>
                <w:szCs w:val="15"/>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30,439</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31,172</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(203)</w:t>
            </w:r>
          </w:p>
        </w:tc>
        <w:tc>
          <w:tcPr>
            <w:tcW w:w="4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D9D9D6"/>
          </w:tcPr>
          <w:p>
            <w:pPr>
              <w:spacing w:after="0"/>
              <w:rPr>
                <w:sz w:val="17"/>
                <w:szCs w:val="17"/>
                <w:color w:val="auto"/>
              </w:rPr>
            </w:pPr>
          </w:p>
        </w:tc>
      </w:tr>
      <w:tr>
        <w:trPr>
          <w:trHeight w:val="211"/>
        </w:trPr>
        <w:tc>
          <w:tcPr>
            <w:tcW w:w="120" w:type="dxa"/>
            <w:vAlign w:val="bottom"/>
            <w:shd w:val="clear" w:color="auto" w:fill="D9D9D6"/>
          </w:tcPr>
          <w:p>
            <w:pPr>
              <w:spacing w:after="0"/>
              <w:rPr>
                <w:sz w:val="18"/>
                <w:szCs w:val="18"/>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17,624</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17,811</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22</w:t>
            </w:r>
          </w:p>
        </w:tc>
        <w:tc>
          <w:tcPr>
            <w:tcW w:w="400" w:type="dxa"/>
            <w:vAlign w:val="bottom"/>
            <w:shd w:val="clear" w:color="auto" w:fill="D9D9D6"/>
          </w:tcPr>
          <w:p>
            <w:pPr>
              <w:spacing w:after="0"/>
              <w:rPr>
                <w:sz w:val="18"/>
                <w:szCs w:val="18"/>
                <w:color w:val="auto"/>
              </w:rPr>
            </w:pPr>
          </w:p>
        </w:tc>
        <w:tc>
          <w:tcPr>
            <w:tcW w:w="80" w:type="dxa"/>
            <w:vAlign w:val="bottom"/>
            <w:shd w:val="clear" w:color="auto" w:fill="D9D9D6"/>
          </w:tcPr>
          <w:p>
            <w:pPr>
              <w:spacing w:after="0"/>
              <w:rPr>
                <w:sz w:val="18"/>
                <w:szCs w:val="18"/>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D9D9D6"/>
          </w:tcPr>
          <w:p>
            <w:pPr>
              <w:spacing w:after="0"/>
              <w:rPr>
                <w:sz w:val="18"/>
                <w:szCs w:val="18"/>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2,702</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2,626</w:t>
            </w:r>
          </w:p>
        </w:tc>
        <w:tc>
          <w:tcPr>
            <w:tcW w:w="12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50,766</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51,609</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(181)</w:t>
            </w: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(58)</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28,719</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29,373</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(178)</w:t>
            </w:r>
          </w:p>
        </w:tc>
        <w:tc>
          <w:tcPr>
            <w:tcW w:w="4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D9D9D6"/>
          </w:tcPr>
          <w:p>
            <w:pPr>
              <w:spacing w:after="0"/>
              <w:rPr>
                <w:sz w:val="17"/>
                <w:szCs w:val="17"/>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2,536</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2,469</w:t>
            </w: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31,255</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31,842</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(181)</w:t>
            </w: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(139)</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9,305</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7,826</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364</w:t>
            </w:r>
          </w:p>
        </w:tc>
        <w:tc>
          <w:tcPr>
            <w:tcW w:w="4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307</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11,270</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12,523</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(245)</w:t>
            </w:r>
          </w:p>
        </w:tc>
        <w:tc>
          <w:tcPr>
            <w:tcW w:w="4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(311)</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181,000 to 50.8 million, reflecting a decrease in domestic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partially offset by an increase in international customer relationships. Total domestic broadband customer net losses were 181,000, total domestic wireless line net additions were 364,000 and total domestic video customer net losses were 245,000.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68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20" w:type="dxa"/>
            <w:vAlign w:val="bottom"/>
            <w:gridSpan w:val="3"/>
            <w:vMerge w:val="restart"/>
            <w:shd w:val="clear" w:color="auto" w:fill="D9D9D6"/>
          </w:tcPr>
          <w:p>
            <w:pPr>
              <w:ind w:left="58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20" w:type="dxa"/>
            <w:vAlign w:val="bottom"/>
            <w:shd w:val="clear" w:color="auto" w:fill="D9D9D6"/>
          </w:tcPr>
          <w:p>
            <w:pPr>
              <w:spacing w:after="0"/>
              <w:rPr>
                <w:sz w:val="12"/>
                <w:szCs w:val="12"/>
                <w:color w:val="auto"/>
              </w:rPr>
            </w:pPr>
          </w:p>
        </w:tc>
        <w:tc>
          <w:tcPr>
            <w:tcW w:w="6240" w:type="dxa"/>
            <w:vAlign w:val="bottom"/>
            <w:shd w:val="clear" w:color="auto" w:fill="D9D9D6"/>
          </w:tcPr>
          <w:p>
            <w:pPr>
              <w:spacing w:after="0"/>
              <w:rPr>
                <w:sz w:val="12"/>
                <w:szCs w:val="12"/>
                <w:color w:val="auto"/>
              </w:rPr>
            </w:pPr>
          </w:p>
        </w:tc>
        <w:tc>
          <w:tcPr>
            <w:tcW w:w="7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260" w:type="dxa"/>
            <w:vAlign w:val="bottom"/>
            <w:shd w:val="clear" w:color="auto" w:fill="D9D9D6"/>
          </w:tcPr>
          <w:p>
            <w:pPr>
              <w:spacing w:after="0"/>
              <w:rPr>
                <w:sz w:val="12"/>
                <w:szCs w:val="12"/>
                <w:color w:val="auto"/>
              </w:rPr>
            </w:pPr>
          </w:p>
        </w:tc>
        <w:tc>
          <w:tcPr>
            <w:tcW w:w="90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4th Quarter</w:t>
            </w:r>
          </w:p>
        </w:tc>
        <w:tc>
          <w:tcPr>
            <w:tcW w:w="680" w:type="dxa"/>
            <w:vAlign w:val="bottom"/>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20" w:type="dxa"/>
            <w:vAlign w:val="bottom"/>
            <w:gridSpan w:val="3"/>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0" w:type="dxa"/>
            <w:vAlign w:val="bottom"/>
            <w:shd w:val="clear" w:color="auto" w:fill="D9D9D6"/>
          </w:tcPr>
          <w:p>
            <w:pPr>
              <w:spacing w:after="0"/>
              <w:rPr>
                <w:sz w:val="6"/>
                <w:szCs w:val="6"/>
                <w:color w:val="auto"/>
              </w:rPr>
            </w:pPr>
          </w:p>
        </w:tc>
        <w:tc>
          <w:tcPr>
            <w:tcW w:w="6240" w:type="dxa"/>
            <w:vAlign w:val="bottom"/>
            <w:shd w:val="clear" w:color="auto" w:fill="D9D9D6"/>
          </w:tcPr>
          <w:p>
            <w:pPr>
              <w:spacing w:after="0"/>
              <w:rPr>
                <w:sz w:val="6"/>
                <w:szCs w:val="6"/>
                <w:color w:val="auto"/>
              </w:rPr>
            </w:pPr>
          </w:p>
        </w:tc>
        <w:tc>
          <w:tcPr>
            <w:tcW w:w="7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260" w:type="dxa"/>
            <w:vAlign w:val="bottom"/>
            <w:shd w:val="clear" w:color="auto" w:fill="D9D9D6"/>
          </w:tcPr>
          <w:p>
            <w:pPr>
              <w:spacing w:after="0"/>
              <w:rPr>
                <w:sz w:val="6"/>
                <w:szCs w:val="6"/>
                <w:color w:val="auto"/>
              </w:rPr>
            </w:pPr>
          </w:p>
        </w:tc>
        <w:tc>
          <w:tcPr>
            <w:tcW w:w="900" w:type="dxa"/>
            <w:vAlign w:val="bottom"/>
            <w:gridSpan w:val="4"/>
            <w:vMerge w:val="continue"/>
            <w:shd w:val="clear" w:color="auto" w:fill="D9D9D6"/>
          </w:tcPr>
          <w:p>
            <w:pPr>
              <w:spacing w:after="0"/>
              <w:rPr>
                <w:sz w:val="6"/>
                <w:szCs w:val="6"/>
                <w:color w:val="auto"/>
              </w:rPr>
            </w:pPr>
          </w:p>
        </w:tc>
        <w:tc>
          <w:tcPr>
            <w:tcW w:w="680" w:type="dxa"/>
            <w:vAlign w:val="bottom"/>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220" w:type="dxa"/>
            <w:vAlign w:val="bottom"/>
            <w:gridSpan w:val="3"/>
            <w:vMerge w:val="restart"/>
            <w:shd w:val="clear" w:color="auto" w:fill="D9D9D6"/>
          </w:tcPr>
          <w:p>
            <w:pPr>
              <w:ind w:left="560"/>
              <w:spacing w:after="0" w:line="14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6240" w:type="dxa"/>
            <w:vAlign w:val="bottom"/>
            <w:shd w:val="clear" w:color="auto" w:fill="D9D9D6"/>
          </w:tcPr>
          <w:p>
            <w:pPr>
              <w:spacing w:after="0" w:line="20" w:lineRule="exact"/>
              <w:rPr>
                <w:sz w:val="1"/>
                <w:szCs w:val="1"/>
                <w:color w:val="auto"/>
              </w:rPr>
            </w:pPr>
          </w:p>
        </w:tc>
        <w:tc>
          <w:tcPr>
            <w:tcW w:w="780" w:type="dxa"/>
            <w:vAlign w:val="bottom"/>
            <w:shd w:val="clear" w:color="auto" w:fill="D9D9D6"/>
          </w:tcPr>
          <w:p>
            <w:pPr>
              <w:spacing w:after="0" w:line="20" w:lineRule="exact"/>
              <w:rPr>
                <w:sz w:val="1"/>
                <w:szCs w:val="1"/>
                <w:color w:val="auto"/>
              </w:rPr>
            </w:pPr>
          </w:p>
        </w:tc>
        <w:tc>
          <w:tcPr>
            <w:tcW w:w="32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0" w:type="dxa"/>
            <w:vAlign w:val="bottom"/>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50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20" w:type="dxa"/>
            <w:vAlign w:val="bottom"/>
            <w:shd w:val="clear" w:color="auto" w:fill="D9D9D6"/>
          </w:tcPr>
          <w:p>
            <w:pPr>
              <w:spacing w:after="0" w:line="20" w:lineRule="exact"/>
              <w:rPr>
                <w:sz w:val="1"/>
                <w:szCs w:val="1"/>
                <w:color w:val="auto"/>
              </w:rPr>
            </w:pPr>
          </w:p>
        </w:tc>
        <w:tc>
          <w:tcPr>
            <w:tcW w:w="1220" w:type="dxa"/>
            <w:vAlign w:val="bottom"/>
            <w:gridSpan w:val="3"/>
            <w:vMerge w:val="continue"/>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20" w:type="dxa"/>
            <w:vAlign w:val="bottom"/>
            <w:shd w:val="clear" w:color="auto" w:fill="D9D9D6"/>
          </w:tcPr>
          <w:p>
            <w:pPr>
              <w:spacing w:after="0"/>
              <w:rPr>
                <w:sz w:val="4"/>
                <w:szCs w:val="4"/>
                <w:color w:val="auto"/>
              </w:rPr>
            </w:pPr>
          </w:p>
        </w:tc>
        <w:tc>
          <w:tcPr>
            <w:tcW w:w="6240" w:type="dxa"/>
            <w:vAlign w:val="bottom"/>
            <w:shd w:val="clear" w:color="auto" w:fill="D9D9D6"/>
          </w:tcPr>
          <w:p>
            <w:pPr>
              <w:spacing w:after="0"/>
              <w:rPr>
                <w:sz w:val="4"/>
                <w:szCs w:val="4"/>
                <w:color w:val="auto"/>
              </w:rPr>
            </w:pPr>
          </w:p>
        </w:tc>
        <w:tc>
          <w:tcPr>
            <w:tcW w:w="780" w:type="dxa"/>
            <w:vAlign w:val="bottom"/>
            <w:shd w:val="clear" w:color="auto" w:fill="D9D9D6"/>
          </w:tcPr>
          <w:p>
            <w:pPr>
              <w:spacing w:after="0"/>
              <w:rPr>
                <w:sz w:val="4"/>
                <w:szCs w:val="4"/>
                <w:color w:val="auto"/>
              </w:rPr>
            </w:pPr>
          </w:p>
        </w:tc>
        <w:tc>
          <w:tcPr>
            <w:tcW w:w="320" w:type="dxa"/>
            <w:vAlign w:val="bottom"/>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60" w:type="dxa"/>
            <w:vAlign w:val="bottom"/>
            <w:vMerge w:val="restart"/>
            <w:shd w:val="clear" w:color="auto" w:fill="D9D9D6"/>
          </w:tcPr>
          <w:p>
            <w:pPr>
              <w:spacing w:after="0"/>
              <w:rPr>
                <w:sz w:val="4"/>
                <w:szCs w:val="4"/>
                <w:color w:val="auto"/>
              </w:rPr>
            </w:pPr>
          </w:p>
        </w:tc>
        <w:tc>
          <w:tcPr>
            <w:tcW w:w="90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D9D9D6"/>
          </w:tcPr>
          <w:p>
            <w:pPr>
              <w:spacing w:after="0"/>
              <w:rPr>
                <w:sz w:val="4"/>
                <w:szCs w:val="4"/>
                <w:color w:val="auto"/>
              </w:rPr>
            </w:pPr>
          </w:p>
        </w:tc>
        <w:tc>
          <w:tcPr>
            <w:tcW w:w="500" w:type="dxa"/>
            <w:vAlign w:val="bottom"/>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20" w:type="dxa"/>
            <w:vAlign w:val="bottom"/>
            <w:gridSpan w:val="3"/>
            <w:vMerge w:val="continue"/>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D9D9D6"/>
            </w:tcBorders>
            <w:shd w:val="clear" w:color="auto" w:fill="D9D9D6"/>
          </w:tcPr>
          <w:p>
            <w:pPr>
              <w:spacing w:after="0"/>
              <w:rPr>
                <w:sz w:val="15"/>
                <w:szCs w:val="15"/>
                <w:color w:val="auto"/>
              </w:rPr>
            </w:pPr>
          </w:p>
        </w:tc>
        <w:tc>
          <w:tcPr>
            <w:tcW w:w="6240" w:type="dxa"/>
            <w:vAlign w:val="bottom"/>
            <w:tcBorders>
              <w:bottom w:val="single" w:sz="8" w:color="D9D9D6"/>
            </w:tcBorders>
            <w:shd w:val="clear" w:color="auto" w:fill="D9D9D6"/>
          </w:tcPr>
          <w:p>
            <w:pPr>
              <w:spacing w:after="0"/>
              <w:rPr>
                <w:sz w:val="15"/>
                <w:szCs w:val="15"/>
                <w:color w:val="auto"/>
              </w:rPr>
            </w:pPr>
          </w:p>
        </w:tc>
        <w:tc>
          <w:tcPr>
            <w:tcW w:w="78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260" w:type="dxa"/>
            <w:vAlign w:val="bottom"/>
            <w:tcBorders>
              <w:bottom w:val="single" w:sz="8" w:color="D9D9D6"/>
            </w:tcBorders>
            <w:vMerge w:val="continue"/>
            <w:shd w:val="clear" w:color="auto" w:fill="D9D9D6"/>
          </w:tcPr>
          <w:p>
            <w:pPr>
              <w:spacing w:after="0"/>
              <w:rPr>
                <w:sz w:val="15"/>
                <w:szCs w:val="15"/>
                <w:color w:val="auto"/>
              </w:rPr>
            </w:pPr>
          </w:p>
        </w:tc>
        <w:tc>
          <w:tcPr>
            <w:tcW w:w="900" w:type="dxa"/>
            <w:vAlign w:val="bottom"/>
            <w:tcBorders>
              <w:bottom w:val="single" w:sz="8" w:color="D9D9D6"/>
            </w:tcBorders>
            <w:gridSpan w:val="4"/>
            <w:vMerge w:val="continue"/>
            <w:shd w:val="clear" w:color="auto" w:fill="D9D9D6"/>
          </w:tcPr>
          <w:p>
            <w:pPr>
              <w:spacing w:after="0"/>
              <w:rPr>
                <w:sz w:val="15"/>
                <w:szCs w:val="15"/>
                <w:color w:val="auto"/>
              </w:rPr>
            </w:pPr>
          </w:p>
        </w:tc>
        <w:tc>
          <w:tcPr>
            <w:tcW w:w="68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auto"/>
            </w:tcBorders>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20" w:type="dxa"/>
            <w:vAlign w:val="bottom"/>
            <w:tcBorders>
              <w:bottom w:val="single" w:sz="8" w:color="D9D9D6"/>
            </w:tcBorders>
            <w:gridSpan w:val="3"/>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20" w:type="dxa"/>
            <w:vAlign w:val="bottom"/>
            <w:tcBorders>
              <w:top w:val="single" w:sz="8" w:color="D9D9D6"/>
            </w:tcBorders>
            <w:shd w:val="clear" w:color="auto" w:fill="D9D9D6"/>
          </w:tcPr>
          <w:p>
            <w:pPr>
              <w:spacing w:after="0"/>
              <w:rPr>
                <w:sz w:val="24"/>
                <w:szCs w:val="24"/>
                <w:color w:val="auto"/>
              </w:rPr>
            </w:pPr>
          </w:p>
        </w:tc>
        <w:tc>
          <w:tcPr>
            <w:tcW w:w="62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68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64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$6,316</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$6,384</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D9D9D6"/>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(1.1%)</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shd w:val="clear" w:color="auto" w:fill="D9D9D6"/>
          </w:tcPr>
          <w:p>
            <w:pPr>
              <w:spacing w:after="0"/>
              <w:rPr>
                <w:sz w:val="16"/>
                <w:szCs w:val="16"/>
                <w:color w:val="auto"/>
              </w:rPr>
            </w:pPr>
          </w:p>
        </w:tc>
        <w:tc>
          <w:tcPr>
            <w:tcW w:w="62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1,403</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1,189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1,337</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1,263</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9,055</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8,836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6,356</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6,736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(7.1%)</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1,033</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1,158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(12.3%)</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1,203</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1,286</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(6.5%)</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(7.4%)</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$17,646</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$18,016</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(2.1%)</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(3.1%)</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20" w:type="dxa"/>
            <w:vAlign w:val="bottom"/>
            <w:shd w:val="clear" w:color="auto" w:fill="D9D9D6"/>
          </w:tcPr>
          <w:p>
            <w:pPr>
              <w:spacing w:after="0"/>
              <w:rPr>
                <w:sz w:val="24"/>
                <w:szCs w:val="24"/>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8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4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$3,950</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$4,125</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(4.3%)</w:t>
            </w:r>
          </w:p>
        </w:tc>
        <w:tc>
          <w:tcPr>
            <w:tcW w:w="20" w:type="dxa"/>
            <w:vAlign w:val="bottom"/>
            <w:shd w:val="clear" w:color="auto" w:fill="D9D9D6"/>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(5.8%)</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7,598</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7,412</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$11,548</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$11,537</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0.1%</w:t>
            </w:r>
          </w:p>
        </w:tc>
        <w:tc>
          <w:tcPr>
            <w:tcW w:w="20" w:type="dxa"/>
            <w:vAlign w:val="bottom"/>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120" w:type="dxa"/>
            <w:vAlign w:val="bottom"/>
            <w:shd w:val="clear" w:color="auto" w:fill="D9D9D6"/>
          </w:tcPr>
          <w:p>
            <w:pPr>
              <w:spacing w:after="0"/>
              <w:rPr>
                <w:sz w:val="24"/>
                <w:szCs w:val="24"/>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$6,099</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$6,479</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(5.9%)</w:t>
            </w:r>
          </w:p>
        </w:tc>
        <w:tc>
          <w:tcPr>
            <w:tcW w:w="20" w:type="dxa"/>
            <w:vAlign w:val="bottom"/>
            <w:shd w:val="clear" w:color="auto" w:fill="D9D9D6"/>
          </w:tcPr>
          <w:p>
            <w:pPr>
              <w:spacing w:after="0"/>
              <w:rPr>
                <w:sz w:val="24"/>
                <w:szCs w:val="24"/>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(6.1%)</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34.6%</w:t>
            </w:r>
          </w:p>
        </w:tc>
        <w:tc>
          <w:tcPr>
            <w:tcW w:w="20" w:type="dxa"/>
            <w:vAlign w:val="bottom"/>
            <w:shd w:val="clear" w:color="auto" w:fill="D9D9D6"/>
          </w:tcPr>
          <w:p>
            <w:pPr>
              <w:spacing w:after="0"/>
              <w:rPr>
                <w:sz w:val="17"/>
                <w:szCs w:val="17"/>
                <w:color w:val="auto"/>
              </w:rPr>
            </w:pPr>
          </w:p>
        </w:tc>
        <w:tc>
          <w:tcPr>
            <w:tcW w:w="114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36.0%</w:t>
            </w:r>
          </w:p>
        </w:tc>
        <w:tc>
          <w:tcPr>
            <w:tcW w:w="20" w:type="dxa"/>
            <w:vAlign w:val="bottom"/>
            <w:shd w:val="clear" w:color="auto" w:fill="D9D9D6"/>
          </w:tcPr>
          <w:p>
            <w:pPr>
              <w:spacing w:after="0"/>
              <w:rPr>
                <w:sz w:val="17"/>
                <w:szCs w:val="17"/>
                <w:color w:val="auto"/>
              </w:rPr>
            </w:pPr>
          </w:p>
        </w:tc>
        <w:tc>
          <w:tcPr>
            <w:tcW w:w="12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(140) bps</w:t>
            </w:r>
          </w:p>
        </w:tc>
        <w:tc>
          <w:tcPr>
            <w:tcW w:w="1220" w:type="dxa"/>
            <w:vAlign w:val="bottom"/>
            <w:gridSpan w:val="3"/>
            <w:shd w:val="clear" w:color="auto" w:fill="D9D9D6"/>
          </w:tcPr>
          <w:p>
            <w:pPr>
              <w:ind w:left="600"/>
              <w:spacing w:after="0"/>
              <w:rPr>
                <w:sz w:val="20"/>
                <w:szCs w:val="20"/>
                <w:color w:val="auto"/>
              </w:rPr>
            </w:pPr>
            <w:r>
              <w:rPr>
                <w:rFonts w:ascii="Arial" w:cs="Arial" w:eastAsia="Arial" w:hAnsi="Arial"/>
                <w:sz w:val="14"/>
                <w:szCs w:val="14"/>
                <w:color w:val="auto"/>
              </w:rPr>
              <w:t>(110)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D9D9D6"/>
          </w:tcPr>
          <w:p>
            <w:pPr>
              <w:spacing w:after="0"/>
              <w:rPr>
                <w:sz w:val="5"/>
                <w:szCs w:val="5"/>
                <w:color w:val="auto"/>
              </w:rPr>
            </w:pPr>
          </w:p>
        </w:tc>
        <w:tc>
          <w:tcPr>
            <w:tcW w:w="6240" w:type="dxa"/>
            <w:vAlign w:val="bottom"/>
            <w:shd w:val="clear" w:color="auto" w:fill="D9D9D6"/>
          </w:tcPr>
          <w:p>
            <w:pPr>
              <w:spacing w:after="0"/>
              <w:rPr>
                <w:sz w:val="5"/>
                <w:szCs w:val="5"/>
                <w:color w:val="auto"/>
              </w:rPr>
            </w:pPr>
          </w:p>
        </w:tc>
        <w:tc>
          <w:tcPr>
            <w:tcW w:w="7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5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68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-2133600</wp:posOffset>
            </wp:positionV>
            <wp:extent cx="1534160" cy="1045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160" cy="1045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-822325</wp:posOffset>
            </wp:positionV>
            <wp:extent cx="153416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160" cy="394335"/>
                    </a:xfrm>
                    <a:prstGeom prst="rect">
                      <a:avLst/>
                    </a:prstGeom>
                    <a:noFill/>
                  </pic:spPr>
                </pic:pic>
              </a:graphicData>
            </a:graphic>
          </wp:anchor>
        </w:drawing>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Beginning in the first quarter of 2025, commission revenue from the sale of certain direct to consumer (“DTC”) streaming services and revenue related to certain equipment are</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presented in video revenue. Previously, these amounts were presented in domestic broadband and international connectivity. Prior periods have been reclassified to reflect the current year presentation.</w:t>
      </w:r>
    </w:p>
    <w:p>
      <w:pPr>
        <w:spacing w:after="0" w:line="27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decreased compared to the prior year period, reflecting decreases in video,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and broadband revenue, partially offset by increases in domestic wireless and international connectivity revenue. Domestic broadband revenue decreased due to a decline in the number of domestic broadband customers, partially offset by higher average rates. Domestic</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wireless revenue increased primarily due to an increase in the number of customer lines and device sales. International connectivity revenue increased primarily due to an increase in broadband revenue from higher average rates as well as the positive impact of foreign currency. Video revenue decreased primarily due to a decline in the number of video customers, partially offset by the positive impact of foreign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currency. Advertising revenue decreased primarily due to lower domestic political advertising.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Other revenue decreased primarily due to lower residential wireline voice revenue, driven by a decline in the number of customers.</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decreased due to lower revenue, partially offset by lower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excluding the impact of foreign currency. Programming expenses decreased primarily due to a decline in the number of domestic video customers, partially offset by rate increases under our domestic programming contracts, an increase in programming expenses for our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international sports networks and the impact of foreign currency. Non-programming expenses increased primarily reflecting an increase in direct product costs mainly due to higher mobile device sales, the impact of foreign currency and higher marketing and promotion costs, partially offset by lower other expenses.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was 34.6%.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60" w:type="dxa"/>
            <w:vAlign w:val="bottom"/>
            <w:gridSpan w:val="3"/>
            <w:vMerge w:val="restart"/>
            <w:shd w:val="clear" w:color="auto" w:fill="D9D9D6"/>
          </w:tcPr>
          <w:p>
            <w:pPr>
              <w:jc w:val="right"/>
              <w:ind w:right="26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1"/>
        </w:trPr>
        <w:tc>
          <w:tcPr>
            <w:tcW w:w="100" w:type="dxa"/>
            <w:vAlign w:val="bottom"/>
            <w:shd w:val="clear" w:color="auto" w:fill="D9D9D6"/>
          </w:tcPr>
          <w:p>
            <w:pPr>
              <w:spacing w:after="0"/>
              <w:rPr>
                <w:sz w:val="12"/>
                <w:szCs w:val="12"/>
                <w:color w:val="auto"/>
              </w:rPr>
            </w:pPr>
          </w:p>
        </w:tc>
        <w:tc>
          <w:tcPr>
            <w:tcW w:w="6800" w:type="dxa"/>
            <w:vAlign w:val="bottom"/>
            <w:shd w:val="clear" w:color="auto" w:fill="D9D9D6"/>
          </w:tcPr>
          <w:p>
            <w:pPr>
              <w:spacing w:after="0"/>
              <w:rPr>
                <w:sz w:val="12"/>
                <w:szCs w:val="12"/>
                <w:color w:val="auto"/>
              </w:rPr>
            </w:pPr>
          </w:p>
        </w:tc>
        <w:tc>
          <w:tcPr>
            <w:tcW w:w="6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60" w:type="dxa"/>
            <w:vAlign w:val="bottom"/>
            <w:shd w:val="clear" w:color="auto" w:fill="D9D9D6"/>
          </w:tcPr>
          <w:p>
            <w:pPr>
              <w:spacing w:after="0"/>
              <w:rPr>
                <w:sz w:val="12"/>
                <w:szCs w:val="12"/>
                <w:color w:val="auto"/>
              </w:rPr>
            </w:pPr>
          </w:p>
        </w:tc>
        <w:tc>
          <w:tcPr>
            <w:tcW w:w="84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4th Quarter</w:t>
            </w:r>
          </w:p>
        </w:tc>
        <w:tc>
          <w:tcPr>
            <w:tcW w:w="540" w:type="dxa"/>
            <w:vAlign w:val="bottom"/>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60" w:type="dxa"/>
            <w:vAlign w:val="bottom"/>
            <w:gridSpan w:val="3"/>
            <w:vMerge w:val="continue"/>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D9D9D6"/>
          </w:tcPr>
          <w:p>
            <w:pPr>
              <w:spacing w:after="0"/>
              <w:rPr>
                <w:sz w:val="7"/>
                <w:szCs w:val="7"/>
                <w:color w:val="auto"/>
              </w:rPr>
            </w:pPr>
          </w:p>
        </w:tc>
        <w:tc>
          <w:tcPr>
            <w:tcW w:w="6800" w:type="dxa"/>
            <w:vAlign w:val="bottom"/>
            <w:shd w:val="clear" w:color="auto" w:fill="D9D9D6"/>
          </w:tcPr>
          <w:p>
            <w:pPr>
              <w:spacing w:after="0"/>
              <w:rPr>
                <w:sz w:val="7"/>
                <w:szCs w:val="7"/>
                <w:color w:val="auto"/>
              </w:rPr>
            </w:pPr>
          </w:p>
        </w:tc>
        <w:tc>
          <w:tcPr>
            <w:tcW w:w="66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60" w:type="dxa"/>
            <w:vAlign w:val="bottom"/>
            <w:shd w:val="clear" w:color="auto" w:fill="D9D9D6"/>
          </w:tcPr>
          <w:p>
            <w:pPr>
              <w:spacing w:after="0"/>
              <w:rPr>
                <w:sz w:val="7"/>
                <w:szCs w:val="7"/>
                <w:color w:val="auto"/>
              </w:rPr>
            </w:pPr>
          </w:p>
        </w:tc>
        <w:tc>
          <w:tcPr>
            <w:tcW w:w="840" w:type="dxa"/>
            <w:vAlign w:val="bottom"/>
            <w:gridSpan w:val="4"/>
            <w:vMerge w:val="continue"/>
            <w:shd w:val="clear" w:color="auto" w:fill="D9D9D6"/>
          </w:tcPr>
          <w:p>
            <w:pPr>
              <w:spacing w:after="0"/>
              <w:rPr>
                <w:sz w:val="7"/>
                <w:szCs w:val="7"/>
                <w:color w:val="auto"/>
              </w:rPr>
            </w:pPr>
          </w:p>
        </w:tc>
        <w:tc>
          <w:tcPr>
            <w:tcW w:w="540" w:type="dxa"/>
            <w:vAlign w:val="bottom"/>
            <w:shd w:val="clear" w:color="auto" w:fill="D9D9D6"/>
          </w:tcPr>
          <w:p>
            <w:pPr>
              <w:spacing w:after="0"/>
              <w:rPr>
                <w:sz w:val="7"/>
                <w:szCs w:val="7"/>
                <w:color w:val="auto"/>
              </w:rPr>
            </w:pPr>
          </w:p>
        </w:tc>
        <w:tc>
          <w:tcPr>
            <w:tcW w:w="50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260" w:type="dxa"/>
            <w:vAlign w:val="bottom"/>
            <w:gridSpan w:val="3"/>
            <w:vMerge w:val="restart"/>
            <w:shd w:val="clear" w:color="auto" w:fill="D9D9D6"/>
          </w:tcPr>
          <w:p>
            <w:pPr>
              <w:jc w:val="right"/>
              <w:ind w:right="260"/>
              <w:spacing w:after="0" w:line="137"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800" w:type="dxa"/>
            <w:vAlign w:val="bottom"/>
            <w:shd w:val="clear" w:color="auto" w:fill="D9D9D6"/>
          </w:tcPr>
          <w:p>
            <w:pPr>
              <w:spacing w:after="0" w:line="20" w:lineRule="exact"/>
              <w:rPr>
                <w:sz w:val="1"/>
                <w:szCs w:val="1"/>
                <w:color w:val="auto"/>
              </w:rPr>
            </w:pPr>
          </w:p>
        </w:tc>
        <w:tc>
          <w:tcPr>
            <w:tcW w:w="6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60" w:type="dxa"/>
            <w:vAlign w:val="bottom"/>
            <w:gridSpan w:val="3"/>
            <w:vMerge w:val="continue"/>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00" w:type="dxa"/>
            <w:vAlign w:val="bottom"/>
            <w:shd w:val="clear" w:color="auto" w:fill="D9D9D6"/>
          </w:tcPr>
          <w:p>
            <w:pPr>
              <w:spacing w:after="0"/>
              <w:rPr>
                <w:sz w:val="3"/>
                <w:szCs w:val="3"/>
                <w:color w:val="auto"/>
              </w:rPr>
            </w:pPr>
          </w:p>
        </w:tc>
        <w:tc>
          <w:tcPr>
            <w:tcW w:w="6800" w:type="dxa"/>
            <w:vAlign w:val="bottom"/>
            <w:shd w:val="clear" w:color="auto" w:fill="D9D9D6"/>
          </w:tcPr>
          <w:p>
            <w:pPr>
              <w:spacing w:after="0"/>
              <w:rPr>
                <w:sz w:val="3"/>
                <w:szCs w:val="3"/>
                <w:color w:val="auto"/>
              </w:rPr>
            </w:pPr>
          </w:p>
        </w:tc>
        <w:tc>
          <w:tcPr>
            <w:tcW w:w="100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60" w:type="dxa"/>
            <w:vAlign w:val="bottom"/>
            <w:vMerge w:val="restart"/>
            <w:shd w:val="clear" w:color="auto" w:fill="D9D9D6"/>
          </w:tcPr>
          <w:p>
            <w:pPr>
              <w:spacing w:after="0"/>
              <w:rPr>
                <w:sz w:val="3"/>
                <w:szCs w:val="3"/>
                <w:color w:val="auto"/>
              </w:rPr>
            </w:pPr>
          </w:p>
        </w:tc>
        <w:tc>
          <w:tcPr>
            <w:tcW w:w="84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06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260" w:type="dxa"/>
            <w:vAlign w:val="bottom"/>
            <w:gridSpan w:val="3"/>
            <w:vMerge w:val="continue"/>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100" w:type="dxa"/>
            <w:vAlign w:val="bottom"/>
            <w:shd w:val="clear" w:color="auto" w:fill="D9D9D6"/>
          </w:tcPr>
          <w:p>
            <w:pPr>
              <w:spacing w:after="0"/>
              <w:rPr>
                <w:sz w:val="12"/>
                <w:szCs w:val="12"/>
                <w:color w:val="auto"/>
              </w:rPr>
            </w:pPr>
          </w:p>
        </w:tc>
        <w:tc>
          <w:tcPr>
            <w:tcW w:w="6800" w:type="dxa"/>
            <w:vAlign w:val="bottom"/>
            <w:shd w:val="clear" w:color="auto" w:fill="D9D9D6"/>
          </w:tcPr>
          <w:p>
            <w:pPr>
              <w:spacing w:after="0"/>
              <w:rPr>
                <w:sz w:val="12"/>
                <w:szCs w:val="12"/>
                <w:color w:val="auto"/>
              </w:rPr>
            </w:pPr>
          </w:p>
        </w:tc>
        <w:tc>
          <w:tcPr>
            <w:tcW w:w="1000" w:type="dxa"/>
            <w:vAlign w:val="bottom"/>
            <w:gridSpan w:val="3"/>
            <w:vMerge w:val="continue"/>
            <w:shd w:val="clear" w:color="auto" w:fill="D9D9D6"/>
          </w:tcPr>
          <w:p>
            <w:pPr>
              <w:spacing w:after="0"/>
              <w:rPr>
                <w:sz w:val="12"/>
                <w:szCs w:val="12"/>
                <w:color w:val="auto"/>
              </w:rPr>
            </w:pPr>
          </w:p>
        </w:tc>
        <w:tc>
          <w:tcPr>
            <w:tcW w:w="160" w:type="dxa"/>
            <w:vAlign w:val="bottom"/>
            <w:vMerge w:val="continue"/>
            <w:shd w:val="clear" w:color="auto" w:fill="D9D9D6"/>
          </w:tcPr>
          <w:p>
            <w:pPr>
              <w:spacing w:after="0"/>
              <w:rPr>
                <w:sz w:val="12"/>
                <w:szCs w:val="12"/>
                <w:color w:val="auto"/>
              </w:rPr>
            </w:pPr>
          </w:p>
        </w:tc>
        <w:tc>
          <w:tcPr>
            <w:tcW w:w="840" w:type="dxa"/>
            <w:vAlign w:val="bottom"/>
            <w:gridSpan w:val="4"/>
            <w:vMerge w:val="continue"/>
            <w:shd w:val="clear" w:color="auto" w:fill="D9D9D6"/>
          </w:tcPr>
          <w:p>
            <w:pPr>
              <w:spacing w:after="0"/>
              <w:rPr>
                <w:sz w:val="12"/>
                <w:szCs w:val="12"/>
                <w:color w:val="auto"/>
              </w:rPr>
            </w:pPr>
          </w:p>
        </w:tc>
        <w:tc>
          <w:tcPr>
            <w:tcW w:w="1060" w:type="dxa"/>
            <w:vAlign w:val="bottom"/>
            <w:gridSpan w:val="3"/>
            <w:vMerge w:val="continue"/>
            <w:shd w:val="clear" w:color="auto" w:fill="D9D9D6"/>
          </w:tcPr>
          <w:p>
            <w:pPr>
              <w:spacing w:after="0"/>
              <w:rPr>
                <w:sz w:val="12"/>
                <w:szCs w:val="12"/>
                <w:color w:val="auto"/>
              </w:rPr>
            </w:pPr>
          </w:p>
        </w:tc>
        <w:tc>
          <w:tcPr>
            <w:tcW w:w="1260" w:type="dxa"/>
            <w:vAlign w:val="bottom"/>
            <w:gridSpan w:val="3"/>
            <w:shd w:val="clear" w:color="auto" w:fill="D9D9D6"/>
          </w:tcPr>
          <w:p>
            <w:pPr>
              <w:jc w:val="right"/>
              <w:ind w:right="2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00" w:type="dxa"/>
            <w:vAlign w:val="bottom"/>
            <w:tcBorders>
              <w:top w:val="single" w:sz="8" w:color="D9D9D6"/>
            </w:tcBorders>
            <w:shd w:val="clear" w:color="auto" w:fill="D9D9D6"/>
          </w:tcPr>
          <w:p>
            <w:pPr>
              <w:spacing w:after="0" w:line="20" w:lineRule="exact"/>
              <w:rPr>
                <w:sz w:val="1"/>
                <w:szCs w:val="1"/>
                <w:color w:val="auto"/>
              </w:rPr>
            </w:pPr>
          </w:p>
        </w:tc>
        <w:tc>
          <w:tcPr>
            <w:tcW w:w="6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6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220" w:type="dxa"/>
            <w:vAlign w:val="bottom"/>
            <w:tcBorders>
              <w:top w:val="single" w:sz="8" w:color="auto"/>
            </w:tcBorders>
            <w:shd w:val="clear" w:color="auto" w:fill="D9D9D6"/>
          </w:tcPr>
          <w:p>
            <w:pPr>
              <w:spacing w:after="0" w:line="20" w:lineRule="exact"/>
              <w:rPr>
                <w:sz w:val="1"/>
                <w:szCs w:val="1"/>
                <w:color w:val="auto"/>
              </w:rPr>
            </w:pPr>
          </w:p>
        </w:tc>
        <w:tc>
          <w:tcPr>
            <w:tcW w:w="10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$2,590</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$2,448</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w:t>
            </w:r>
          </w:p>
        </w:tc>
        <w:tc>
          <w:tcPr>
            <w:tcW w:w="20" w:type="dxa"/>
            <w:vAlign w:val="bottom"/>
            <w:shd w:val="clear" w:color="auto" w:fill="D9D9D6"/>
          </w:tcPr>
          <w:p>
            <w:pPr>
              <w:spacing w:after="0"/>
              <w:rPr>
                <w:sz w:val="24"/>
                <w:szCs w:val="24"/>
                <w:color w:val="auto"/>
              </w:rPr>
            </w:pPr>
          </w:p>
        </w:tc>
        <w:tc>
          <w:tcPr>
            <w:tcW w:w="10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5.8%</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D9D9D6"/>
            </w:tcBorders>
            <w:shd w:val="clear" w:color="auto" w:fill="D9D9D6"/>
          </w:tcPr>
          <w:p>
            <w:pPr>
              <w:spacing w:after="0"/>
              <w:rPr>
                <w:sz w:val="17"/>
                <w:szCs w:val="17"/>
                <w:color w:val="auto"/>
              </w:rPr>
            </w:pPr>
          </w:p>
        </w:tc>
        <w:tc>
          <w:tcPr>
            <w:tcW w:w="68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1,186</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1,085</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9.3%</w:t>
            </w: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9.2%</w:t>
            </w:r>
          </w:p>
        </w:tc>
        <w:tc>
          <w:tcPr>
            <w:tcW w:w="200" w:type="dxa"/>
            <w:vAlign w:val="bottom"/>
            <w:tcBorders>
              <w:bottom w:val="single" w:sz="8" w:color="D9D9D6"/>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0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$1,405</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$1,363</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54.2%</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55.7%</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(150) bps</w:t>
            </w:r>
          </w:p>
        </w:tc>
        <w:tc>
          <w:tcPr>
            <w:tcW w:w="10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(150)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00" w:type="dxa"/>
            <w:vAlign w:val="bottom"/>
            <w:shd w:val="clear" w:color="auto" w:fill="D9D9D6"/>
          </w:tcPr>
          <w:p>
            <w:pPr>
              <w:spacing w:after="0"/>
              <w:rPr>
                <w:sz w:val="5"/>
                <w:szCs w:val="5"/>
                <w:color w:val="auto"/>
              </w:rPr>
            </w:pPr>
          </w:p>
        </w:tc>
        <w:tc>
          <w:tcPr>
            <w:tcW w:w="6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-556895</wp:posOffset>
            </wp:positionV>
            <wp:extent cx="147447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394335"/>
                    </a:xfrm>
                    <a:prstGeom prst="rect">
                      <a:avLst/>
                    </a:prstGeom>
                    <a:noFill/>
                  </pic:spPr>
                </pic:pic>
              </a:graphicData>
            </a:graphic>
          </wp:anchor>
        </w:drawing>
      </w:r>
    </w:p>
    <w:p>
      <w:pPr>
        <w:spacing w:after="0" w:line="3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primarily due to an increase in revenue from enterprise solutions offerings,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results from a recent acquisition.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operating expenses was primarily due to increases in direct product costs, which include the results from a recent acquisition.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was 54.2%.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w w:val="98"/>
              </w:rPr>
              <w:t>4th Quarter</w:t>
            </w:r>
          </w:p>
        </w:tc>
        <w:tc>
          <w:tcPr>
            <w:tcW w:w="56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4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0" w:type="dxa"/>
            <w:vAlign w:val="bottom"/>
            <w:gridSpan w:val="4"/>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4"/>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$7,620</w:t>
            </w: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$7,222</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5"/>
        </w:trPr>
        <w:tc>
          <w:tcPr>
            <w:tcW w:w="120" w:type="dxa"/>
            <w:vAlign w:val="bottom"/>
            <w:shd w:val="clear" w:color="auto" w:fill="D9D9D6"/>
          </w:tcPr>
          <w:p>
            <w:pPr>
              <w:spacing w:after="0"/>
              <w:rPr>
                <w:sz w:val="16"/>
                <w:szCs w:val="16"/>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3,027</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3,269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2,893</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2,374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(33.5%)</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(817)</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(804)</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$12,736</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$12,078</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5.4%</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($122)</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$298</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(140.9%)</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351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569</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(38.4%)</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1,035</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838</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23.5%</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(306)</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(189)</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(62.2%)</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47</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w:t>
            </w:r>
          </w:p>
        </w:tc>
        <w:tc>
          <w:tcPr>
            <w:tcW w:w="56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2"/>
            <w:shd w:val="clear" w:color="auto" w:fill="D9D9D6"/>
          </w:tcPr>
          <w:p>
            <w:pPr>
              <w:ind w:left="160"/>
              <w:spacing w:after="0"/>
              <w:rPr>
                <w:sz w:val="20"/>
                <w:szCs w:val="20"/>
                <w:color w:val="auto"/>
              </w:rPr>
            </w:pPr>
            <w:r>
              <w:rPr>
                <w:rFonts w:ascii="Arial" w:cs="Arial" w:eastAsia="Arial" w:hAnsi="Arial"/>
                <w:sz w:val="14"/>
                <w:szCs w:val="14"/>
                <w:color w:val="auto"/>
              </w:rPr>
              <w:t>NM</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$1,005</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$1,491</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(32.6%)</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5"/>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-1953895</wp:posOffset>
            </wp:positionV>
            <wp:extent cx="763270" cy="779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779780"/>
                    </a:xfrm>
                    <a:prstGeom prst="rect">
                      <a:avLst/>
                    </a:prstGeom>
                    <a:noFill/>
                  </pic:spPr>
                </pic:pic>
              </a:graphicData>
            </a:graphic>
          </wp:anchor>
        </w:drawing>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driven primarily by Theme Parks and Media, partially offset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by a decrease in Studios.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for Content &amp; Experiences decreased primarily due to declines in Media and Studios, partially offset by growth in Theme Parks.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220" w:type="dxa"/>
            <w:vAlign w:val="bottom"/>
            <w:tcBorders>
              <w:lef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40" w:type="dxa"/>
            <w:vAlign w:val="bottom"/>
            <w:tcBorders>
              <w:bottom w:val="single" w:sz="8" w:color="D9D9D6"/>
              <w:right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8"/>
              </w:rPr>
              <w:t>4th Quarter</w:t>
            </w:r>
          </w:p>
        </w:tc>
        <w:tc>
          <w:tcPr>
            <w:tcW w:w="220" w:type="dxa"/>
            <w:vAlign w:val="bottom"/>
            <w:tcBorders>
              <w:left w:val="single" w:sz="8" w:color="D9D9D6"/>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220" w:type="dxa"/>
            <w:vAlign w:val="bottom"/>
            <w:tcBorders>
              <w:left w:val="single" w:sz="8" w:color="D9D9D6"/>
            </w:tcBorders>
            <w:shd w:val="clear" w:color="auto" w:fill="D9D9D6"/>
          </w:tcPr>
          <w:p>
            <w:pPr>
              <w:spacing w:after="0"/>
              <w:rPr>
                <w:sz w:val="15"/>
                <w:szCs w:val="15"/>
                <w:color w:val="auto"/>
              </w:rPr>
            </w:pPr>
          </w:p>
        </w:tc>
        <w:tc>
          <w:tcPr>
            <w:tcW w:w="960" w:type="dxa"/>
            <w:vAlign w:val="bottom"/>
            <w:gridSpan w:val="4"/>
            <w:shd w:val="clear" w:color="auto" w:fill="D9D9D6"/>
          </w:tcPr>
          <w:p>
            <w:pPr>
              <w:ind w:left="32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220" w:type="dxa"/>
            <w:vAlign w:val="bottom"/>
            <w:tcBorders>
              <w:top w:val="single" w:sz="8" w:color="D9D9D6"/>
              <w:left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$2,684</w:t>
            </w:r>
          </w:p>
        </w:tc>
        <w:tc>
          <w:tcPr>
            <w:tcW w:w="90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$2,645</w:t>
            </w:r>
          </w:p>
        </w:tc>
        <w:tc>
          <w:tcPr>
            <w:tcW w:w="220" w:type="dxa"/>
            <w:vAlign w:val="bottom"/>
            <w:tcBorders>
              <w:left w:val="single" w:sz="8" w:color="D9D9D6"/>
            </w:tcBorders>
            <w:shd w:val="clear" w:color="auto" w:fill="D9D9D6"/>
          </w:tcPr>
          <w:p>
            <w:pPr>
              <w:spacing w:after="0"/>
              <w:rPr>
                <w:sz w:val="17"/>
                <w:szCs w:val="17"/>
                <w:color w:val="auto"/>
              </w:rPr>
            </w:pPr>
          </w:p>
        </w:tc>
        <w:tc>
          <w:tcPr>
            <w:tcW w:w="8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3,038</w:t>
            </w:r>
          </w:p>
        </w:tc>
        <w:tc>
          <w:tcPr>
            <w:tcW w:w="900" w:type="dxa"/>
            <w:vAlign w:val="bottom"/>
            <w:tcBorders>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2,885</w:t>
            </w: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1,297</w:t>
            </w:r>
          </w:p>
        </w:tc>
        <w:tc>
          <w:tcPr>
            <w:tcW w:w="900" w:type="dxa"/>
            <w:vAlign w:val="bottom"/>
            <w:tcBorders>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1,090</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602</w:t>
            </w:r>
          </w:p>
        </w:tc>
        <w:tc>
          <w:tcPr>
            <w:tcW w:w="900" w:type="dxa"/>
            <w:vAlign w:val="bottom"/>
            <w:tcBorders>
              <w:bottom w:val="single" w:sz="8" w:color="auto"/>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603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$7,620</w:t>
            </w:r>
          </w:p>
        </w:tc>
        <w:tc>
          <w:tcPr>
            <w:tcW w:w="900" w:type="dxa"/>
            <w:vAlign w:val="bottom"/>
            <w:tcBorders>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$7,222</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5.5%</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7,742</w:t>
            </w:r>
          </w:p>
        </w:tc>
        <w:tc>
          <w:tcPr>
            <w:tcW w:w="900" w:type="dxa"/>
            <w:vAlign w:val="bottom"/>
            <w:tcBorders>
              <w:bottom w:val="single" w:sz="8" w:color="auto"/>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6,923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6"/>
        </w:trPr>
        <w:tc>
          <w:tcPr>
            <w:tcW w:w="120" w:type="dxa"/>
            <w:vAlign w:val="bottom"/>
            <w:tcBorders>
              <w:bottom w:val="single" w:sz="8" w:color="D9D9D6"/>
            </w:tcBorders>
            <w:shd w:val="clear" w:color="auto" w:fill="D9D9D6"/>
          </w:tcPr>
          <w:p>
            <w:pPr>
              <w:spacing w:after="0"/>
              <w:rPr>
                <w:sz w:val="20"/>
                <w:szCs w:val="20"/>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($122)</w:t>
            </w:r>
          </w:p>
        </w:tc>
        <w:tc>
          <w:tcPr>
            <w:tcW w:w="900" w:type="dxa"/>
            <w:vAlign w:val="bottom"/>
            <w:tcBorders>
              <w:bottom w:val="single" w:sz="8" w:color="D9D9D6"/>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$298</w:t>
            </w:r>
          </w:p>
        </w:tc>
        <w:tc>
          <w:tcPr>
            <w:tcW w:w="220" w:type="dxa"/>
            <w:vAlign w:val="bottom"/>
            <w:tcBorders>
              <w:bottom w:val="single" w:sz="8" w:color="D9D9D6"/>
            </w:tcBorders>
          </w:tcPr>
          <w:p>
            <w:pPr>
              <w:spacing w:after="0"/>
              <w:rPr>
                <w:sz w:val="20"/>
                <w:szCs w:val="20"/>
                <w:color w:val="auto"/>
              </w:rPr>
            </w:pPr>
          </w:p>
        </w:tc>
        <w:tc>
          <w:tcPr>
            <w:tcW w:w="820" w:type="dxa"/>
            <w:vAlign w:val="bottom"/>
            <w:tcBorders>
              <w:bottom w:val="single" w:sz="8" w:color="D9D9D6"/>
            </w:tcBorders>
            <w:gridSpan w:val="2"/>
          </w:tcPr>
          <w:p>
            <w:pPr>
              <w:jc w:val="right"/>
              <w:spacing w:after="0"/>
              <w:rPr>
                <w:sz w:val="20"/>
                <w:szCs w:val="20"/>
                <w:color w:val="auto"/>
              </w:rPr>
            </w:pPr>
            <w:r>
              <w:rPr>
                <w:rFonts w:ascii="Arial" w:cs="Arial" w:eastAsia="Arial" w:hAnsi="Arial"/>
                <w:sz w:val="14"/>
                <w:szCs w:val="14"/>
                <w:b w:val="1"/>
                <w:bCs w:val="1"/>
                <w:color w:val="auto"/>
              </w:rPr>
              <w:t>(140.9%)</w:t>
            </w:r>
          </w:p>
        </w:tc>
        <w:tc>
          <w:tcPr>
            <w:tcW w:w="20" w:type="dxa"/>
            <w:vAlign w:val="bottom"/>
            <w:tcBorders>
              <w:bottom w:val="single" w:sz="8" w:color="D9D9D6"/>
            </w:tcBorders>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-950595</wp:posOffset>
            </wp:positionV>
            <wp:extent cx="754380" cy="917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4380" cy="917575"/>
                    </a:xfrm>
                    <a:prstGeom prst="rect">
                      <a:avLst/>
                    </a:prstGeom>
                    <a:noFill/>
                  </pic:spPr>
                </pic:pic>
              </a:graphicData>
            </a:graphic>
          </wp:anchor>
        </w:drawing>
      </w:r>
    </w:p>
    <w:p>
      <w:pPr>
        <w:spacing w:after="0" w:line="2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due to higher international networks, domestic distribution and domestic advertising revenue. Domestic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revenue increased primarily due to an increase in revenue at Peacock, partially offset by lower revenue at our networks. The increase in advertising revenue includes the positive impact from the launch of the NBA this quarter. Domestic distribution revenue increased primarily due to higher revenue at Peacock, driven by an increase in paid subscribers compared to the prior year period, partially offset by lower revenue at our linear television networks. International networks revenue increased primarily due to an increase in revenue associated with the distribution of sports networks and the positive impact of foreign currency.</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decreased due to higher operating expenses, which more than offset higher revenue. The increase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primarily reflects higher programming costs at Peacock and elevated sports rights expenses on our linear networks, both of which include costs associated with the launch of the NBA this quarter. Media results include $1.6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$552 million related to Peacock, compared to $1.3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$372 million in the prior year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6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8"/>
              </w:rPr>
              <w:t>4th Quarter</w:t>
            </w:r>
          </w:p>
        </w:tc>
        <w:tc>
          <w:tcPr>
            <w:tcW w:w="54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180" w:type="dxa"/>
            <w:vAlign w:val="bottom"/>
            <w:gridSpan w:val="4"/>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$2,186</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$2,383</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(8.3%)</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411</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515</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(20.2%)</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430</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371</w:t>
            </w:r>
          </w:p>
        </w:tc>
        <w:tc>
          <w:tcPr>
            <w:tcW w:w="10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15.8%</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$3,027</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$3,269</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(7.4%)</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2,676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2,700</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(0.9%)</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7"/>
        </w:trPr>
        <w:tc>
          <w:tcPr>
            <w:tcW w:w="120" w:type="dxa"/>
            <w:vAlign w:val="bottom"/>
            <w:tcBorders>
              <w:bottom w:val="single" w:sz="8" w:color="D9D9D6"/>
            </w:tcBorders>
            <w:shd w:val="clear" w:color="auto" w:fill="D9D9D6"/>
          </w:tcPr>
          <w:p>
            <w:pPr>
              <w:spacing w:after="0"/>
              <w:rPr>
                <w:sz w:val="20"/>
                <w:szCs w:val="20"/>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$351</w:t>
            </w:r>
          </w:p>
        </w:tc>
        <w:tc>
          <w:tcPr>
            <w:tcW w:w="20" w:type="dxa"/>
            <w:vAlign w:val="bottom"/>
            <w:tcBorders>
              <w:bottom w:val="single" w:sz="8" w:color="D9D9D6"/>
            </w:tcBorders>
            <w:shd w:val="clear" w:color="auto" w:fill="D9D9D6"/>
          </w:tcPr>
          <w:p>
            <w:pPr>
              <w:spacing w:after="0"/>
              <w:rPr>
                <w:sz w:val="20"/>
                <w:szCs w:val="20"/>
                <w:color w:val="auto"/>
              </w:rPr>
            </w:pPr>
          </w:p>
        </w:tc>
        <w:tc>
          <w:tcPr>
            <w:tcW w:w="88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$569</w:t>
            </w:r>
          </w:p>
        </w:tc>
        <w:tc>
          <w:tcPr>
            <w:tcW w:w="1040" w:type="dxa"/>
            <w:vAlign w:val="bottom"/>
            <w:tcBorders>
              <w:bottom w:val="single" w:sz="8" w:color="D9D9D6"/>
            </w:tcBorders>
            <w:gridSpan w:val="2"/>
          </w:tcPr>
          <w:p>
            <w:pPr>
              <w:jc w:val="right"/>
              <w:spacing w:after="0"/>
              <w:rPr>
                <w:sz w:val="20"/>
                <w:szCs w:val="20"/>
                <w:color w:val="auto"/>
              </w:rPr>
            </w:pPr>
            <w:r>
              <w:rPr>
                <w:rFonts w:ascii="Arial" w:cs="Arial" w:eastAsia="Arial" w:hAnsi="Arial"/>
                <w:sz w:val="14"/>
                <w:szCs w:val="14"/>
                <w:b w:val="1"/>
                <w:bCs w:val="1"/>
                <w:color w:val="auto"/>
              </w:rPr>
              <w:t>(38.4%)</w:t>
            </w:r>
          </w:p>
        </w:tc>
        <w:tc>
          <w:tcPr>
            <w:tcW w:w="20" w:type="dxa"/>
            <w:vAlign w:val="bottom"/>
            <w:tcBorders>
              <w:bottom w:val="single" w:sz="8" w:color="D9D9D6"/>
            </w:tcBorders>
          </w:tcPr>
          <w:p>
            <w:pPr>
              <w:spacing w:after="0"/>
              <w:rPr>
                <w:sz w:val="20"/>
                <w:szCs w:val="20"/>
                <w:color w:val="auto"/>
              </w:rPr>
            </w:pPr>
          </w:p>
        </w:tc>
        <w:tc>
          <w:tcPr>
            <w:tcW w:w="120" w:type="dxa"/>
            <w:vAlign w:val="bottom"/>
            <w:tcBorders>
              <w:bottom w:val="single" w:sz="8" w:color="D9D9D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-299720</wp:posOffset>
            </wp:positionV>
            <wp:extent cx="7454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5490" cy="265430"/>
                    </a:xfrm>
                    <a:prstGeom prst="rect">
                      <a:avLst/>
                    </a:prstGeom>
                    <a:noFill/>
                  </pic:spPr>
                </pic:pic>
              </a:graphicData>
            </a:graphic>
          </wp:anchor>
        </w:drawing>
      </w:r>
    </w:p>
    <w:p>
      <w:pPr>
        <w:spacing w:after="0" w:line="2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decreased due to lower content licensing and theatrical revenue. Content licensing revenue decreased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timing of when content was made available by our television and film studios. Theatrical revenue decreased primarily due to tougher comparisons against prior-year releases, including </w:t>
      </w:r>
      <w:r>
        <w:rPr>
          <w:rFonts w:ascii="Arial" w:cs="Arial" w:eastAsia="Arial" w:hAnsi="Arial"/>
          <w:sz w:val="18"/>
          <w:szCs w:val="18"/>
          <w:i w:val="1"/>
          <w:iCs w:val="1"/>
          <w:color w:val="auto"/>
        </w:rPr>
        <w:t>Wicked</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Wild Robot</w:t>
      </w:r>
      <w:r>
        <w:rPr>
          <w:rFonts w:ascii="Arial" w:cs="Arial" w:eastAsia="Arial" w:hAnsi="Arial"/>
          <w:sz w:val="18"/>
          <w:szCs w:val="18"/>
          <w:color w:val="auto"/>
        </w:rPr>
        <w:t xml:space="preserve">, versus current-quarter titles </w:t>
      </w:r>
      <w:r>
        <w:rPr>
          <w:rFonts w:ascii="Arial" w:cs="Arial" w:eastAsia="Arial" w:hAnsi="Arial"/>
          <w:sz w:val="18"/>
          <w:szCs w:val="18"/>
          <w:i w:val="1"/>
          <w:iCs w:val="1"/>
          <w:color w:val="auto"/>
        </w:rPr>
        <w:t>Wicked: For Good</w:t>
      </w:r>
      <w:r>
        <w:rPr>
          <w:rFonts w:ascii="Arial" w:cs="Arial" w:eastAsia="Arial" w:hAnsi="Arial"/>
          <w:sz w:val="18"/>
          <w:szCs w:val="18"/>
          <w:color w:val="auto"/>
        </w:rPr>
        <w:t xml:space="preserve"> and </w:t>
      </w:r>
      <w:r>
        <w:rPr>
          <w:rFonts w:ascii="Arial" w:cs="Arial" w:eastAsia="Arial" w:hAnsi="Arial"/>
          <w:sz w:val="18"/>
          <w:szCs w:val="18"/>
          <w:i w:val="1"/>
          <w:iCs w:val="1"/>
          <w:color w:val="auto"/>
        </w:rPr>
        <w:t>Black</w:t>
      </w:r>
      <w:r>
        <w:rPr>
          <w:rFonts w:ascii="Arial" w:cs="Arial" w:eastAsia="Arial" w:hAnsi="Arial"/>
          <w:sz w:val="18"/>
          <w:szCs w:val="18"/>
          <w:color w:val="auto"/>
        </w:rPr>
        <w:t xml:space="preserve"> </w:t>
      </w:r>
      <w:r>
        <w:rPr>
          <w:rFonts w:ascii="Arial" w:cs="Arial" w:eastAsia="Arial" w:hAnsi="Arial"/>
          <w:sz w:val="18"/>
          <w:szCs w:val="18"/>
          <w:i w:val="1"/>
          <w:iCs w:val="1"/>
          <w:color w:val="auto"/>
        </w:rPr>
        <w:t>Phone 2</w:t>
      </w:r>
      <w:r>
        <w:rPr>
          <w:rFonts w:ascii="Arial" w:cs="Arial" w:eastAsia="Arial" w:hAnsi="Arial"/>
          <w:sz w:val="18"/>
          <w:szCs w:val="18"/>
          <w:color w:val="auto"/>
        </w:rPr>
        <w:t>.</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decreased due to lower revenue and consistent operating expenses. The consistent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reflected higher marketing and promotion expenses due to increased spending on recent and upcoming theatrical film releases, offset by lower programming and production expenses, mainly due to lower costs associated with theatrical releases and lower content licensing sales at our television studios.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3"/>
        </w:trPr>
        <w:tc>
          <w:tcPr>
            <w:tcW w:w="100" w:type="dxa"/>
            <w:vAlign w:val="bottom"/>
            <w:tcBorders>
              <w:bottom w:val="single" w:sz="8" w:color="D9D9D6"/>
            </w:tcBorders>
            <w:shd w:val="clear" w:color="auto" w:fill="D9D9D6"/>
          </w:tcPr>
          <w:p>
            <w:pPr>
              <w:spacing w:after="0"/>
              <w:rPr>
                <w:sz w:val="19"/>
                <w:szCs w:val="19"/>
                <w:color w:val="auto"/>
              </w:rPr>
            </w:pPr>
          </w:p>
        </w:tc>
        <w:tc>
          <w:tcPr>
            <w:tcW w:w="8280" w:type="dxa"/>
            <w:vAlign w:val="bottom"/>
            <w:tcBorders>
              <w:bottom w:val="single" w:sz="8" w:color="D9D9D6"/>
            </w:tcBorders>
            <w:shd w:val="clear" w:color="auto" w:fill="D9D9D6"/>
          </w:tcPr>
          <w:p>
            <w:pPr>
              <w:spacing w:after="0"/>
              <w:rPr>
                <w:sz w:val="19"/>
                <w:szCs w:val="19"/>
                <w:color w:val="auto"/>
              </w:rPr>
            </w:pPr>
          </w:p>
        </w:tc>
        <w:tc>
          <w:tcPr>
            <w:tcW w:w="540" w:type="dxa"/>
            <w:vAlign w:val="bottom"/>
            <w:tcBorders>
              <w:bottom w:val="single" w:sz="8" w:color="D9D9D6"/>
            </w:tcBorders>
            <w:shd w:val="clear" w:color="auto" w:fill="D9D9D6"/>
          </w:tcPr>
          <w:p>
            <w:pPr>
              <w:spacing w:after="0"/>
              <w:rPr>
                <w:sz w:val="19"/>
                <w:szCs w:val="19"/>
                <w:color w:val="auto"/>
              </w:rPr>
            </w:pPr>
          </w:p>
        </w:tc>
        <w:tc>
          <w:tcPr>
            <w:tcW w:w="340" w:type="dxa"/>
            <w:vAlign w:val="bottom"/>
            <w:tcBorders>
              <w:bottom w:val="single" w:sz="8" w:color="D9D9D6"/>
              <w:right w:val="single" w:sz="8" w:color="D9D9D6"/>
            </w:tcBorders>
            <w:shd w:val="clear" w:color="auto" w:fill="D9D9D6"/>
          </w:tcPr>
          <w:p>
            <w:pPr>
              <w:spacing w:after="0"/>
              <w:rPr>
                <w:sz w:val="19"/>
                <w:szCs w:val="19"/>
                <w:color w:val="auto"/>
              </w:rPr>
            </w:pPr>
          </w:p>
        </w:tc>
        <w:tc>
          <w:tcPr>
            <w:tcW w:w="140" w:type="dxa"/>
            <w:vAlign w:val="bottom"/>
            <w:tcBorders>
              <w:bottom w:val="single" w:sz="8" w:color="D9D9D6"/>
            </w:tcBorders>
            <w:shd w:val="clear" w:color="auto" w:fill="D9D9D6"/>
          </w:tcPr>
          <w:p>
            <w:pPr>
              <w:spacing w:after="0"/>
              <w:rPr>
                <w:sz w:val="19"/>
                <w:szCs w:val="19"/>
                <w:color w:val="auto"/>
              </w:rPr>
            </w:pPr>
          </w:p>
        </w:tc>
        <w:tc>
          <w:tcPr>
            <w:tcW w:w="74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8"/>
              </w:rPr>
              <w:t>4th Quarter</w:t>
            </w:r>
          </w:p>
        </w:tc>
        <w:tc>
          <w:tcPr>
            <w:tcW w:w="480" w:type="dxa"/>
            <w:vAlign w:val="bottom"/>
            <w:tcBorders>
              <w:bottom w:val="single" w:sz="8" w:color="D9D9D6"/>
            </w:tcBorders>
            <w:shd w:val="clear" w:color="auto" w:fill="D9D9D6"/>
          </w:tcPr>
          <w:p>
            <w:pPr>
              <w:spacing w:after="0"/>
              <w:rPr>
                <w:sz w:val="19"/>
                <w:szCs w:val="19"/>
                <w:color w:val="auto"/>
              </w:rPr>
            </w:pPr>
          </w:p>
        </w:tc>
        <w:tc>
          <w:tcPr>
            <w:tcW w:w="520" w:type="dxa"/>
            <w:vAlign w:val="bottom"/>
            <w:tcBorders>
              <w:bottom w:val="single" w:sz="8" w:color="D9D9D6"/>
              <w:right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r>
      <w:tr>
        <w:trPr>
          <w:trHeight w:val="183"/>
        </w:trPr>
        <w:tc>
          <w:tcPr>
            <w:tcW w:w="100" w:type="dxa"/>
            <w:vAlign w:val="bottom"/>
            <w:shd w:val="clear" w:color="auto" w:fill="D9D9D6"/>
          </w:tcPr>
          <w:p>
            <w:pPr>
              <w:spacing w:after="0"/>
              <w:rPr>
                <w:sz w:val="15"/>
                <w:szCs w:val="15"/>
                <w:color w:val="auto"/>
              </w:rPr>
            </w:pPr>
          </w:p>
        </w:tc>
        <w:tc>
          <w:tcPr>
            <w:tcW w:w="828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480" w:type="dxa"/>
            <w:vAlign w:val="bottom"/>
            <w:shd w:val="clear" w:color="auto" w:fill="D9D9D6"/>
          </w:tcPr>
          <w:p>
            <w:pPr>
              <w:spacing w:after="0"/>
              <w:rPr>
                <w:sz w:val="15"/>
                <w:szCs w:val="15"/>
                <w:color w:val="auto"/>
              </w:rPr>
            </w:pPr>
          </w:p>
        </w:tc>
        <w:tc>
          <w:tcPr>
            <w:tcW w:w="620" w:type="dxa"/>
            <w:vAlign w:val="bottom"/>
            <w:gridSpan w:val="2"/>
            <w:shd w:val="clear" w:color="auto" w:fill="D9D9D6"/>
          </w:tcPr>
          <w:p>
            <w:pPr>
              <w:jc w:val="right"/>
              <w:ind w:right="120"/>
              <w:spacing w:after="0"/>
              <w:rPr>
                <w:sz w:val="20"/>
                <w:szCs w:val="20"/>
                <w:color w:val="auto"/>
              </w:rPr>
            </w:pPr>
            <w:r>
              <w:rPr>
                <w:rFonts w:ascii="Arial" w:cs="Arial" w:eastAsia="Arial" w:hAnsi="Arial"/>
                <w:sz w:val="14"/>
                <w:szCs w:val="14"/>
                <w:color w:val="auto"/>
                <w:w w:val="97"/>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8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343"/>
        </w:trPr>
        <w:tc>
          <w:tcPr>
            <w:tcW w:w="100" w:type="dxa"/>
            <w:vAlign w:val="bottom"/>
            <w:shd w:val="clear" w:color="auto" w:fill="D9D9D6"/>
          </w:tcPr>
          <w:p>
            <w:pPr>
              <w:spacing w:after="0"/>
              <w:rPr>
                <w:sz w:val="24"/>
                <w:szCs w:val="24"/>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$2,893</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$2,374</w:t>
            </w:r>
          </w:p>
        </w:tc>
        <w:tc>
          <w:tcPr>
            <w:tcW w:w="10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1,858</w:t>
            </w:r>
          </w:p>
        </w:tc>
        <w:tc>
          <w:tcPr>
            <w:tcW w:w="88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1,535</w:t>
            </w:r>
          </w:p>
        </w:tc>
        <w:tc>
          <w:tcPr>
            <w:tcW w:w="100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$1,035</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$838</w:t>
            </w:r>
          </w:p>
        </w:tc>
        <w:tc>
          <w:tcPr>
            <w:tcW w:w="10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8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5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due to higher revenue at domestic theme parks, driven by the successful opening of Epic Universe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2025.</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increased, reflecting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primarily due to operating costs associated with Epic Universe.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 Headquarters &amp; Other Adjusted EBITDA loss in the fourth quarter was $306 million, compared to a loss of $189 million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$ 817 million, compared to $804 million in the prior year period, and Adjusted EBITDA eliminations were a benefit of $47 million, compared to a loss of $26 million in the prior 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7740" w:type="dxa"/>
            <w:vAlign w:val="bottom"/>
            <w:tcBorders>
              <w:bottom w:val="single" w:sz="8" w:color="D9D9D6"/>
            </w:tcBorders>
            <w:shd w:val="clear" w:color="auto" w:fill="D9D9D6"/>
          </w:tcPr>
          <w:p>
            <w:pPr>
              <w:spacing w:after="0"/>
              <w:rPr>
                <w:sz w:val="15"/>
                <w:szCs w:val="15"/>
                <w:color w:val="auto"/>
              </w:rPr>
            </w:pPr>
          </w:p>
        </w:tc>
        <w:tc>
          <w:tcPr>
            <w:tcW w:w="7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4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4th Quarter</w:t>
            </w:r>
          </w:p>
        </w:tc>
        <w:tc>
          <w:tcPr>
            <w:tcW w:w="140" w:type="dxa"/>
            <w:vAlign w:val="bottom"/>
            <w:tcBorders>
              <w:bottom w:val="single" w:sz="8" w:color="D9D9D6"/>
            </w:tcBorders>
            <w:gridSpan w:val="2"/>
            <w:shd w:val="clear" w:color="auto" w:fill="D9D9D6"/>
          </w:tcPr>
          <w:p>
            <w:pPr>
              <w:spacing w:after="0"/>
              <w:rPr>
                <w:sz w:val="15"/>
                <w:szCs w:val="15"/>
                <w:color w:val="auto"/>
              </w:rPr>
            </w:pPr>
          </w:p>
        </w:tc>
        <w:tc>
          <w:tcPr>
            <w:tcW w:w="60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7740" w:type="dxa"/>
            <w:vAlign w:val="bottom"/>
            <w:shd w:val="clear" w:color="auto" w:fill="D9D9D6"/>
          </w:tcPr>
          <w:p>
            <w:pPr>
              <w:spacing w:after="0"/>
              <w:rPr>
                <w:sz w:val="15"/>
                <w:szCs w:val="15"/>
                <w:color w:val="auto"/>
              </w:rPr>
            </w:pPr>
          </w:p>
        </w:tc>
        <w:tc>
          <w:tcPr>
            <w:tcW w:w="10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0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40" w:type="dxa"/>
            <w:vAlign w:val="bottom"/>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7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60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$858</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$784</w:t>
            </w:r>
          </w:p>
        </w:tc>
        <w:tc>
          <w:tcPr>
            <w:tcW w:w="20" w:type="dxa"/>
            <w:vAlign w:val="bottom"/>
            <w:shd w:val="clear" w:color="auto" w:fill="D9D9D6"/>
          </w:tcPr>
          <w:p>
            <w:pPr>
              <w:spacing w:after="0"/>
              <w:rPr>
                <w:sz w:val="17"/>
                <w:szCs w:val="17"/>
                <w:color w:val="auto"/>
              </w:rPr>
            </w:pPr>
          </w:p>
        </w:tc>
        <w:tc>
          <w:tcPr>
            <w:tcW w:w="11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9.5%</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1,467</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1,268</w:t>
            </w:r>
          </w:p>
        </w:tc>
        <w:tc>
          <w:tcPr>
            <w:tcW w:w="20" w:type="dxa"/>
            <w:vAlign w:val="bottom"/>
            <w:tcBorders>
              <w:bottom w:val="single" w:sz="8" w:color="auto"/>
            </w:tcBorders>
            <w:shd w:val="clear" w:color="auto" w:fill="D9D9D6"/>
          </w:tcPr>
          <w:p>
            <w:pPr>
              <w:spacing w:after="0"/>
              <w:rPr>
                <w:sz w:val="17"/>
                <w:szCs w:val="17"/>
                <w:color w:val="auto"/>
              </w:rPr>
            </w:pPr>
          </w:p>
        </w:tc>
        <w:tc>
          <w:tcPr>
            <w:tcW w:w="110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15.7%</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($608)</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($484)</w:t>
            </w:r>
          </w:p>
        </w:tc>
        <w:tc>
          <w:tcPr>
            <w:tcW w:w="20" w:type="dxa"/>
            <w:vAlign w:val="bottom"/>
            <w:shd w:val="clear" w:color="auto" w:fill="D9D9D6"/>
          </w:tcPr>
          <w:p>
            <w:pPr>
              <w:spacing w:after="0"/>
              <w:rPr>
                <w:sz w:val="17"/>
                <w:szCs w:val="17"/>
                <w:color w:val="auto"/>
              </w:rPr>
            </w:pP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(25.7%)</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9"/>
        </w:trPr>
        <w:tc>
          <w:tcPr>
            <w:tcW w:w="120" w:type="dxa"/>
            <w:vAlign w:val="bottom"/>
            <w:shd w:val="clear" w:color="auto" w:fill="D9D9D6"/>
          </w:tcPr>
          <w:p>
            <w:pPr>
              <w:spacing w:after="0"/>
              <w:rPr>
                <w:sz w:val="24"/>
                <w:szCs w:val="24"/>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0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2"/>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($1,521)</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($1,411)</w:t>
            </w:r>
          </w:p>
        </w:tc>
        <w:tc>
          <w:tcPr>
            <w:tcW w:w="20" w:type="dxa"/>
            <w:vAlign w:val="bottom"/>
            <w:shd w:val="clear" w:color="auto" w:fill="D9D9D6"/>
          </w:tcPr>
          <w:p>
            <w:pPr>
              <w:spacing w:after="0"/>
              <w:rPr>
                <w:sz w:val="17"/>
                <w:szCs w:val="17"/>
                <w:color w:val="auto"/>
              </w:rPr>
            </w:pPr>
          </w:p>
        </w:tc>
        <w:tc>
          <w:tcPr>
            <w:tcW w:w="11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7.8%</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(1,521)</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(1,369)</w:t>
            </w:r>
          </w:p>
        </w:tc>
        <w:tc>
          <w:tcPr>
            <w:tcW w:w="20" w:type="dxa"/>
            <w:vAlign w:val="bottom"/>
            <w:tcBorders>
              <w:bottom w:val="single" w:sz="8" w:color="auto"/>
            </w:tcBorders>
            <w:shd w:val="clear" w:color="auto" w:fill="D9D9D6"/>
          </w:tcPr>
          <w:p>
            <w:pPr>
              <w:spacing w:after="0"/>
              <w:rPr>
                <w:sz w:val="17"/>
                <w:szCs w:val="17"/>
                <w:color w:val="auto"/>
              </w:rPr>
            </w:pPr>
          </w:p>
        </w:tc>
        <w:tc>
          <w:tcPr>
            <w:tcW w:w="110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11.1%</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740" w:type="dxa"/>
            <w:vAlign w:val="bottom"/>
            <w:shd w:val="clear" w:color="auto" w:fill="D9D9D6"/>
          </w:tcPr>
          <w:p>
            <w:pPr>
              <w:spacing w:after="0"/>
              <w:rPr>
                <w:sz w:val="17"/>
                <w:szCs w:val="17"/>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($42)</w:t>
            </w:r>
          </w:p>
        </w:tc>
        <w:tc>
          <w:tcPr>
            <w:tcW w:w="20" w:type="dxa"/>
            <w:vAlign w:val="bottom"/>
            <w:shd w:val="clear" w:color="auto" w:fill="D9D9D6"/>
          </w:tcPr>
          <w:p>
            <w:pPr>
              <w:spacing w:after="0"/>
              <w:rPr>
                <w:sz w:val="17"/>
                <w:szCs w:val="17"/>
                <w:color w:val="auto"/>
              </w:rPr>
            </w:pP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(100.3%)</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7740" w:type="dxa"/>
            <w:vAlign w:val="bottom"/>
            <w:shd w:val="clear" w:color="auto" w:fill="D9D9D6"/>
          </w:tcPr>
          <w:p>
            <w:pPr>
              <w:spacing w:after="0"/>
              <w:rPr>
                <w:sz w:val="4"/>
                <w:szCs w:val="4"/>
                <w:color w:val="auto"/>
              </w:rPr>
            </w:pPr>
          </w:p>
        </w:tc>
        <w:tc>
          <w:tcPr>
            <w:tcW w:w="7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60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Xfinity Mobile Arena in Philadelphia, Pennsylvania; and Xumo. Corporate &amp; Other Adjusted EBITDA decreased primarily reflecting higher costs related to corporate functions.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$1.5 billion, compared to $1.4 billion in the prior year period, and Adjusted EBITDA eliminations were flat compared to a loss of $42 million in the prior year period.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4"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29, 2026,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January 29, 2026, starting at 11:30 a.m. ET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40"/>
          </w:cols>
          <w:pgMar w:left="320" w:top="1313" w:right="339" w:bottom="1440" w:gutter="0" w:footer="0" w:header="0"/>
        </w:sectPr>
      </w:pP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Investor Contacts: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Press Contacts:</w:t>
      </w:r>
    </w:p>
    <w:p>
      <w:pPr>
        <w:spacing w:after="0" w:line="39" w:lineRule="exact"/>
        <w:rPr>
          <w:sz w:val="20"/>
          <w:szCs w:val="20"/>
          <w:color w:val="auto"/>
        </w:rPr>
      </w:pPr>
    </w:p>
    <w:p>
      <w:pPr>
        <w:sectPr>
          <w:pgSz w:w="11900" w:h="16838" w:orient="portrait"/>
          <w:cols w:equalWidth="0" w:num="2">
            <w:col w:w="5260" w:space="720"/>
            <w:col w:w="5260"/>
          </w:cols>
          <w:pgMar w:left="320" w:top="1313"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Marci Ryvicker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Marci_Ryvicker@Comcast.com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Jennifer Khoury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Jennifer_Khoury@Comcast.com</w:t>
      </w:r>
    </w:p>
    <w:p>
      <w:pPr>
        <w:spacing w:after="0" w:line="25" w:lineRule="exact"/>
        <w:rPr>
          <w:sz w:val="20"/>
          <w:szCs w:val="20"/>
          <w:color w:val="auto"/>
        </w:rPr>
      </w:pPr>
    </w:p>
    <w:p>
      <w:pPr>
        <w:sectPr>
          <w:pgSz w:w="11900" w:h="16838" w:orient="portrait"/>
          <w:cols w:equalWidth="0" w:num="4">
            <w:col w:w="1560" w:space="720"/>
            <w:col w:w="2980" w:space="720"/>
            <w:col w:w="1120" w:space="660"/>
            <w:col w:w="3480"/>
          </w:cols>
          <w:pgMar w:left="320" w:top="1313" w:right="339" w:bottom="1440" w:gutter="0" w:footer="0" w:header="0"/>
          <w:type w:val="continuous"/>
        </w:sectPr>
      </w:pPr>
    </w:p>
    <w:p>
      <w:pPr>
        <w:ind w:left="7760"/>
        <w:spacing w:after="0"/>
        <w:rPr>
          <w:sz w:val="20"/>
          <w:szCs w:val="20"/>
          <w:color w:val="auto"/>
        </w:rPr>
      </w:pPr>
      <w:r>
        <w:rPr>
          <w:rFonts w:ascii="Arial" w:cs="Arial" w:eastAsia="Arial" w:hAnsi="Arial"/>
          <w:sz w:val="16"/>
          <w:szCs w:val="16"/>
          <w:color w:val="auto"/>
        </w:rPr>
        <w:t>(215) 531-3296</w:t>
      </w:r>
    </w:p>
    <w:p>
      <w:pPr>
        <w:sectPr>
          <w:pgSz w:w="11900" w:h="16838" w:orient="portrait"/>
          <w:cols w:equalWidth="0" w:num="1">
            <w:col w:w="11240"/>
          </w:cols>
          <w:pgMar w:left="320" w:top="1313" w:right="339" w:bottom="1440" w:gutter="0" w:footer="0" w:header="0"/>
          <w:type w:val="continuous"/>
        </w:sectPr>
      </w:pP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Jane Kearns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Jane_Kearns@Comcast.com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John Demming</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John_Demming@Comcast.com</w:t>
      </w:r>
    </w:p>
    <w:p>
      <w:pPr>
        <w:spacing w:after="0" w:line="32" w:lineRule="exact"/>
        <w:rPr>
          <w:sz w:val="20"/>
          <w:szCs w:val="20"/>
          <w:color w:val="auto"/>
        </w:rPr>
      </w:pPr>
    </w:p>
    <w:p>
      <w:pPr>
        <w:sectPr>
          <w:pgSz w:w="11900" w:h="16838" w:orient="portrait"/>
          <w:cols w:equalWidth="0" w:num="4">
            <w:col w:w="1560" w:space="720"/>
            <w:col w:w="2980" w:space="720"/>
            <w:col w:w="1080" w:space="700"/>
            <w:col w:w="3480"/>
          </w:cols>
          <w:pgMar w:left="320" w:top="1313" w:right="339" w:bottom="1440" w:gutter="0" w:footer="0" w:header="0"/>
          <w:type w:val="continuous"/>
        </w:sectPr>
      </w:pPr>
    </w:p>
    <w:p>
      <w:pPr>
        <w:ind w:left="7760"/>
        <w:spacing w:after="0"/>
        <w:rPr>
          <w:sz w:val="20"/>
          <w:szCs w:val="20"/>
          <w:color w:val="auto"/>
        </w:rPr>
      </w:pPr>
      <w:r>
        <w:rPr>
          <w:rFonts w:ascii="Arial" w:cs="Arial" w:eastAsia="Arial" w:hAnsi="Arial"/>
          <w:sz w:val="16"/>
          <w:szCs w:val="16"/>
          <w:color w:val="auto"/>
        </w:rPr>
        <w:t>(215) 429-4744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40"/>
          </w:cols>
          <w:pgMar w:left="320" w:top="1313"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significant tax liability if the separation of Versant is not tax-free;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1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380365</wp:posOffset>
            </wp:positionV>
            <wp:extent cx="102870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22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$32,310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$31,915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$123,707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$123,731</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34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10,305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10,027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34,951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37,026</w:t>
            </w: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2,427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8,862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8,073</w:t>
            </w: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11,903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10,918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43,013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40,533</w:t>
            </w: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2,393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9,327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217"/>
        </w:trPr>
        <w:tc>
          <w:tcPr>
            <w:tcW w:w="654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6,884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28,822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103,035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100,434</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3,488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4,993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20,672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23,297</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(1,126)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(4,409)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34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6540" w:type="dxa"/>
            <w:vAlign w:val="bottom"/>
          </w:tcPr>
          <w:p>
            <w:pPr>
              <w:ind w:left="34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9,503</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2,159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25,766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18,673</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(6,106)</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2,070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19,660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15,877</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$2,168</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$19,998</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$0.60</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$5.39</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3,636</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3,709</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431800</wp:posOffset>
            </wp:positionV>
            <wp:extent cx="102870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$19,660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$15,877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16,210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14,802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1,288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(8,853)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1,994</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r>
      <w:tr>
        <w:trPr>
          <w:trHeight w:val="304"/>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33,643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27,673</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(11,750)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(12,181)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(2,658)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(1,302)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(16,157)</w:t>
            </w:r>
          </w:p>
        </w:tc>
        <w:tc>
          <w:tcPr>
            <w:tcW w:w="20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(15,670)</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3,494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(5,740)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(7,155)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(9,103)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(4,894)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(4,814)</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r>
      <w:tr>
        <w:trPr>
          <w:trHeight w:val="29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(14,346)</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(10,883)</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78"/>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3,182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1,095</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$10,559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$7,377</w:t>
            </w:r>
          </w:p>
        </w:tc>
      </w:tr>
      <w:tr>
        <w:trPr>
          <w:trHeight w:val="21"/>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389255</wp:posOffset>
            </wp:positionV>
            <wp:extent cx="1028700" cy="403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03225"/>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$9,481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$7,322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13,869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6,217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5,817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29,567</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26,801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12,214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12,541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7,952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65,680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62,548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61,502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58,209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22,474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25,599</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13,877</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12,501</w:t>
            </w:r>
          </w:p>
        </w:tc>
        <w:tc>
          <w:tcPr>
            <w:tcW w:w="0" w:type="dxa"/>
            <w:vAlign w:val="bottom"/>
          </w:tcPr>
          <w:p>
            <w:pPr>
              <w:spacing w:after="0"/>
              <w:rPr>
                <w:sz w:val="1"/>
                <w:szCs w:val="1"/>
                <w:color w:val="auto"/>
              </w:rPr>
            </w:pPr>
          </w:p>
        </w:tc>
      </w:tr>
      <w:tr>
        <w:trPr>
          <w:trHeight w:val="453"/>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$272,631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53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$11,058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4,097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12,410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10,679</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5,958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248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33,524</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92,979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94,186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27,788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25,227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20,965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20,942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224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96,903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85,560</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97,151</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86,038</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$272,631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-88900</wp:posOffset>
            </wp:positionV>
            <wp:extent cx="1028700" cy="402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0" cy="4025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9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0"/>
                <w:szCs w:val="20"/>
                <w:color w:val="auto"/>
              </w:rPr>
            </w:pPr>
          </w:p>
        </w:tc>
        <w:tc>
          <w:tcPr>
            <w:tcW w:w="18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Twelve Months Ended</w:t>
            </w:r>
          </w:p>
        </w:tc>
      </w:tr>
      <w:tr>
        <w:trPr>
          <w:trHeight w:val="189"/>
        </w:trPr>
        <w:tc>
          <w:tcPr>
            <w:tcW w:w="7300" w:type="dxa"/>
            <w:vAlign w:val="bottom"/>
          </w:tcPr>
          <w:p>
            <w:pPr>
              <w:spacing w:after="0"/>
              <w:rPr>
                <w:sz w:val="16"/>
                <w:szCs w:val="16"/>
                <w:color w:val="auto"/>
              </w:rPr>
            </w:pPr>
          </w:p>
        </w:tc>
        <w:tc>
          <w:tcPr>
            <w:tcW w:w="19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8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$2,168</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$4,778</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$19,998</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$16,192</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(338)</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(1,111)</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6,106</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2,796</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1,126</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1,069</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4,409</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4,134</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(9,503)</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Depreciation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2,393</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2,182</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9,327</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8,729</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Amortization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1,794</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1,651</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6,884</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6,072</w:t>
            </w:r>
          </w:p>
        </w:tc>
      </w:tr>
      <w:tr>
        <w:trPr>
          <w:trHeight w:val="205"/>
        </w:trPr>
        <w:tc>
          <w:tcPr>
            <w:tcW w:w="730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501</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36"/>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$7,900</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$8,807</w:t>
            </w: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$37,384</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$38,069</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$8,841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$8,080</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$33,643</w:t>
            </w:r>
          </w:p>
        </w:tc>
        <w:tc>
          <w:tcPr>
            <w:tcW w:w="140" w:type="dxa"/>
            <w:vAlign w:val="bottom"/>
          </w:tcPr>
          <w:p>
            <w:pPr>
              <w:spacing w:after="0"/>
              <w:rPr>
                <w:sz w:val="17"/>
                <w:szCs w:val="17"/>
                <w:color w:val="auto"/>
              </w:rPr>
            </w:pPr>
          </w:p>
        </w:tc>
        <w:tc>
          <w:tcPr>
            <w:tcW w:w="860" w:type="dxa"/>
            <w:vAlign w:val="bottom"/>
          </w:tcPr>
          <w:p>
            <w:pPr>
              <w:ind w:left="280"/>
              <w:spacing w:after="0"/>
              <w:rPr>
                <w:sz w:val="20"/>
                <w:szCs w:val="20"/>
                <w:color w:val="auto"/>
              </w:rPr>
            </w:pPr>
            <w:r>
              <w:rPr>
                <w:rFonts w:ascii="Arial" w:cs="Arial" w:eastAsia="Arial" w:hAnsi="Arial"/>
                <w:sz w:val="14"/>
                <w:szCs w:val="14"/>
                <w:color w:val="auto"/>
              </w:rPr>
              <w:t>$27,673</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(3,749)</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(11,750)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(12,181)</w:t>
            </w:r>
          </w:p>
        </w:tc>
      </w:tr>
      <w:tr>
        <w:trPr>
          <w:trHeight w:val="204"/>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(724)</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(2,658)</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w:t>
            </w:r>
          </w:p>
        </w:tc>
      </w:tr>
      <w:tr>
        <w:trPr>
          <w:trHeight w:val="237"/>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$4,369</w:t>
            </w: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$3,260</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$19,235</w:t>
            </w:r>
          </w:p>
        </w:tc>
        <w:tc>
          <w:tcPr>
            <w:tcW w:w="140" w:type="dxa"/>
            <w:vAlign w:val="bottom"/>
          </w:tcPr>
          <w:p>
            <w:pPr>
              <w:spacing w:after="0"/>
              <w:rPr>
                <w:sz w:val="20"/>
                <w:szCs w:val="20"/>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$12,543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8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$7,900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$8,807</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$37,384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$38,069</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(3,749)</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(11,750)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(12,181)</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(724)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(906)</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(2,658)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(2,949)</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(1,189)</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(3,871)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(3,657)</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taxes (paid) received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1,623</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(1,108)</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(755)</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(7,096)</w:t>
            </w:r>
          </w:p>
        </w:tc>
      </w:tr>
      <w:tr>
        <w:trPr>
          <w:trHeight w:val="202"/>
        </w:trPr>
        <w:tc>
          <w:tcPr>
            <w:tcW w:w="7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232</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1,093</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(551)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(1,559)</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1,288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1,288</w:t>
            </w:r>
          </w:p>
        </w:tc>
      </w:tr>
      <w:tr>
        <w:trPr>
          <w:trHeight w:val="205"/>
        </w:trPr>
        <w:tc>
          <w:tcPr>
            <w:tcW w:w="72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236"/>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$4,369</w:t>
            </w: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$3,260</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$19,235</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$12,543</w:t>
            </w:r>
          </w:p>
        </w:tc>
      </w:tr>
    </w:tbl>
    <w:p>
      <w:pPr>
        <w:spacing w:after="0" w:line="23" w:lineRule="exact"/>
        <w:rPr>
          <w:sz w:val="20"/>
          <w:szCs w:val="20"/>
          <w:color w:val="auto"/>
        </w:rPr>
      </w:pPr>
    </w:p>
    <w:p>
      <w:pPr>
        <w:jc w:val="both"/>
        <w:ind w:left="360" w:right="20" w:hanging="354"/>
        <w:spacing w:after="0" w:line="213" w:lineRule="auto"/>
        <w:tabs>
          <w:tab w:leader="none" w:pos="360" w:val="left"/>
        </w:tabs>
        <w:numPr>
          <w:ilvl w:val="0"/>
          <w:numId w:val="4"/>
        </w:numPr>
        <w:rPr>
          <w:rFonts w:ascii="Arial" w:cs="Arial" w:eastAsia="Arial" w:hAnsi="Arial"/>
          <w:sz w:val="11"/>
          <w:szCs w:val="11"/>
          <w:color w:val="auto"/>
        </w:rPr>
      </w:pPr>
      <w:r>
        <w:rPr>
          <w:rFonts w:ascii="Arial" w:cs="Arial" w:eastAsia="Arial" w:hAnsi="Arial"/>
          <w:sz w:val="13"/>
          <w:szCs w:val="13"/>
          <w:color w:val="auto"/>
        </w:rPr>
        <w:t>Adjusted EBITDA excludes transaction and transaction-related costs associated with the separation of Versant, as well as other operating and administrative expenses related to our investment portfolio. Transaction costs are incremental costs directly related to effectuating the separation and primarily include advisory, legal and audit fees, as well as legal entity separation costs.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6840" w:type="dxa"/>
            <w:vAlign w:val="bottom"/>
          </w:tcPr>
          <w:p>
            <w:pPr>
              <w:spacing w:after="0"/>
              <w:rPr>
                <w:sz w:val="21"/>
                <w:szCs w:val="21"/>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1"/>
                <w:szCs w:val="21"/>
                <w:color w:val="auto"/>
              </w:rPr>
            </w:pPr>
          </w:p>
        </w:tc>
        <w:tc>
          <w:tcPr>
            <w:tcW w:w="18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3"/>
        </w:trPr>
        <w:tc>
          <w:tcPr>
            <w:tcW w:w="684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8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6840" w:type="dxa"/>
            <w:vAlign w:val="bottom"/>
            <w:vMerge w:val="restart"/>
          </w:tcPr>
          <w:p>
            <w:pPr>
              <w:spacing w:after="0"/>
              <w:rPr>
                <w:sz w:val="20"/>
                <w:szCs w:val="20"/>
                <w:color w:val="auto"/>
              </w:rPr>
            </w:pPr>
            <w:r>
              <w:rPr>
                <w:rFonts w:ascii="Arial" w:cs="Arial" w:eastAsia="Arial" w:hAnsi="Arial"/>
                <w:sz w:val="13"/>
                <w:szCs w:val="13"/>
                <w:color w:val="auto"/>
              </w:rPr>
              <w:t>Transaction-related costs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3"/>
        </w:trPr>
        <w:tc>
          <w:tcPr>
            <w:tcW w:w="6840" w:type="dxa"/>
            <w:vAlign w:val="bottom"/>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$208</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3"/>
                <w:szCs w:val="13"/>
                <w:color w:val="auto"/>
              </w:rPr>
              <w:t>Transaction costs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5"/>
        </w:trPr>
        <w:tc>
          <w:tcPr>
            <w:tcW w:w="6840" w:type="dxa"/>
            <w:vAlign w:val="bottom"/>
          </w:tcPr>
          <w:p>
            <w:pPr>
              <w:spacing w:after="0"/>
              <w:rPr>
                <w:sz w:val="20"/>
                <w:szCs w:val="20"/>
                <w:color w:val="auto"/>
              </w:rPr>
            </w:pPr>
            <w:r>
              <w:rPr>
                <w:rFonts w:ascii="Arial" w:cs="Arial" w:eastAsia="Arial" w:hAnsi="Arial"/>
                <w:sz w:val="13"/>
                <w:szCs w:val="13"/>
                <w:color w:val="auto"/>
              </w:rPr>
              <w:t>Costs related to our investment portfolio</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37"/>
        </w:trPr>
        <w:tc>
          <w:tcPr>
            <w:tcW w:w="6840" w:type="dxa"/>
            <w:vAlign w:val="bottom"/>
          </w:tcPr>
          <w:p>
            <w:pPr>
              <w:spacing w:after="0" w:line="146" w:lineRule="exact"/>
              <w:rPr>
                <w:sz w:val="20"/>
                <w:szCs w:val="20"/>
                <w:color w:val="auto"/>
              </w:rPr>
            </w:pPr>
            <w:r>
              <w:rPr>
                <w:rFonts w:ascii="Arial" w:cs="Arial" w:eastAsia="Arial" w:hAnsi="Arial"/>
                <w:sz w:val="13"/>
                <w:szCs w:val="13"/>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60" w:right="20" w:hanging="354"/>
        <w:spacing w:after="0" w:line="218" w:lineRule="auto"/>
        <w:tabs>
          <w:tab w:leader="none" w:pos="360" w:val="left"/>
        </w:tabs>
        <w:numPr>
          <w:ilvl w:val="0"/>
          <w:numId w:val="5"/>
        </w:numPr>
        <w:rPr>
          <w:rFonts w:ascii="Arial" w:cs="Arial" w:eastAsia="Arial" w:hAnsi="Arial"/>
          <w:sz w:val="11"/>
          <w:szCs w:val="11"/>
          <w:color w:val="auto"/>
        </w:rPr>
      </w:pPr>
      <w:r>
        <w:rPr>
          <w:rFonts w:ascii="Arial" w:cs="Arial" w:eastAsia="Arial" w:hAnsi="Arial"/>
          <w:sz w:val="13"/>
          <w:szCs w:val="13"/>
          <w:color w:val="auto"/>
        </w:rPr>
        <w:t>4th quarter and full year 2025 includes adjustments of $(235) and $(483) million, respectively, of transaction and transaction-related costs associated with the separation of Versant and $10 and $(18) million, respectively, of other operating and administrative expenses related to our investment portfolio, as these amounts are excluded from Adjusted EBITDA. 4th quarter and full year 2024 include adjustments of $(7) million of transaction costs associated with the separation of Versant and $25 and $37 million, respectively, of other operating and administrative expenses related to our investment portfolio, as these amounts are excluded from Adjusted EBITDA.</w:t>
      </w:r>
    </w:p>
    <w:p>
      <w:pPr>
        <w:sectPr>
          <w:pgSz w:w="11900" w:h="16838" w:orient="portrait"/>
          <w:cols w:equalWidth="0" w:num="1">
            <w:col w:w="11220"/>
          </w:cols>
          <w:pgMar w:left="340" w:top="8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898"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-140335</wp:posOffset>
            </wp:positionV>
            <wp:extent cx="102870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Twelve Months Ended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60" w:type="dxa"/>
            <w:vAlign w:val="bottom"/>
          </w:tcPr>
          <w:p>
            <w:pPr>
              <w:spacing w:after="0"/>
              <w:rPr>
                <w:sz w:val="15"/>
                <w:szCs w:val="15"/>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42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$2,168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$0.60</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$19,998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$5.39</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$16,192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5"/>
        </w:trPr>
        <w:tc>
          <w:tcPr>
            <w:tcW w:w="4420" w:type="dxa"/>
            <w:vAlign w:val="bottom"/>
          </w:tcPr>
          <w:p>
            <w:pPr>
              <w:ind w:left="160"/>
              <w:spacing w:after="0"/>
              <w:rPr>
                <w:sz w:val="20"/>
                <w:szCs w:val="20"/>
                <w:color w:val="auto"/>
              </w:rPr>
            </w:pPr>
            <w:r>
              <w:rPr>
                <w:rFonts w:ascii="Arial" w:cs="Arial" w:eastAsia="Arial" w:hAnsi="Arial"/>
                <w:sz w:val="14"/>
                <w:szCs w:val="14"/>
                <w:b w:val="1"/>
                <w:bCs w:val="1"/>
                <w:color w:val="auto"/>
              </w:rPr>
              <w:t>shareholders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2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(54.6%)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(52.0%)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i w:val="1"/>
                <w:iCs w:val="1"/>
                <w:color w:val="auto"/>
              </w:rPr>
              <w:t>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i w:val="1"/>
                <w:iCs w:val="1"/>
                <w:color w:val="auto"/>
              </w:rPr>
              <w:t>30.1%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42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23"/>
                <w:szCs w:val="23"/>
                <w:color w:val="auto"/>
              </w:rPr>
            </w:pPr>
          </w:p>
        </w:tc>
        <w:tc>
          <w:tcPr>
            <w:tcW w:w="680" w:type="dxa"/>
            <w:vAlign w:val="bottom"/>
          </w:tcPr>
          <w:p>
            <w:pPr>
              <w:jc w:val="center"/>
              <w:ind w:left="32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2,104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05"/>
        </w:trPr>
        <w:tc>
          <w:tcPr>
            <w:tcW w:w="442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7"/>
                <w:szCs w:val="17"/>
                <w:color w:val="auto"/>
              </w:rPr>
            </w:pPr>
          </w:p>
        </w:tc>
        <w:tc>
          <w:tcPr>
            <w:tcW w:w="680" w:type="dxa"/>
            <w:vAlign w:val="bottom"/>
          </w:tcPr>
          <w:p>
            <w:pPr>
              <w:jc w:val="center"/>
              <w:ind w:left="32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90"/>
        </w:trPr>
        <w:tc>
          <w:tcPr>
            <w:tcW w:w="442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20"/>
              <w:spacing w:after="0"/>
              <w:rPr>
                <w:sz w:val="20"/>
                <w:szCs w:val="20"/>
                <w:color w:val="auto"/>
              </w:rPr>
            </w:pPr>
            <w:r>
              <w:rPr>
                <w:rFonts w:ascii="Arial" w:cs="Arial" w:eastAsia="Arial" w:hAnsi="Arial"/>
                <w:sz w:val="14"/>
                <w:szCs w:val="14"/>
                <w:color w:val="auto"/>
              </w:rPr>
              <w:t>Gain related to investment</w:t>
            </w:r>
            <w:r>
              <w:rPr>
                <w:rFonts w:ascii="Arial" w:cs="Arial" w:eastAsia="Arial" w:hAnsi="Arial"/>
                <w:sz w:val="18"/>
                <w:szCs w:val="18"/>
                <w:color w:val="auto"/>
                <w:vertAlign w:val="superscript"/>
              </w:rPr>
              <w:t>(3)</w:t>
            </w:r>
          </w:p>
        </w:tc>
        <w:tc>
          <w:tcPr>
            <w:tcW w:w="110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center"/>
              <w:ind w:left="88"/>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20" w:type="dxa"/>
            <w:vAlign w:val="bottom"/>
          </w:tcPr>
          <w:p>
            <w:pPr>
              <w:ind w:left="120"/>
              <w:spacing w:after="0" w:line="202" w:lineRule="exact"/>
              <w:rPr>
                <w:sz w:val="20"/>
                <w:szCs w:val="20"/>
                <w:color w:val="auto"/>
              </w:rPr>
            </w:pPr>
            <w:r>
              <w:rPr>
                <w:rFonts w:ascii="Arial" w:cs="Arial" w:eastAsia="Arial" w:hAnsi="Arial"/>
                <w:sz w:val="14"/>
                <w:szCs w:val="14"/>
                <w:color w:val="auto"/>
              </w:rPr>
              <w:t>Tax benefit from internal corporate reorganization</w:t>
            </w:r>
            <w:r>
              <w:rPr>
                <w:rFonts w:ascii="Arial" w:cs="Arial" w:eastAsia="Arial" w:hAnsi="Arial"/>
                <w:sz w:val="18"/>
                <w:szCs w:val="18"/>
                <w:color w:val="auto"/>
                <w:vertAlign w:val="superscript"/>
              </w:rPr>
              <w:t>(4)</w:t>
            </w:r>
          </w:p>
        </w:tc>
        <w:tc>
          <w:tcPr>
            <w:tcW w:w="110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3"/>
        </w:trPr>
        <w:tc>
          <w:tcPr>
            <w:tcW w:w="4420" w:type="dxa"/>
            <w:vAlign w:val="bottom"/>
          </w:tcPr>
          <w:p>
            <w:pPr>
              <w:ind w:left="120"/>
              <w:spacing w:after="0" w:line="202" w:lineRule="exact"/>
              <w:rPr>
                <w:sz w:val="20"/>
                <w:szCs w:val="20"/>
                <w:color w:val="auto"/>
              </w:rPr>
            </w:pPr>
            <w:r>
              <w:rPr>
                <w:rFonts w:ascii="Arial" w:cs="Arial" w:eastAsia="Arial" w:hAnsi="Arial"/>
                <w:sz w:val="14"/>
                <w:szCs w:val="14"/>
                <w:color w:val="auto"/>
              </w:rPr>
              <w:t>Tax benefit related to assets held for sale</w:t>
            </w:r>
            <w:r>
              <w:rPr>
                <w:rFonts w:ascii="Arial" w:cs="Arial" w:eastAsia="Arial" w:hAnsi="Arial"/>
                <w:sz w:val="18"/>
                <w:szCs w:val="18"/>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7"/>
                <w:szCs w:val="17"/>
                <w:color w:val="auto"/>
              </w:rPr>
            </w:pPr>
          </w:p>
        </w:tc>
        <w:tc>
          <w:tcPr>
            <w:tcW w:w="920" w:type="dxa"/>
            <w:vAlign w:val="bottom"/>
            <w:gridSpan w:val="3"/>
          </w:tcPr>
          <w:p>
            <w:pPr>
              <w:jc w:val="center"/>
              <w:ind w:left="88"/>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20" w:type="dxa"/>
            <w:vAlign w:val="bottom"/>
          </w:tcPr>
          <w:p>
            <w:pPr>
              <w:ind w:left="120"/>
              <w:spacing w:after="0" w:line="202" w:lineRule="exact"/>
              <w:rPr>
                <w:sz w:val="20"/>
                <w:szCs w:val="20"/>
                <w:color w:val="auto"/>
              </w:rPr>
            </w:pPr>
            <w:r>
              <w:rPr>
                <w:rFonts w:ascii="Arial" w:cs="Arial" w:eastAsia="Arial" w:hAnsi="Arial"/>
                <w:sz w:val="14"/>
                <w:szCs w:val="14"/>
                <w:color w:val="auto"/>
              </w:rPr>
              <w:t>Transaction-related costs</w:t>
            </w:r>
            <w:r>
              <w:rPr>
                <w:rFonts w:ascii="Arial" w:cs="Arial" w:eastAsia="Arial" w:hAnsi="Arial"/>
                <w:sz w:val="18"/>
                <w:szCs w:val="18"/>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7"/>
                <w:szCs w:val="17"/>
                <w:color w:val="auto"/>
              </w:rPr>
            </w:pPr>
          </w:p>
        </w:tc>
        <w:tc>
          <w:tcPr>
            <w:tcW w:w="920" w:type="dxa"/>
            <w:vAlign w:val="bottom"/>
            <w:gridSpan w:val="3"/>
          </w:tcPr>
          <w:p>
            <w:pPr>
              <w:jc w:val="center"/>
              <w:ind w:left="88"/>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20" w:type="dxa"/>
            <w:vAlign w:val="bottom"/>
          </w:tcPr>
          <w:p>
            <w:pPr>
              <w:ind w:left="120"/>
              <w:spacing w:after="0" w:line="202" w:lineRule="exact"/>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4420" w:type="dxa"/>
            <w:vAlign w:val="bottom"/>
          </w:tcPr>
          <w:p>
            <w:pPr>
              <w:ind w:left="120"/>
              <w:spacing w:after="0"/>
              <w:rPr>
                <w:sz w:val="20"/>
                <w:szCs w:val="20"/>
                <w:color w:val="auto"/>
              </w:rPr>
            </w:pPr>
            <w:r>
              <w:rPr>
                <w:rFonts w:ascii="Arial" w:cs="Arial" w:eastAsia="Arial" w:hAnsi="Arial"/>
                <w:sz w:val="14"/>
                <w:szCs w:val="14"/>
                <w:color w:val="auto"/>
              </w:rPr>
              <w:t>Long-lived asset impairments</w:t>
            </w:r>
            <w:r>
              <w:rPr>
                <w:rFonts w:ascii="Arial" w:cs="Arial" w:eastAsia="Arial" w:hAnsi="Arial"/>
                <w:sz w:val="18"/>
                <w:szCs w:val="18"/>
                <w:color w:val="auto"/>
                <w:vertAlign w:val="superscript"/>
              </w:rPr>
              <w:t>(8)</w:t>
            </w:r>
          </w:p>
        </w:tc>
        <w:tc>
          <w:tcPr>
            <w:tcW w:w="110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center"/>
              <w:ind w:left="88"/>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1"/>
                <w:szCs w:val="21"/>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442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$3,062</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$0.84</w:t>
            </w: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$3,694</w:t>
            </w:r>
          </w:p>
        </w:tc>
        <w:tc>
          <w:tcPr>
            <w:tcW w:w="10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$15,972</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$4.31</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$16,937</w:t>
            </w:r>
          </w:p>
        </w:tc>
        <w:tc>
          <w:tcPr>
            <w:tcW w:w="8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(17.1%)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(12.4%)</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(0.6%)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60" w:right="40" w:hanging="252"/>
        <w:spacing w:after="0" w:line="251"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center"/>
              <w:spacing w:after="0"/>
              <w:rPr>
                <w:sz w:val="20"/>
                <w:szCs w:val="20"/>
                <w:color w:val="auto"/>
              </w:rPr>
            </w:pPr>
            <w:r>
              <w:rPr>
                <w:rFonts w:ascii="Arial" w:cs="Arial" w:eastAsia="Arial" w:hAnsi="Arial"/>
                <w:sz w:val="13"/>
                <w:szCs w:val="13"/>
                <w:color w:val="auto"/>
                <w:w w:val="96"/>
              </w:rPr>
              <w:t>Twelve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center"/>
              <w:spacing w:after="0"/>
              <w:rPr>
                <w:sz w:val="20"/>
                <w:szCs w:val="20"/>
                <w:color w:val="auto"/>
              </w:rPr>
            </w:pPr>
            <w:r>
              <w:rPr>
                <w:rFonts w:ascii="Arial" w:cs="Arial" w:eastAsia="Arial" w:hAnsi="Arial"/>
                <w:sz w:val="13"/>
                <w:szCs w:val="13"/>
                <w:color w:val="auto"/>
                <w:w w:val="97"/>
              </w:rPr>
              <w:t>December 31,</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71"/>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$3,263</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$2,747</w:t>
            </w:r>
          </w:p>
        </w:tc>
      </w:tr>
      <w:tr>
        <w:trPr>
          <w:trHeight w:val="174"/>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$2,504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$72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$313</w:t>
            </w:r>
          </w:p>
        </w:tc>
      </w:tr>
      <w:tr>
        <w:trPr>
          <w:trHeight w:val="179"/>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340</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260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291</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361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729</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$278</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Full year 2025 net income attributable to Comcast Corporation includes a $9.4 billion pre-tax gain in other income (loss), net, $7.1 billion net of tax, related to the sale of our interest in Hulu.</w:t>
      </w:r>
    </w:p>
    <w:p>
      <w:pPr>
        <w:spacing w:after="0" w:line="11" w:lineRule="exact"/>
        <w:rPr>
          <w:rFonts w:ascii="Arial" w:cs="Arial" w:eastAsia="Arial" w:hAnsi="Arial"/>
          <w:sz w:val="13"/>
          <w:szCs w:val="13"/>
          <w:color w:val="auto"/>
        </w:rPr>
      </w:pPr>
    </w:p>
    <w:p>
      <w:pPr>
        <w:ind w:left="260" w:right="380" w:hanging="252"/>
        <w:spacing w:after="0" w:line="238"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Full year 2025 net income attributable to Comcast Corporation includes a $177 million income tax benefit due to an internal corporate reorganization. 4th quarter and full year 2024 net income attributable to Comcast Corporation includes a $1.9 billion income tax benefit due to an internal corporate reorganization.</w:t>
      </w: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4th quarter and full year 2025 net income attributable to Comcast Corporation includes $154 million income tax benefit related to assets classified as held for sale as of December 31, 2025.</w:t>
      </w:r>
    </w:p>
    <w:p>
      <w:pPr>
        <w:ind w:left="260" w:right="80" w:hanging="252"/>
        <w:spacing w:after="0" w:line="243"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4th quarter and full year 2025 net income attributable to Comcast Corporation includes $208 and $374 million, $183 and $329 million net of tax, respectively, of transaction-related costs related to the separation of Versant.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2" w:lineRule="exact"/>
        <w:rPr>
          <w:rFonts w:ascii="Arial" w:cs="Arial" w:eastAsia="Arial" w:hAnsi="Arial"/>
          <w:sz w:val="13"/>
          <w:szCs w:val="13"/>
          <w:color w:val="auto"/>
        </w:rPr>
      </w:pPr>
    </w:p>
    <w:p>
      <w:pPr>
        <w:ind w:left="260" w:right="260" w:hanging="252"/>
        <w:spacing w:after="0" w:line="258" w:lineRule="auto"/>
        <w:tabs>
          <w:tab w:leader="none" w:pos="252" w:val="left"/>
        </w:tabs>
        <w:numPr>
          <w:ilvl w:val="0"/>
          <w:numId w:val="8"/>
        </w:numPr>
        <w:rPr>
          <w:rFonts w:ascii="Arial" w:cs="Arial" w:eastAsia="Arial" w:hAnsi="Arial"/>
          <w:sz w:val="12"/>
          <w:szCs w:val="12"/>
          <w:color w:val="auto"/>
        </w:rPr>
      </w:pPr>
      <w:r>
        <w:rPr>
          <w:rFonts w:ascii="Arial" w:cs="Arial" w:eastAsia="Arial" w:hAnsi="Arial"/>
          <w:sz w:val="12"/>
          <w:szCs w:val="12"/>
          <w:color w:val="auto"/>
        </w:rPr>
        <w:t>4th quarter and full year 2025 net income attributable to Comcast Corporation includes $27 and $109 million, $24 and $96 million net of tax, respectively, of transaction costs related to the separation of Versant. Transaction costs are incremental costs directly related to effectuating the separation and primarily include advisory, legal and audit fees, and legal entity separation costs.</w:t>
      </w: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Full year 2025 net income attributable to Comcast Corporation includes $155 million of long-lived asset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6114415</wp:posOffset>
            </wp:positionH>
            <wp:positionV relativeFrom="page">
              <wp:posOffset>612140</wp:posOffset>
            </wp:positionV>
            <wp:extent cx="1217295" cy="48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80060"/>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640" w:type="dxa"/>
            <w:vAlign w:val="bottom"/>
          </w:tcPr>
          <w:p>
            <w:pPr>
              <w:spacing w:after="0"/>
              <w:rPr>
                <w:sz w:val="24"/>
                <w:szCs w:val="24"/>
                <w:color w:val="auto"/>
              </w:rPr>
            </w:pPr>
          </w:p>
        </w:tc>
        <w:tc>
          <w:tcPr>
            <w:tcW w:w="322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2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22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rPr>
              <w:t>December 31, 2024</w:t>
            </w:r>
          </w:p>
        </w:tc>
        <w:tc>
          <w:tcPr>
            <w:tcW w:w="100" w:type="dxa"/>
            <w:vAlign w:val="bottom"/>
          </w:tcPr>
          <w:p>
            <w:pPr>
              <w:spacing w:after="0"/>
              <w:rPr>
                <w:sz w:val="18"/>
                <w:szCs w:val="18"/>
                <w:color w:val="auto"/>
              </w:rPr>
            </w:pPr>
          </w:p>
        </w:tc>
        <w:tc>
          <w:tcPr>
            <w:tcW w:w="2380" w:type="dxa"/>
            <w:vAlign w:val="bottom"/>
            <w:gridSpan w:val="5"/>
          </w:tcPr>
          <w:p>
            <w:pPr>
              <w:jc w:val="center"/>
              <w:ind w:left="799"/>
              <w:spacing w:after="0"/>
              <w:rPr>
                <w:sz w:val="20"/>
                <w:szCs w:val="20"/>
                <w:color w:val="auto"/>
              </w:rPr>
            </w:pPr>
            <w:r>
              <w:rPr>
                <w:rFonts w:ascii="Arial" w:cs="Arial" w:eastAsia="Arial" w:hAnsi="Arial"/>
                <w:sz w:val="16"/>
                <w:szCs w:val="16"/>
                <w:b w:val="1"/>
                <w:bCs w:val="1"/>
                <w:color w:val="auto"/>
              </w:rPr>
              <w:t>December 31, 2024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line="163" w:lineRule="exact"/>
              <w:rPr>
                <w:sz w:val="20"/>
                <w:szCs w:val="20"/>
                <w:color w:val="auto"/>
              </w:rPr>
            </w:pPr>
            <w:r>
              <w:rPr>
                <w:rFonts w:ascii="Arial" w:cs="Arial" w:eastAsia="Arial" w:hAnsi="Arial"/>
                <w:sz w:val="16"/>
                <w:szCs w:val="16"/>
                <w:color w:val="auto"/>
                <w:w w:val="98"/>
              </w:rPr>
              <w:t>Effects of</w:t>
            </w:r>
          </w:p>
        </w:tc>
        <w:tc>
          <w:tcPr>
            <w:tcW w:w="1180" w:type="dxa"/>
            <w:vAlign w:val="bottom"/>
            <w:tcBorders>
              <w:right w:val="single" w:sz="8" w:color="auto"/>
            </w:tcBorders>
            <w:gridSpan w:val="2"/>
          </w:tcPr>
          <w:p>
            <w:pPr>
              <w:ind w:left="20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280"/>
              <w:spacing w:after="0" w:line="163" w:lineRule="exact"/>
              <w:rPr>
                <w:sz w:val="20"/>
                <w:szCs w:val="20"/>
                <w:color w:val="auto"/>
              </w:rPr>
            </w:pPr>
            <w:r>
              <w:rPr>
                <w:rFonts w:ascii="Arial" w:cs="Arial" w:eastAsia="Arial" w:hAnsi="Arial"/>
                <w:sz w:val="16"/>
                <w:szCs w:val="16"/>
                <w:color w:val="auto"/>
                <w:w w:val="98"/>
              </w:rPr>
              <w:t>Effects of</w:t>
            </w:r>
          </w:p>
        </w:tc>
        <w:tc>
          <w:tcPr>
            <w:tcW w:w="880" w:type="dxa"/>
            <w:vAlign w:val="bottom"/>
          </w:tcPr>
          <w:p>
            <w:pPr>
              <w:jc w:val="right"/>
              <w:ind w:right="11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As Reported</w:t>
            </w:r>
          </w:p>
        </w:tc>
        <w:tc>
          <w:tcPr>
            <w:tcW w:w="96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Foreign</w:t>
            </w:r>
          </w:p>
        </w:tc>
        <w:tc>
          <w:tcPr>
            <w:tcW w:w="118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220" w:type="dxa"/>
            <w:vAlign w:val="bottom"/>
            <w:gridSpan w:val="3"/>
          </w:tcPr>
          <w:p>
            <w:pPr>
              <w:jc w:val="center"/>
              <w:ind w:right="280"/>
              <w:spacing w:after="0" w:line="162" w:lineRule="exact"/>
              <w:rPr>
                <w:sz w:val="20"/>
                <w:szCs w:val="20"/>
                <w:color w:val="auto"/>
              </w:rPr>
            </w:pPr>
            <w:r>
              <w:rPr>
                <w:rFonts w:ascii="Arial" w:cs="Arial" w:eastAsia="Arial" w:hAnsi="Arial"/>
                <w:sz w:val="16"/>
                <w:szCs w:val="16"/>
                <w:color w:val="auto"/>
                <w:w w:val="99"/>
              </w:rPr>
              <w:t>Foreign</w:t>
            </w:r>
          </w:p>
        </w:tc>
        <w:tc>
          <w:tcPr>
            <w:tcW w:w="8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6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rPr>
              <w:t>Currency</w:t>
            </w:r>
          </w:p>
        </w:tc>
        <w:tc>
          <w:tcPr>
            <w:tcW w:w="118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color w:val="auto"/>
              </w:rPr>
              <w:t>Currency</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6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60"/>
              <w:spacing w:after="0"/>
              <w:rPr>
                <w:sz w:val="20"/>
                <w:szCs w:val="20"/>
                <w:color w:val="auto"/>
              </w:rPr>
            </w:pPr>
            <w:r>
              <w:rPr>
                <w:rFonts w:ascii="Arial" w:cs="Arial" w:eastAsia="Arial" w:hAnsi="Arial"/>
                <w:sz w:val="16"/>
                <w:szCs w:val="16"/>
                <w:b w:val="1"/>
                <w:bCs w:val="1"/>
                <w:color w:val="auto"/>
              </w:rPr>
              <w:t>Currency</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$18,016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$18,209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$71,574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$72,107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9,701</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9,703</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$20,464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$20,657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$81,275</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$81,811</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$6,479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$6,495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$27,338</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$27,409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1,363</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5,500</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5,499</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$7,842</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$7,858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$32,838</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$32,909</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(30) bps</w:t>
            </w:r>
          </w:p>
        </w:tc>
        <w:tc>
          <w:tcPr>
            <w:tcW w:w="1040" w:type="dxa"/>
            <w:vAlign w:val="bottom"/>
          </w:tcPr>
          <w:p>
            <w:pPr>
              <w:jc w:val="right"/>
              <w:spacing w:after="0"/>
              <w:rPr>
                <w:sz w:val="20"/>
                <w:szCs w:val="20"/>
                <w:color w:val="auto"/>
              </w:rPr>
            </w:pPr>
            <w:r>
              <w:rPr>
                <w:rFonts w:ascii="Arial" w:cs="Arial" w:eastAsia="Arial" w:hAnsi="Arial"/>
                <w:sz w:val="16"/>
                <w:szCs w:val="16"/>
                <w:color w:val="auto"/>
              </w:rPr>
              <w:t>35.7%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(20) bps</w:t>
            </w:r>
          </w:p>
        </w:tc>
        <w:tc>
          <w:tcPr>
            <w:tcW w:w="880" w:type="dxa"/>
            <w:vAlign w:val="bottom"/>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 bps</w:t>
            </w:r>
          </w:p>
        </w:tc>
        <w:tc>
          <w:tcPr>
            <w:tcW w:w="1040" w:type="dxa"/>
            <w:vAlign w:val="bottom"/>
          </w:tcPr>
          <w:p>
            <w:pPr>
              <w:jc w:val="right"/>
              <w:spacing w:after="0"/>
              <w:rPr>
                <w:sz w:val="20"/>
                <w:szCs w:val="20"/>
                <w:color w:val="auto"/>
              </w:rPr>
            </w:pPr>
            <w:r>
              <w:rPr>
                <w:rFonts w:ascii="Arial" w:cs="Arial" w:eastAsia="Arial" w:hAnsi="Arial"/>
                <w:sz w:val="16"/>
                <w:szCs w:val="16"/>
                <w:color w:val="auto"/>
              </w:rPr>
              <w:t>55.7%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 bps</w:t>
            </w:r>
          </w:p>
        </w:tc>
        <w:tc>
          <w:tcPr>
            <w:tcW w:w="88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 bps</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40.4%</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 bps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40.2%</w:t>
            </w:r>
          </w:p>
        </w:tc>
        <w:tc>
          <w:tcPr>
            <w:tcW w:w="0" w:type="dxa"/>
            <w:vAlign w:val="bottom"/>
          </w:tcPr>
          <w:p>
            <w:pPr>
              <w:spacing w:after="0"/>
              <w:rPr>
                <w:sz w:val="1"/>
                <w:szCs w:val="1"/>
                <w:color w:val="auto"/>
              </w:rPr>
            </w:pPr>
          </w:p>
        </w:tc>
      </w:tr>
      <w:tr>
        <w:trPr>
          <w:trHeight w:val="439"/>
        </w:trPr>
        <w:tc>
          <w:tcPr>
            <w:tcW w:w="4640" w:type="dxa"/>
            <w:vAlign w:val="bottom"/>
          </w:tcPr>
          <w:p>
            <w:pPr>
              <w:spacing w:after="0"/>
              <w:rPr>
                <w:sz w:val="24"/>
                <w:szCs w:val="24"/>
                <w:color w:val="auto"/>
              </w:rPr>
            </w:pPr>
          </w:p>
        </w:tc>
        <w:tc>
          <w:tcPr>
            <w:tcW w:w="322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2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22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rPr>
              <w:t>December 31, 2024</w:t>
            </w:r>
          </w:p>
        </w:tc>
        <w:tc>
          <w:tcPr>
            <w:tcW w:w="100" w:type="dxa"/>
            <w:vAlign w:val="bottom"/>
          </w:tcPr>
          <w:p>
            <w:pPr>
              <w:spacing w:after="0"/>
              <w:rPr>
                <w:sz w:val="18"/>
                <w:szCs w:val="18"/>
                <w:color w:val="auto"/>
              </w:rPr>
            </w:pPr>
          </w:p>
        </w:tc>
        <w:tc>
          <w:tcPr>
            <w:tcW w:w="2380" w:type="dxa"/>
            <w:vAlign w:val="bottom"/>
            <w:gridSpan w:val="5"/>
          </w:tcPr>
          <w:p>
            <w:pPr>
              <w:jc w:val="center"/>
              <w:ind w:left="799"/>
              <w:spacing w:after="0"/>
              <w:rPr>
                <w:sz w:val="20"/>
                <w:szCs w:val="20"/>
                <w:color w:val="auto"/>
              </w:rPr>
            </w:pPr>
            <w:r>
              <w:rPr>
                <w:rFonts w:ascii="Arial" w:cs="Arial" w:eastAsia="Arial" w:hAnsi="Arial"/>
                <w:sz w:val="16"/>
                <w:szCs w:val="16"/>
                <w:b w:val="1"/>
                <w:bCs w:val="1"/>
                <w:color w:val="auto"/>
              </w:rPr>
              <w:t>December 31, 2024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line="163" w:lineRule="exact"/>
              <w:rPr>
                <w:sz w:val="20"/>
                <w:szCs w:val="20"/>
                <w:color w:val="auto"/>
              </w:rPr>
            </w:pPr>
            <w:r>
              <w:rPr>
                <w:rFonts w:ascii="Arial" w:cs="Arial" w:eastAsia="Arial" w:hAnsi="Arial"/>
                <w:sz w:val="16"/>
                <w:szCs w:val="16"/>
                <w:color w:val="auto"/>
                <w:w w:val="98"/>
              </w:rPr>
              <w:t>Effects of</w:t>
            </w:r>
          </w:p>
        </w:tc>
        <w:tc>
          <w:tcPr>
            <w:tcW w:w="1180" w:type="dxa"/>
            <w:vAlign w:val="bottom"/>
            <w:tcBorders>
              <w:right w:val="single" w:sz="8" w:color="auto"/>
            </w:tcBorders>
            <w:gridSpan w:val="2"/>
          </w:tcPr>
          <w:p>
            <w:pPr>
              <w:ind w:left="20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280"/>
              <w:spacing w:after="0" w:line="163" w:lineRule="exact"/>
              <w:rPr>
                <w:sz w:val="20"/>
                <w:szCs w:val="20"/>
                <w:color w:val="auto"/>
              </w:rPr>
            </w:pPr>
            <w:r>
              <w:rPr>
                <w:rFonts w:ascii="Arial" w:cs="Arial" w:eastAsia="Arial" w:hAnsi="Arial"/>
                <w:sz w:val="16"/>
                <w:szCs w:val="16"/>
                <w:color w:val="auto"/>
                <w:w w:val="98"/>
              </w:rPr>
              <w:t>Effects of</w:t>
            </w:r>
          </w:p>
        </w:tc>
        <w:tc>
          <w:tcPr>
            <w:tcW w:w="880" w:type="dxa"/>
            <w:vAlign w:val="bottom"/>
          </w:tcPr>
          <w:p>
            <w:pPr>
              <w:jc w:val="right"/>
              <w:ind w:right="11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As Reported</w:t>
            </w:r>
          </w:p>
        </w:tc>
        <w:tc>
          <w:tcPr>
            <w:tcW w:w="96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Foreign</w:t>
            </w:r>
          </w:p>
        </w:tc>
        <w:tc>
          <w:tcPr>
            <w:tcW w:w="118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220" w:type="dxa"/>
            <w:vAlign w:val="bottom"/>
            <w:gridSpan w:val="3"/>
          </w:tcPr>
          <w:p>
            <w:pPr>
              <w:jc w:val="center"/>
              <w:ind w:right="280"/>
              <w:spacing w:after="0" w:line="162" w:lineRule="exact"/>
              <w:rPr>
                <w:sz w:val="20"/>
                <w:szCs w:val="20"/>
                <w:color w:val="auto"/>
              </w:rPr>
            </w:pPr>
            <w:r>
              <w:rPr>
                <w:rFonts w:ascii="Arial" w:cs="Arial" w:eastAsia="Arial" w:hAnsi="Arial"/>
                <w:sz w:val="16"/>
                <w:szCs w:val="16"/>
                <w:color w:val="auto"/>
                <w:w w:val="99"/>
              </w:rPr>
              <w:t>Foreign</w:t>
            </w:r>
          </w:p>
        </w:tc>
        <w:tc>
          <w:tcPr>
            <w:tcW w:w="8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6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rPr>
              <w:t>Currency</w:t>
            </w:r>
          </w:p>
        </w:tc>
        <w:tc>
          <w:tcPr>
            <w:tcW w:w="118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color w:val="auto"/>
              </w:rPr>
              <w:t>Currency</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6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60"/>
              <w:spacing w:after="0"/>
              <w:rPr>
                <w:sz w:val="20"/>
                <w:szCs w:val="20"/>
                <w:color w:val="auto"/>
              </w:rPr>
            </w:pPr>
            <w:r>
              <w:rPr>
                <w:rFonts w:ascii="Arial" w:cs="Arial" w:eastAsia="Arial" w:hAnsi="Arial"/>
                <w:sz w:val="16"/>
                <w:szCs w:val="16"/>
                <w:b w:val="1"/>
                <w:bCs w:val="1"/>
                <w:color w:val="auto"/>
              </w:rPr>
              <w:t>Constant Currency</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1000" w:type="dxa"/>
            <w:vAlign w:val="bottom"/>
          </w:tcPr>
          <w:p>
            <w:pPr>
              <w:jc w:val="right"/>
              <w:spacing w:after="0"/>
              <w:rPr>
                <w:sz w:val="20"/>
                <w:szCs w:val="20"/>
                <w:color w:val="auto"/>
              </w:rPr>
            </w:pPr>
            <w:r>
              <w:rPr>
                <w:rFonts w:ascii="Arial" w:cs="Arial" w:eastAsia="Arial" w:hAnsi="Arial"/>
                <w:sz w:val="16"/>
                <w:szCs w:val="16"/>
                <w:color w:val="auto"/>
              </w:rPr>
              <w:t>$6,384</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$6,384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$25,660</w:t>
            </w:r>
          </w:p>
        </w:tc>
        <w:tc>
          <w:tcPr>
            <w:tcW w:w="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$25,660</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1000" w:type="dxa"/>
            <w:vAlign w:val="bottom"/>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4,273</w:t>
            </w:r>
          </w:p>
        </w:tc>
        <w:tc>
          <w:tcPr>
            <w:tcW w:w="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4,503</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w:t>
            </w:r>
          </w:p>
        </w:tc>
        <w:tc>
          <w:tcPr>
            <w:tcW w:w="0" w:type="dxa"/>
            <w:vAlign w:val="bottom"/>
          </w:tcPr>
          <w:p>
            <w:pPr>
              <w:spacing w:after="0"/>
              <w:rPr>
                <w:sz w:val="1"/>
                <w:szCs w:val="1"/>
                <w:color w:val="auto"/>
              </w:rPr>
            </w:pPr>
          </w:p>
        </w:tc>
      </w:tr>
      <w:tr>
        <w:trPr>
          <w:trHeight w:val="211"/>
        </w:trPr>
        <w:tc>
          <w:tcPr>
            <w:tcW w:w="464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$8,836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$8,887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$34,435</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$34,581</w:t>
            </w:r>
          </w:p>
        </w:tc>
        <w:tc>
          <w:tcPr>
            <w:tcW w:w="0" w:type="dxa"/>
            <w:vAlign w:val="bottom"/>
          </w:tcPr>
          <w:p>
            <w:pPr>
              <w:spacing w:after="0"/>
              <w:rPr>
                <w:sz w:val="1"/>
                <w:szCs w:val="1"/>
                <w:color w:val="auto"/>
              </w:rPr>
            </w:pPr>
          </w:p>
        </w:tc>
      </w:tr>
      <w:tr>
        <w:trPr>
          <w:trHeight w:val="215"/>
        </w:trPr>
        <w:tc>
          <w:tcPr>
            <w:tcW w:w="4640" w:type="dxa"/>
            <w:vAlign w:val="bottom"/>
          </w:tcPr>
          <w:p>
            <w:pPr>
              <w:ind w:left="220"/>
              <w:spacing w:after="0"/>
              <w:rPr>
                <w:sz w:val="20"/>
                <w:szCs w:val="20"/>
                <w:color w:val="auto"/>
              </w:rPr>
            </w:pPr>
            <w:r>
              <w:rPr>
                <w:rFonts w:ascii="Arial" w:cs="Arial" w:eastAsia="Arial" w:hAnsi="Arial"/>
                <w:sz w:val="16"/>
                <w:szCs w:val="16"/>
                <w:color w:val="auto"/>
              </w:rPr>
              <w:t>Video</w:t>
            </w:r>
          </w:p>
        </w:tc>
        <w:tc>
          <w:tcPr>
            <w:tcW w:w="1000" w:type="dxa"/>
            <w:vAlign w:val="bottom"/>
          </w:tcPr>
          <w:p>
            <w:pPr>
              <w:jc w:val="right"/>
              <w:spacing w:after="0"/>
              <w:rPr>
                <w:sz w:val="20"/>
                <w:szCs w:val="20"/>
                <w:color w:val="auto"/>
              </w:rPr>
            </w:pPr>
            <w:r>
              <w:rPr>
                <w:rFonts w:ascii="Arial" w:cs="Arial" w:eastAsia="Arial" w:hAnsi="Arial"/>
                <w:sz w:val="16"/>
                <w:szCs w:val="16"/>
                <w:color w:val="auto"/>
              </w:rPr>
              <w:t>6,736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6,845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27,791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28,087</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000" w:type="dxa"/>
            <w:vAlign w:val="bottom"/>
          </w:tcPr>
          <w:p>
            <w:pPr>
              <w:jc w:val="right"/>
              <w:spacing w:after="0"/>
              <w:rPr>
                <w:sz w:val="20"/>
                <w:szCs w:val="20"/>
                <w:color w:val="auto"/>
              </w:rPr>
            </w:pPr>
            <w:r>
              <w:rPr>
                <w:rFonts w:ascii="Arial" w:cs="Arial" w:eastAsia="Arial" w:hAnsi="Arial"/>
                <w:sz w:val="16"/>
                <w:szCs w:val="16"/>
                <w:color w:val="auto"/>
              </w:rPr>
              <w:t>1,158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4,089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4,137</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5,259</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$18,016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$18,209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$71,574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$72,107</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220"/>
              <w:spacing w:after="0"/>
              <w:rPr>
                <w:sz w:val="20"/>
                <w:szCs w:val="20"/>
                <w:color w:val="auto"/>
              </w:rPr>
            </w:pPr>
            <w:r>
              <w:rPr>
                <w:rFonts w:ascii="Arial" w:cs="Arial" w:eastAsia="Arial" w:hAnsi="Arial"/>
                <w:sz w:val="16"/>
                <w:szCs w:val="16"/>
                <w:color w:val="auto"/>
              </w:rPr>
              <w:t>Programming</w:t>
            </w:r>
          </w:p>
        </w:tc>
        <w:tc>
          <w:tcPr>
            <w:tcW w:w="1000" w:type="dxa"/>
            <w:vAlign w:val="bottom"/>
          </w:tcPr>
          <w:p>
            <w:pPr>
              <w:jc w:val="right"/>
              <w:spacing w:after="0"/>
              <w:rPr>
                <w:sz w:val="20"/>
                <w:szCs w:val="20"/>
                <w:color w:val="auto"/>
              </w:rPr>
            </w:pPr>
            <w:r>
              <w:rPr>
                <w:rFonts w:ascii="Arial" w:cs="Arial" w:eastAsia="Arial" w:hAnsi="Arial"/>
                <w:sz w:val="16"/>
                <w:szCs w:val="16"/>
                <w:color w:val="auto"/>
              </w:rPr>
              <w:t>$4,125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$4,192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$16,881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$17,054</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Non-Programming</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7,412</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27,355</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27,644</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$11,537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$11,714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$44,237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$44,698</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$6,479</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$6,495</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$27,338</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$27,409</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6"/>
                <w:szCs w:val="16"/>
                <w:i w:val="1"/>
                <w:iCs w:val="1"/>
                <w:color w:val="auto"/>
              </w:rPr>
              <w:t>Adjusted EBITDA Margin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36.0%</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 bps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38.2%</w:t>
            </w:r>
          </w:p>
        </w:tc>
        <w:tc>
          <w:tcPr>
            <w:tcW w:w="8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(20) bps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40" w:top="1006"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2026-01-29T06:15:15Z</dcterms:created>
  <dcterms:modified xsi:type="dcterms:W3CDTF">2026-01-29T06:15:15Z</dcterms:modified>
</cp:coreProperties>
</file>