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5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SECURITIES AND EXCHANGE COMMISSION</w:t>
      </w:r>
    </w:p>
    <w:p>
      <w:pPr>
        <w:spacing w:after="0" w:line="215" w:lineRule="exact"/>
        <w:rPr>
          <w:sz w:val="24"/>
          <w:szCs w:val="24"/>
          <w:color w:val="auto"/>
        </w:rPr>
      </w:pPr>
    </w:p>
    <w:p>
      <w:pPr>
        <w:ind w:left="392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306070</wp:posOffset>
            </wp:positionV>
            <wp:extent cx="25469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Securities Exchange Act of 1934</w:t>
      </w:r>
    </w:p>
    <w:p>
      <w:pPr>
        <w:spacing w:after="0" w:line="233" w:lineRule="exact"/>
        <w:rPr>
          <w:sz w:val="24"/>
          <w:szCs w:val="24"/>
          <w:color w:val="auto"/>
        </w:rPr>
      </w:pPr>
    </w:p>
    <w:p>
      <w:pPr>
        <w:jc w:val="center"/>
        <w:ind w:right="-459"/>
        <w:spacing w:after="0"/>
        <w:rPr>
          <w:sz w:val="20"/>
          <w:szCs w:val="20"/>
          <w:color w:val="auto"/>
        </w:rPr>
      </w:pPr>
      <w:r>
        <w:rPr>
          <w:rFonts w:ascii="Arial" w:cs="Arial" w:eastAsia="Arial" w:hAnsi="Arial"/>
          <w:sz w:val="18"/>
          <w:szCs w:val="18"/>
          <w:color w:val="auto"/>
        </w:rPr>
        <w:t>Date of report (Date of earliest event reported): May 31, 2012</w:t>
      </w:r>
    </w:p>
    <w:p>
      <w:pPr>
        <w:spacing w:after="0" w:line="207" w:lineRule="exact"/>
        <w:rPr>
          <w:sz w:val="24"/>
          <w:szCs w:val="24"/>
          <w:color w:val="auto"/>
        </w:rPr>
      </w:pPr>
    </w:p>
    <w:p>
      <w:pPr>
        <w:jc w:val="center"/>
        <w:ind w:right="-459"/>
        <w:spacing w:after="0"/>
        <w:rPr>
          <w:sz w:val="20"/>
          <w:szCs w:val="20"/>
          <w:color w:val="auto"/>
        </w:rPr>
      </w:pPr>
      <w:r>
        <w:rPr>
          <w:rFonts w:ascii="Arial" w:cs="Arial" w:eastAsia="Arial" w:hAnsi="Arial"/>
          <w:sz w:val="29"/>
          <w:szCs w:val="29"/>
          <w:b w:val="1"/>
          <w:bCs w:val="1"/>
          <w:color w:val="auto"/>
        </w:rPr>
        <w:t>Comcast Corporation</w:t>
      </w:r>
    </w:p>
    <w:p>
      <w:pPr>
        <w:spacing w:after="0" w:line="38"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left="500"/>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left="500"/>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0980"/>
          </w:cols>
          <w:pgMar w:left="240" w:top="783" w:right="679" w:bottom="1440" w:gutter="0" w:footer="0" w:header="0"/>
        </w:sectPr>
      </w:pPr>
    </w:p>
    <w:p>
      <w:pPr>
        <w:spacing w:after="0" w:line="207" w:lineRule="exact"/>
        <w:rPr>
          <w:sz w:val="24"/>
          <w:szCs w:val="24"/>
          <w:color w:val="auto"/>
        </w:rPr>
      </w:pPr>
    </w:p>
    <w:p>
      <w:pPr>
        <w:jc w:val="center"/>
        <w:ind w:right="3920"/>
        <w:spacing w:after="0"/>
        <w:rPr>
          <w:sz w:val="20"/>
          <w:szCs w:val="20"/>
          <w:color w:val="auto"/>
        </w:rPr>
      </w:pPr>
      <w:r>
        <w:rPr>
          <w:rFonts w:ascii="Arial" w:cs="Arial" w:eastAsia="Arial" w:hAnsi="Arial"/>
          <w:sz w:val="18"/>
          <w:szCs w:val="18"/>
          <w:b w:val="1"/>
          <w:bCs w:val="1"/>
          <w:color w:val="auto"/>
        </w:rPr>
        <w:t>001-32871</w:t>
      </w:r>
    </w:p>
    <w:p>
      <w:pPr>
        <w:spacing w:after="0" w:line="27" w:lineRule="exact"/>
        <w:rPr>
          <w:sz w:val="24"/>
          <w:szCs w:val="24"/>
          <w:color w:val="auto"/>
        </w:rPr>
      </w:pPr>
    </w:p>
    <w:p>
      <w:pPr>
        <w:jc w:val="center"/>
        <w:ind w:right="3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27-0000798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780" w:space="720"/>
            <w:col w:w="2480"/>
          </w:cols>
          <w:pgMar w:left="240" w:top="783" w:right="679" w:bottom="1440" w:gutter="0" w:footer="0" w:header="0"/>
          <w:type w:val="continuous"/>
        </w:sectPr>
      </w:pPr>
    </w:p>
    <w:p>
      <w:pPr>
        <w:spacing w:after="0" w:line="18" w:lineRule="exact"/>
        <w:rPr>
          <w:sz w:val="24"/>
          <w:szCs w:val="24"/>
          <w:color w:val="auto"/>
        </w:rPr>
      </w:pPr>
    </w:p>
    <w:p>
      <w:pPr>
        <w:jc w:val="center"/>
        <w:ind w:right="47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jc w:val="center"/>
        <w:ind w:right="472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jc w:val="center"/>
        <w:ind w:right="4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200" w:lineRule="exact"/>
        <w:rPr>
          <w:sz w:val="24"/>
          <w:szCs w:val="24"/>
          <w:color w:val="auto"/>
        </w:rPr>
      </w:pPr>
    </w:p>
    <w:p>
      <w:pPr>
        <w:sectPr>
          <w:pgSz w:w="11900" w:h="16838" w:orient="portrait"/>
          <w:cols w:equalWidth="0" w:num="2">
            <w:col w:w="8580" w:space="720"/>
            <w:col w:w="1680"/>
          </w:cols>
          <w:pgMar w:left="240" w:top="783" w:right="679" w:bottom="1440" w:gutter="0" w:footer="0" w:header="0"/>
          <w:type w:val="continuous"/>
        </w:sectPr>
      </w:pPr>
    </w:p>
    <w:p>
      <w:pPr>
        <w:spacing w:after="0" w:line="234" w:lineRule="exact"/>
        <w:rPr>
          <w:sz w:val="24"/>
          <w:szCs w:val="24"/>
          <w:color w:val="auto"/>
        </w:rPr>
      </w:pPr>
    </w:p>
    <w:p>
      <w:pPr>
        <w:ind w:left="326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(215) 286-1700</w:t>
      </w:r>
    </w:p>
    <w:p>
      <w:pPr>
        <w:spacing w:after="0" w:line="200" w:lineRule="exact"/>
        <w:rPr>
          <w:sz w:val="24"/>
          <w:szCs w:val="24"/>
          <w:color w:val="auto"/>
        </w:rPr>
      </w:pPr>
    </w:p>
    <w:p>
      <w:pPr>
        <w:spacing w:after="0" w:line="245"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0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660" w:hanging="56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56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56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56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78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740" w:hanging="732"/>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our annual meeting of shareholders held on May 31, 2012, our shareholders approved, or did not approve, the following proposals.</w:t>
      </w:r>
    </w:p>
    <w:p>
      <w:pPr>
        <w:spacing w:after="0" w:line="252" w:lineRule="exact"/>
        <w:rPr>
          <w:rFonts w:ascii="Arial" w:cs="Arial" w:eastAsia="Arial" w:hAnsi="Arial"/>
          <w:sz w:val="18"/>
          <w:szCs w:val="18"/>
          <w:color w:val="auto"/>
        </w:rPr>
      </w:pPr>
    </w:p>
    <w:p>
      <w:pPr>
        <w:ind w:firstLine="8"/>
        <w:spacing w:after="0" w:line="308" w:lineRule="auto"/>
        <w:tabs>
          <w:tab w:leader="none" w:pos="702"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following proposals are described in detail in Comcast Corporation’s definitive proxy statement dated April 20, 2012. The number of votes cast for and against (or withheld) and the number of abstentions and broker non-votes with respect to each matter voted upon are set forth below.</w:t>
      </w:r>
    </w:p>
    <w:p>
      <w:pPr>
        <w:spacing w:after="0" w:line="17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the director nominees named in the Proxy Statement were elected to serve as directors for one-year terms.</w:t>
      </w:r>
    </w:p>
    <w:p>
      <w:pPr>
        <w:spacing w:after="0" w:line="235" w:lineRule="exact"/>
        <w:rPr>
          <w:sz w:val="20"/>
          <w:szCs w:val="20"/>
          <w:color w:val="auto"/>
        </w:rPr>
      </w:pPr>
    </w:p>
    <w:tbl>
      <w:tblPr>
        <w:tblLayout w:type="fixed"/>
        <w:tblInd w:w="84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96"/>
              </w:rPr>
              <w:t>For</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Withheld</w:t>
            </w:r>
          </w:p>
        </w:tc>
        <w:tc>
          <w:tcPr>
            <w:tcW w:w="1320" w:type="dxa"/>
            <w:vAlign w:val="bottom"/>
          </w:tcPr>
          <w:p>
            <w:pPr>
              <w:jc w:val="right"/>
              <w:spacing w:after="0"/>
              <w:rPr>
                <w:sz w:val="20"/>
                <w:szCs w:val="20"/>
                <w:color w:val="auto"/>
              </w:rPr>
            </w:pPr>
            <w:r>
              <w:rPr>
                <w:rFonts w:ascii="Arial" w:cs="Arial" w:eastAsia="Arial" w:hAnsi="Arial"/>
                <w:sz w:val="18"/>
                <w:szCs w:val="18"/>
                <w:color w:val="auto"/>
                <w:w w:val="90"/>
              </w:rPr>
              <w:t>Broker Non-Votes</w:t>
            </w:r>
          </w:p>
        </w:tc>
      </w:tr>
      <w:tr>
        <w:trPr>
          <w:trHeight w:val="20"/>
        </w:trPr>
        <w:tc>
          <w:tcPr>
            <w:tcW w:w="60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91"/>
        </w:trPr>
        <w:tc>
          <w:tcPr>
            <w:tcW w:w="3320" w:type="dxa"/>
            <w:vAlign w:val="bottom"/>
            <w:gridSpan w:val="2"/>
          </w:tcPr>
          <w:p>
            <w:pPr>
              <w:spacing w:after="0"/>
              <w:rPr>
                <w:sz w:val="20"/>
                <w:szCs w:val="20"/>
                <w:color w:val="auto"/>
              </w:rPr>
            </w:pPr>
            <w:r>
              <w:rPr>
                <w:rFonts w:ascii="Arial" w:cs="Arial" w:eastAsia="Arial" w:hAnsi="Arial"/>
                <w:sz w:val="18"/>
                <w:szCs w:val="18"/>
                <w:color w:val="auto"/>
              </w:rPr>
              <w:t>Kenneth J. Bacon</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331,834,491</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26,817,171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Sheldon M. Bonovitz</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354,579,747</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4,071,915</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Joseph J. Collins</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287,218,934</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71,432,728</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J. Michael Cook</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355,157,944</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3,493,718</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Gerald L. Hassell</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287,183,211</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71,468,451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Jeffrey A. Honickman</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352,317,221</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6,334,441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Eduardo G. Mestre</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355,378,325</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3,273,337</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350,205,771</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8,445,891</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Ralph J. Roberts</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354,814,630</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3,837,032</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Johnathan A. Rodgers</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357,712,632</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939,030</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Dr. Judith Rodin</w:t>
            </w:r>
          </w:p>
        </w:tc>
        <w:tc>
          <w:tcPr>
            <w:tcW w:w="3200" w:type="dxa"/>
            <w:vAlign w:val="bottom"/>
            <w:gridSpan w:val="3"/>
          </w:tcPr>
          <w:p>
            <w:pPr>
              <w:jc w:val="center"/>
              <w:ind w:left="1010"/>
              <w:spacing w:after="0"/>
              <w:rPr>
                <w:sz w:val="20"/>
                <w:szCs w:val="20"/>
                <w:color w:val="auto"/>
              </w:rPr>
            </w:pPr>
            <w:r>
              <w:rPr>
                <w:rFonts w:ascii="Arial" w:cs="Arial" w:eastAsia="Arial" w:hAnsi="Arial"/>
                <w:sz w:val="18"/>
                <w:szCs w:val="18"/>
                <w:color w:val="auto"/>
                <w:w w:val="89"/>
              </w:rPr>
              <w:t>280,652,134</w:t>
            </w: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color w:val="auto"/>
              </w:rPr>
              <w:t>77,999,528</w:t>
            </w: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19,468,481</w:t>
            </w:r>
          </w:p>
        </w:tc>
      </w:tr>
    </w:tbl>
    <w:p>
      <w:pPr>
        <w:spacing w:after="0" w:line="229"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appointment of Deloitte &amp; Touche LLP as our independent auditors for the 2012 fiscal year was ratified.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For</w:t>
            </w:r>
          </w:p>
        </w:tc>
        <w:tc>
          <w:tcPr>
            <w:tcW w:w="3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Against</w:t>
            </w:r>
          </w:p>
        </w:tc>
        <w:tc>
          <w:tcPr>
            <w:tcW w:w="26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30"/>
        </w:trPr>
        <w:tc>
          <w:tcPr>
            <w:tcW w:w="3200" w:type="dxa"/>
            <w:vAlign w:val="bottom"/>
          </w:tcPr>
          <w:p>
            <w:pPr>
              <w:jc w:val="right"/>
              <w:ind w:right="1110"/>
              <w:spacing w:after="0"/>
              <w:rPr>
                <w:sz w:val="20"/>
                <w:szCs w:val="20"/>
                <w:color w:val="auto"/>
              </w:rPr>
            </w:pPr>
            <w:r>
              <w:rPr>
                <w:rFonts w:ascii="Arial" w:cs="Arial" w:eastAsia="Arial" w:hAnsi="Arial"/>
                <w:sz w:val="18"/>
                <w:szCs w:val="18"/>
                <w:color w:val="auto"/>
              </w:rPr>
              <w:t>374,808,772</w:t>
            </w:r>
          </w:p>
        </w:tc>
        <w:tc>
          <w:tcPr>
            <w:tcW w:w="3220" w:type="dxa"/>
            <w:vAlign w:val="bottom"/>
          </w:tcPr>
          <w:p>
            <w:pPr>
              <w:jc w:val="right"/>
              <w:ind w:right="1210"/>
              <w:spacing w:after="0"/>
              <w:rPr>
                <w:sz w:val="20"/>
                <w:szCs w:val="20"/>
                <w:color w:val="auto"/>
              </w:rPr>
            </w:pPr>
            <w:r>
              <w:rPr>
                <w:rFonts w:ascii="Arial" w:cs="Arial" w:eastAsia="Arial" w:hAnsi="Arial"/>
                <w:sz w:val="18"/>
                <w:szCs w:val="18"/>
                <w:color w:val="auto"/>
              </w:rPr>
              <w:t>2,694,358</w:t>
            </w:r>
          </w:p>
        </w:tc>
        <w:tc>
          <w:tcPr>
            <w:tcW w:w="2660" w:type="dxa"/>
            <w:vAlign w:val="bottom"/>
          </w:tcPr>
          <w:p>
            <w:pPr>
              <w:ind w:left="1280"/>
              <w:spacing w:after="0"/>
              <w:rPr>
                <w:sz w:val="20"/>
                <w:szCs w:val="20"/>
                <w:color w:val="auto"/>
              </w:rPr>
            </w:pPr>
            <w:r>
              <w:rPr>
                <w:rFonts w:ascii="Arial" w:cs="Arial" w:eastAsia="Arial" w:hAnsi="Arial"/>
                <w:sz w:val="18"/>
                <w:szCs w:val="18"/>
                <w:color w:val="auto"/>
              </w:rPr>
              <w:t>617,013</w:t>
            </w:r>
          </w:p>
        </w:tc>
        <w:tc>
          <w:tcPr>
            <w:tcW w:w="2340" w:type="dxa"/>
            <w:vAlign w:val="bottom"/>
          </w:tcPr>
          <w:p>
            <w:pPr>
              <w:jc w:val="center"/>
              <w:ind w:left="490"/>
              <w:spacing w:after="0"/>
              <w:rPr>
                <w:sz w:val="20"/>
                <w:szCs w:val="20"/>
                <w:color w:val="auto"/>
              </w:rPr>
            </w:pPr>
            <w:r>
              <w:rPr>
                <w:rFonts w:ascii="Arial" w:cs="Arial" w:eastAsia="Arial" w:hAnsi="Arial"/>
                <w:sz w:val="18"/>
                <w:szCs w:val="18"/>
                <w:color w:val="auto"/>
              </w:rPr>
              <w:t>N/A</w:t>
            </w:r>
          </w:p>
        </w:tc>
      </w:tr>
    </w:tbl>
    <w:p>
      <w:pPr>
        <w:spacing w:after="0" w:line="214"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Comcast Corporation 2002 Employee Stock Purchase Plan, as amended and restated, was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For</w:t>
            </w:r>
          </w:p>
        </w:tc>
        <w:tc>
          <w:tcPr>
            <w:tcW w:w="3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Against</w:t>
            </w:r>
          </w:p>
        </w:tc>
        <w:tc>
          <w:tcPr>
            <w:tcW w:w="26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30"/>
        </w:trPr>
        <w:tc>
          <w:tcPr>
            <w:tcW w:w="3200" w:type="dxa"/>
            <w:vAlign w:val="bottom"/>
          </w:tcPr>
          <w:p>
            <w:pPr>
              <w:jc w:val="right"/>
              <w:ind w:right="1110"/>
              <w:spacing w:after="0"/>
              <w:rPr>
                <w:sz w:val="20"/>
                <w:szCs w:val="20"/>
                <w:color w:val="auto"/>
              </w:rPr>
            </w:pPr>
            <w:r>
              <w:rPr>
                <w:rFonts w:ascii="Arial" w:cs="Arial" w:eastAsia="Arial" w:hAnsi="Arial"/>
                <w:sz w:val="18"/>
                <w:szCs w:val="18"/>
                <w:color w:val="auto"/>
              </w:rPr>
              <w:t>355,400,146</w:t>
            </w:r>
          </w:p>
        </w:tc>
        <w:tc>
          <w:tcPr>
            <w:tcW w:w="3220" w:type="dxa"/>
            <w:vAlign w:val="bottom"/>
          </w:tcPr>
          <w:p>
            <w:pPr>
              <w:jc w:val="right"/>
              <w:ind w:right="1210"/>
              <w:spacing w:after="0"/>
              <w:rPr>
                <w:sz w:val="20"/>
                <w:szCs w:val="20"/>
                <w:color w:val="auto"/>
              </w:rPr>
            </w:pPr>
            <w:r>
              <w:rPr>
                <w:rFonts w:ascii="Arial" w:cs="Arial" w:eastAsia="Arial" w:hAnsi="Arial"/>
                <w:sz w:val="18"/>
                <w:szCs w:val="18"/>
                <w:color w:val="auto"/>
              </w:rPr>
              <w:t>2,624,916</w:t>
            </w:r>
          </w:p>
        </w:tc>
        <w:tc>
          <w:tcPr>
            <w:tcW w:w="2660" w:type="dxa"/>
            <w:vAlign w:val="bottom"/>
          </w:tcPr>
          <w:p>
            <w:pPr>
              <w:ind w:left="1280"/>
              <w:spacing w:after="0"/>
              <w:rPr>
                <w:sz w:val="20"/>
                <w:szCs w:val="20"/>
                <w:color w:val="auto"/>
              </w:rPr>
            </w:pPr>
            <w:r>
              <w:rPr>
                <w:rFonts w:ascii="Arial" w:cs="Arial" w:eastAsia="Arial" w:hAnsi="Arial"/>
                <w:sz w:val="18"/>
                <w:szCs w:val="18"/>
                <w:color w:val="auto"/>
              </w:rPr>
              <w:t>626,600</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19,468,481</w:t>
            </w:r>
          </w:p>
        </w:tc>
      </w:tr>
    </w:tbl>
    <w:p>
      <w:pPr>
        <w:spacing w:after="0" w:line="214"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Comcast-NBCUniversal 2011 Employee Stock Purchase Plan, as amended and restated, was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6"/>
              </w:rPr>
              <w:t>For</w:t>
            </w:r>
          </w:p>
        </w:tc>
        <w:tc>
          <w:tcPr>
            <w:tcW w:w="3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Against</w:t>
            </w:r>
          </w:p>
        </w:tc>
        <w:tc>
          <w:tcPr>
            <w:tcW w:w="266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30"/>
        </w:trPr>
        <w:tc>
          <w:tcPr>
            <w:tcW w:w="3200" w:type="dxa"/>
            <w:vAlign w:val="bottom"/>
          </w:tcPr>
          <w:p>
            <w:pPr>
              <w:jc w:val="right"/>
              <w:ind w:right="1110"/>
              <w:spacing w:after="0"/>
              <w:rPr>
                <w:sz w:val="20"/>
                <w:szCs w:val="20"/>
                <w:color w:val="auto"/>
              </w:rPr>
            </w:pPr>
            <w:r>
              <w:rPr>
                <w:rFonts w:ascii="Arial" w:cs="Arial" w:eastAsia="Arial" w:hAnsi="Arial"/>
                <w:sz w:val="18"/>
                <w:szCs w:val="18"/>
                <w:color w:val="auto"/>
              </w:rPr>
              <w:t>355,345,242</w:t>
            </w:r>
          </w:p>
        </w:tc>
        <w:tc>
          <w:tcPr>
            <w:tcW w:w="3220" w:type="dxa"/>
            <w:vAlign w:val="bottom"/>
          </w:tcPr>
          <w:p>
            <w:pPr>
              <w:jc w:val="right"/>
              <w:ind w:right="1210"/>
              <w:spacing w:after="0"/>
              <w:rPr>
                <w:sz w:val="20"/>
                <w:szCs w:val="20"/>
                <w:color w:val="auto"/>
              </w:rPr>
            </w:pPr>
            <w:r>
              <w:rPr>
                <w:rFonts w:ascii="Arial" w:cs="Arial" w:eastAsia="Arial" w:hAnsi="Arial"/>
                <w:sz w:val="18"/>
                <w:szCs w:val="18"/>
                <w:color w:val="auto"/>
              </w:rPr>
              <w:t>2,669,521</w:t>
            </w:r>
          </w:p>
        </w:tc>
        <w:tc>
          <w:tcPr>
            <w:tcW w:w="2660" w:type="dxa"/>
            <w:vAlign w:val="bottom"/>
          </w:tcPr>
          <w:p>
            <w:pPr>
              <w:ind w:left="1280"/>
              <w:spacing w:after="0"/>
              <w:rPr>
                <w:sz w:val="20"/>
                <w:szCs w:val="20"/>
                <w:color w:val="auto"/>
              </w:rPr>
            </w:pPr>
            <w:r>
              <w:rPr>
                <w:rFonts w:ascii="Arial" w:cs="Arial" w:eastAsia="Arial" w:hAnsi="Arial"/>
                <w:sz w:val="18"/>
                <w:szCs w:val="18"/>
                <w:color w:val="auto"/>
              </w:rPr>
              <w:t>636,899</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19,468,481</w:t>
            </w:r>
          </w:p>
        </w:tc>
      </w:tr>
    </w:tbl>
    <w:p>
      <w:pPr>
        <w:spacing w:after="0" w:line="21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shareholder proposal to provide for cumulative voting in the election of directors was not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For</w:t>
            </w:r>
          </w:p>
        </w:tc>
        <w:tc>
          <w:tcPr>
            <w:tcW w:w="3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Against</w:t>
            </w:r>
          </w:p>
        </w:tc>
        <w:tc>
          <w:tcPr>
            <w:tcW w:w="26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30"/>
        </w:trPr>
        <w:tc>
          <w:tcPr>
            <w:tcW w:w="3160" w:type="dxa"/>
            <w:vAlign w:val="bottom"/>
          </w:tcPr>
          <w:p>
            <w:pPr>
              <w:jc w:val="right"/>
              <w:ind w:right="1070"/>
              <w:spacing w:after="0"/>
              <w:rPr>
                <w:sz w:val="20"/>
                <w:szCs w:val="20"/>
                <w:color w:val="auto"/>
              </w:rPr>
            </w:pPr>
            <w:r>
              <w:rPr>
                <w:rFonts w:ascii="Arial" w:cs="Arial" w:eastAsia="Arial" w:hAnsi="Arial"/>
                <w:sz w:val="18"/>
                <w:szCs w:val="18"/>
                <w:color w:val="auto"/>
              </w:rPr>
              <w:t>100,484,995</w:t>
            </w:r>
          </w:p>
        </w:tc>
        <w:tc>
          <w:tcPr>
            <w:tcW w:w="3300" w:type="dxa"/>
            <w:vAlign w:val="bottom"/>
          </w:tcPr>
          <w:p>
            <w:pPr>
              <w:jc w:val="right"/>
              <w:ind w:right="1150"/>
              <w:spacing w:after="0"/>
              <w:rPr>
                <w:sz w:val="20"/>
                <w:szCs w:val="20"/>
                <w:color w:val="auto"/>
              </w:rPr>
            </w:pPr>
            <w:r>
              <w:rPr>
                <w:rFonts w:ascii="Arial" w:cs="Arial" w:eastAsia="Arial" w:hAnsi="Arial"/>
                <w:sz w:val="18"/>
                <w:szCs w:val="18"/>
                <w:color w:val="auto"/>
              </w:rPr>
              <w:t>257,276,326</w:t>
            </w:r>
          </w:p>
        </w:tc>
        <w:tc>
          <w:tcPr>
            <w:tcW w:w="2620" w:type="dxa"/>
            <w:vAlign w:val="bottom"/>
          </w:tcPr>
          <w:p>
            <w:pPr>
              <w:ind w:left="1240"/>
              <w:spacing w:after="0"/>
              <w:rPr>
                <w:sz w:val="20"/>
                <w:szCs w:val="20"/>
                <w:color w:val="auto"/>
              </w:rPr>
            </w:pPr>
            <w:r>
              <w:rPr>
                <w:rFonts w:ascii="Arial" w:cs="Arial" w:eastAsia="Arial" w:hAnsi="Arial"/>
                <w:sz w:val="18"/>
                <w:szCs w:val="18"/>
                <w:color w:val="auto"/>
              </w:rPr>
              <w:t>890,341</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19,468,481</w:t>
            </w:r>
          </w:p>
        </w:tc>
      </w:tr>
    </w:tbl>
    <w:p>
      <w:pPr>
        <w:spacing w:after="0" w:line="21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shareholder proposal to require that the Chairman of the Board be an independent director was not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For</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6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30"/>
        </w:trPr>
        <w:tc>
          <w:tcPr>
            <w:tcW w:w="3140" w:type="dxa"/>
            <w:vAlign w:val="bottom"/>
          </w:tcPr>
          <w:p>
            <w:pPr>
              <w:jc w:val="right"/>
              <w:ind w:right="1090"/>
              <w:spacing w:after="0"/>
              <w:rPr>
                <w:sz w:val="20"/>
                <w:szCs w:val="20"/>
                <w:color w:val="auto"/>
              </w:rPr>
            </w:pPr>
            <w:r>
              <w:rPr>
                <w:rFonts w:ascii="Arial" w:cs="Arial" w:eastAsia="Arial" w:hAnsi="Arial"/>
                <w:sz w:val="18"/>
                <w:szCs w:val="18"/>
                <w:color w:val="auto"/>
              </w:rPr>
              <w:t>75,327,817</w:t>
            </w:r>
          </w:p>
        </w:tc>
        <w:tc>
          <w:tcPr>
            <w:tcW w:w="3320" w:type="dxa"/>
            <w:vAlign w:val="bottom"/>
          </w:tcPr>
          <w:p>
            <w:pPr>
              <w:jc w:val="right"/>
              <w:ind w:right="1150"/>
              <w:spacing w:after="0"/>
              <w:rPr>
                <w:sz w:val="20"/>
                <w:szCs w:val="20"/>
                <w:color w:val="auto"/>
              </w:rPr>
            </w:pPr>
            <w:r>
              <w:rPr>
                <w:rFonts w:ascii="Arial" w:cs="Arial" w:eastAsia="Arial" w:hAnsi="Arial"/>
                <w:sz w:val="18"/>
                <w:szCs w:val="18"/>
                <w:color w:val="auto"/>
              </w:rPr>
              <w:t>282,661,349</w:t>
            </w:r>
          </w:p>
        </w:tc>
        <w:tc>
          <w:tcPr>
            <w:tcW w:w="2620" w:type="dxa"/>
            <w:vAlign w:val="bottom"/>
          </w:tcPr>
          <w:p>
            <w:pPr>
              <w:ind w:left="1240"/>
              <w:spacing w:after="0"/>
              <w:rPr>
                <w:sz w:val="20"/>
                <w:szCs w:val="20"/>
                <w:color w:val="auto"/>
              </w:rPr>
            </w:pPr>
            <w:r>
              <w:rPr>
                <w:rFonts w:ascii="Arial" w:cs="Arial" w:eastAsia="Arial" w:hAnsi="Arial"/>
                <w:sz w:val="18"/>
                <w:szCs w:val="18"/>
                <w:color w:val="auto"/>
              </w:rPr>
              <w:t>662,496</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19,468,481</w:t>
            </w:r>
          </w:p>
        </w:tc>
      </w:tr>
    </w:tbl>
    <w:p>
      <w:pPr>
        <w:spacing w:after="0" w:line="214"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shareholder proposal to adopt a share retention policy for senior executives was not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For</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6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30"/>
        </w:trPr>
        <w:tc>
          <w:tcPr>
            <w:tcW w:w="3140" w:type="dxa"/>
            <w:vAlign w:val="bottom"/>
          </w:tcPr>
          <w:p>
            <w:pPr>
              <w:jc w:val="right"/>
              <w:ind w:right="1090"/>
              <w:spacing w:after="0"/>
              <w:rPr>
                <w:sz w:val="20"/>
                <w:szCs w:val="20"/>
                <w:color w:val="auto"/>
              </w:rPr>
            </w:pPr>
            <w:r>
              <w:rPr>
                <w:rFonts w:ascii="Arial" w:cs="Arial" w:eastAsia="Arial" w:hAnsi="Arial"/>
                <w:sz w:val="18"/>
                <w:szCs w:val="18"/>
                <w:color w:val="auto"/>
              </w:rPr>
              <w:t>39,817,492</w:t>
            </w:r>
          </w:p>
        </w:tc>
        <w:tc>
          <w:tcPr>
            <w:tcW w:w="3320" w:type="dxa"/>
            <w:vAlign w:val="bottom"/>
          </w:tcPr>
          <w:p>
            <w:pPr>
              <w:jc w:val="right"/>
              <w:ind w:right="1150"/>
              <w:spacing w:after="0"/>
              <w:rPr>
                <w:sz w:val="20"/>
                <w:szCs w:val="20"/>
                <w:color w:val="auto"/>
              </w:rPr>
            </w:pPr>
            <w:r>
              <w:rPr>
                <w:rFonts w:ascii="Arial" w:cs="Arial" w:eastAsia="Arial" w:hAnsi="Arial"/>
                <w:sz w:val="18"/>
                <w:szCs w:val="18"/>
                <w:color w:val="auto"/>
              </w:rPr>
              <w:t>317,902,164</w:t>
            </w:r>
          </w:p>
        </w:tc>
        <w:tc>
          <w:tcPr>
            <w:tcW w:w="2620" w:type="dxa"/>
            <w:vAlign w:val="bottom"/>
          </w:tcPr>
          <w:p>
            <w:pPr>
              <w:ind w:left="1240"/>
              <w:spacing w:after="0"/>
              <w:rPr>
                <w:sz w:val="20"/>
                <w:szCs w:val="20"/>
                <w:color w:val="auto"/>
              </w:rPr>
            </w:pPr>
            <w:r>
              <w:rPr>
                <w:rFonts w:ascii="Arial" w:cs="Arial" w:eastAsia="Arial" w:hAnsi="Arial"/>
                <w:sz w:val="18"/>
                <w:szCs w:val="18"/>
                <w:color w:val="auto"/>
              </w:rPr>
              <w:t>932,006</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19,468,481</w:t>
            </w:r>
          </w:p>
        </w:tc>
      </w:tr>
    </w:tbl>
    <w:p>
      <w:pPr>
        <w:spacing w:after="0" w:line="214"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shareholder proposal to make poison pills subject to a shareholder vote was approved.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For</w:t>
            </w:r>
          </w:p>
        </w:tc>
        <w:tc>
          <w:tcPr>
            <w:tcW w:w="33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3"/>
              </w:rPr>
              <w:t>Against</w:t>
            </w:r>
          </w:p>
        </w:tc>
        <w:tc>
          <w:tcPr>
            <w:tcW w:w="26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Abstain</w:t>
            </w:r>
          </w:p>
        </w:tc>
        <w:tc>
          <w:tcPr>
            <w:tcW w:w="23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color w:val="auto"/>
                <w:w w:val="92"/>
              </w:rPr>
              <w:t>Broker Non-Votes</w:t>
            </w:r>
          </w:p>
        </w:tc>
      </w:tr>
      <w:tr>
        <w:trPr>
          <w:trHeight w:val="230"/>
        </w:trPr>
        <w:tc>
          <w:tcPr>
            <w:tcW w:w="3160" w:type="dxa"/>
            <w:vAlign w:val="bottom"/>
          </w:tcPr>
          <w:p>
            <w:pPr>
              <w:jc w:val="right"/>
              <w:ind w:right="1070"/>
              <w:spacing w:after="0"/>
              <w:rPr>
                <w:sz w:val="20"/>
                <w:szCs w:val="20"/>
                <w:color w:val="auto"/>
              </w:rPr>
            </w:pPr>
            <w:r>
              <w:rPr>
                <w:rFonts w:ascii="Arial" w:cs="Arial" w:eastAsia="Arial" w:hAnsi="Arial"/>
                <w:sz w:val="18"/>
                <w:szCs w:val="18"/>
                <w:color w:val="auto"/>
              </w:rPr>
              <w:t>186,504,511</w:t>
            </w:r>
          </w:p>
        </w:tc>
        <w:tc>
          <w:tcPr>
            <w:tcW w:w="3300" w:type="dxa"/>
            <w:vAlign w:val="bottom"/>
          </w:tcPr>
          <w:p>
            <w:pPr>
              <w:jc w:val="right"/>
              <w:ind w:right="1150"/>
              <w:spacing w:after="0"/>
              <w:rPr>
                <w:sz w:val="20"/>
                <w:szCs w:val="20"/>
                <w:color w:val="auto"/>
              </w:rPr>
            </w:pPr>
            <w:r>
              <w:rPr>
                <w:rFonts w:ascii="Arial" w:cs="Arial" w:eastAsia="Arial" w:hAnsi="Arial"/>
                <w:sz w:val="18"/>
                <w:szCs w:val="18"/>
                <w:color w:val="auto"/>
              </w:rPr>
              <w:t>171,414,885</w:t>
            </w:r>
          </w:p>
        </w:tc>
        <w:tc>
          <w:tcPr>
            <w:tcW w:w="2620" w:type="dxa"/>
            <w:vAlign w:val="bottom"/>
          </w:tcPr>
          <w:p>
            <w:pPr>
              <w:ind w:left="1240"/>
              <w:spacing w:after="0"/>
              <w:rPr>
                <w:sz w:val="20"/>
                <w:szCs w:val="20"/>
                <w:color w:val="auto"/>
              </w:rPr>
            </w:pPr>
            <w:r>
              <w:rPr>
                <w:rFonts w:ascii="Arial" w:cs="Arial" w:eastAsia="Arial" w:hAnsi="Arial"/>
                <w:sz w:val="18"/>
                <w:szCs w:val="18"/>
                <w:color w:val="auto"/>
              </w:rPr>
              <w:t>732,266</w:t>
            </w:r>
          </w:p>
        </w:tc>
        <w:tc>
          <w:tcPr>
            <w:tcW w:w="2340" w:type="dxa"/>
            <w:vAlign w:val="bottom"/>
          </w:tcPr>
          <w:p>
            <w:pPr>
              <w:jc w:val="right"/>
              <w:ind w:right="390"/>
              <w:spacing w:after="0"/>
              <w:rPr>
                <w:sz w:val="20"/>
                <w:szCs w:val="20"/>
                <w:color w:val="auto"/>
              </w:rPr>
            </w:pPr>
            <w:r>
              <w:rPr>
                <w:rFonts w:ascii="Arial" w:cs="Arial" w:eastAsia="Arial" w:hAnsi="Arial"/>
                <w:sz w:val="18"/>
                <w:szCs w:val="18"/>
                <w:color w:val="auto"/>
              </w:rPr>
              <w:t>19,468,481</w:t>
            </w:r>
          </w:p>
        </w:tc>
      </w:tr>
    </w:tbl>
    <w:p>
      <w:pPr>
        <w:sectPr>
          <w:pgSz w:w="11900" w:h="16838" w:orient="portrait"/>
          <w:cols w:equalWidth="0" w:num="1">
            <w:col w:w="11420"/>
          </w:cols>
          <w:pgMar w:left="240" w:top="513" w:right="239" w:bottom="1440" w:gutter="0" w:footer="0" w:header="0"/>
        </w:sectPr>
      </w:pPr>
    </w:p>
    <w:bookmarkStart w:id="2" w:name="page3"/>
    <w:bookmarkEnd w:id="2"/>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COMCAST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680" w:val="left"/>
          <w:tab w:leader="none" w:pos="5400" w:val="left"/>
          <w:tab w:leader="none" w:pos="59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June 1,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Arthur R. Block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Senior Vice President, General Counsel and Secretary</w:t>
      </w:r>
    </w:p>
    <w:sectPr>
      <w:pgSz w:w="11900" w:h="16838" w:orient="portrait"/>
      <w:cols w:equalWidth="0" w:num="1">
        <w:col w:w="10600"/>
      </w:cols>
      <w:pgMar w:left="240" w:top="513"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4"/>
    </w:lvl>
  </w:abstractNum>
  <w:abstractNum w:abstractNumId="6">
    <w:nsid w:val="515F007C"/>
    <w:multiLevelType w:val="hybridMultilevel"/>
    <w:lvl w:ilvl="0">
      <w:lvlJc w:val="left"/>
      <w:lvlText w:val="(%1)"/>
      <w:numFmt w:val="decimal"/>
      <w:start w:val="5"/>
    </w:lvl>
  </w:abstractNum>
  <w:abstractNum w:abstractNumId="7">
    <w:nsid w:val="5BD062C2"/>
    <w:multiLevelType w:val="hybridMultilevel"/>
    <w:lvl w:ilvl="0">
      <w:lvlJc w:val="left"/>
      <w:lvlText w:val="(%1)"/>
      <w:numFmt w:val="decimal"/>
      <w:start w:val="6"/>
    </w:lvl>
  </w:abstractNum>
  <w:abstractNum w:abstractNumId="8">
    <w:nsid w:val="12200854"/>
    <w:multiLevelType w:val="hybridMultilevel"/>
    <w:lvl w:ilvl="0">
      <w:lvlJc w:val="left"/>
      <w:lvlText w:val="(%1)"/>
      <w:numFmt w:val="decimal"/>
      <w:start w:val="7"/>
    </w:lvl>
  </w:abstractNum>
  <w:abstractNum w:abstractNumId="9">
    <w:nsid w:val="4DB127F8"/>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2019-12-09T15:23:08Z</dcterms:created>
  <dcterms:modified xsi:type="dcterms:W3CDTF">2019-12-09T15:23:08Z</dcterms:modified>
</cp:coreProperties>
</file>