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28" w:lineRule="exact"/>
        <w:rPr>
          <w:sz w:val="20"/>
          <w:szCs w:val="20"/>
          <w:color w:val="auto"/>
        </w:rPr>
      </w:pPr>
    </w:p>
    <w:p>
      <w:pPr>
        <w:jc w:val="center"/>
        <w:ind w:left="280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OMCAST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ABLE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OMMUNICATIONS</w:t>
      </w:r>
      <w:r>
        <w:rPr>
          <w:rFonts w:ascii="Times New Roman" w:cs="Times New Roman" w:eastAsia="Times New Roman" w:hAnsi="Times New Roman"/>
          <w:sz w:val="18"/>
          <w:szCs w:val="18"/>
          <w:color w:val="auto"/>
        </w:rPr>
        <w:t>, LLC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OMCAST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ABLE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OMMUNICATIONS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OMCAST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ABLE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OLDINGS</w:t>
      </w:r>
      <w:r>
        <w:rPr>
          <w:rFonts w:ascii="Times New Roman" w:cs="Times New Roman" w:eastAsia="Times New Roman" w:hAnsi="Times New Roman"/>
          <w:sz w:val="18"/>
          <w:szCs w:val="18"/>
          <w:color w:val="auto"/>
        </w:rPr>
        <w:t>,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OMCAST</w:t>
      </w:r>
      <w:r>
        <w:rPr>
          <w:rFonts w:ascii="Times New Roman" w:cs="Times New Roman" w:eastAsia="Times New Roman" w:hAnsi="Times New Roman"/>
          <w:sz w:val="18"/>
          <w:szCs w:val="18"/>
          <w:color w:val="auto"/>
        </w:rPr>
        <w:t xml:space="preserve"> MO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OMCAST</w:t>
      </w:r>
      <w:r>
        <w:rPr>
          <w:rFonts w:ascii="Times New Roman" w:cs="Times New Roman" w:eastAsia="Times New Roman" w:hAnsi="Times New Roman"/>
          <w:sz w:val="18"/>
          <w:szCs w:val="18"/>
          <w:color w:val="auto"/>
        </w:rPr>
        <w:t xml:space="preserve"> MO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ELAWARE</w:t>
      </w:r>
      <w:r>
        <w:rPr>
          <w:rFonts w:ascii="Times New Roman" w:cs="Times New Roman" w:eastAsia="Times New Roman" w:hAnsi="Times New Roman"/>
          <w:sz w:val="18"/>
          <w:szCs w:val="18"/>
          <w:color w:val="auto"/>
        </w:rPr>
        <w:t>,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(State of Incorporation or Organization)</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1500 Market Street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Philadelphia, PA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7" w:lineRule="exact"/>
        <w:rPr>
          <w:sz w:val="20"/>
          <w:szCs w:val="20"/>
          <w:color w:val="auto"/>
        </w:rPr>
      </w:pPr>
    </w:p>
    <w:p>
      <w:pPr>
        <w:jc w:val="both"/>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file number to which this form relates: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23-2175755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04-3592397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84-1260157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91-2047743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84-1372033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00" w:lineRule="exact"/>
        <w:rPr>
          <w:sz w:val="20"/>
          <w:szCs w:val="20"/>
          <w:color w:val="auto"/>
        </w:rPr>
      </w:pPr>
    </w:p>
    <w:p>
      <w:pPr>
        <w:spacing w:after="0" w:line="21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19102-2148</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i w:val="1"/>
          <w:iCs w:val="1"/>
          <w:color w:val="auto"/>
        </w:rPr>
        <w:t>(Zip Code)</w:t>
      </w:r>
    </w:p>
    <w:p>
      <w:pPr>
        <w:spacing w:after="0" w:line="207" w:lineRule="exact"/>
        <w:rPr>
          <w:sz w:val="20"/>
          <w:szCs w:val="20"/>
          <w:color w:val="auto"/>
        </w:rPr>
      </w:pPr>
    </w:p>
    <w:p>
      <w:pPr>
        <w:jc w:val="both"/>
        <w:ind w:right="340"/>
        <w:spacing w:after="0" w:line="22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333-132750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17145</wp:posOffset>
            </wp:positionV>
            <wp:extent cx="1080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(If applicable)</w:t>
      </w:r>
    </w:p>
    <w:p>
      <w:pPr>
        <w:spacing w:after="0" w:line="524" w:lineRule="exact"/>
        <w:rPr>
          <w:sz w:val="20"/>
          <w:szCs w:val="20"/>
          <w:color w:val="auto"/>
        </w:rPr>
      </w:pPr>
    </w:p>
    <w:p>
      <w:pPr>
        <w:sectPr>
          <w:pgSz w:w="11900" w:h="16838" w:orient="portrait"/>
          <w:cols w:equalWidth="0" w:num="2">
            <w:col w:w="5440" w:space="520"/>
            <w:col w:w="5460"/>
          </w:cols>
          <w:pgMar w:left="240" w:top="118" w:right="23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486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6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426"/>
        </w:trPr>
        <w:tc>
          <w:tcPr>
            <w:tcW w:w="4860" w:type="dxa"/>
            <w:vAlign w:val="bottom"/>
          </w:tcPr>
          <w:p>
            <w:pPr>
              <w:jc w:val="center"/>
              <w:ind w:left="559"/>
              <w:spacing w:after="0"/>
              <w:rPr>
                <w:sz w:val="20"/>
                <w:szCs w:val="20"/>
                <w:color w:val="auto"/>
              </w:rPr>
            </w:pPr>
            <w:r>
              <w:rPr>
                <w:rFonts w:ascii="Times New Roman" w:cs="Times New Roman" w:eastAsia="Times New Roman" w:hAnsi="Times New Roman"/>
                <w:sz w:val="18"/>
                <w:szCs w:val="18"/>
                <w:color w:val="auto"/>
              </w:rPr>
              <w:t>6.625% Notes Due 2056</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540"/>
        </w:trPr>
        <w:tc>
          <w:tcPr>
            <w:tcW w:w="4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20" w:type="dxa"/>
            <w:vAlign w:val="bottom"/>
            <w:gridSpan w:val="2"/>
          </w:tcPr>
          <w:p>
            <w:pPr>
              <w:jc w:val="center"/>
              <w:ind w:right="5422"/>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7"/>
        </w:trPr>
        <w:tc>
          <w:tcPr>
            <w:tcW w:w="486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gridSpan w:val="3"/>
          </w:tcPr>
          <w:p>
            <w:pPr>
              <w:spacing w:after="0"/>
              <w:rPr>
                <w:sz w:val="2"/>
                <w:szCs w:val="2"/>
                <w:color w:val="auto"/>
              </w:rPr>
            </w:pPr>
          </w:p>
        </w:tc>
      </w:tr>
      <w:tr>
        <w:trPr>
          <w:trHeight w:val="277"/>
        </w:trPr>
        <w:tc>
          <w:tcPr>
            <w:tcW w:w="4860" w:type="dxa"/>
            <w:vAlign w:val="bottom"/>
          </w:tcPr>
          <w:p>
            <w:pPr>
              <w:spacing w:after="0"/>
              <w:rPr>
                <w:sz w:val="24"/>
                <w:szCs w:val="24"/>
                <w:color w:val="auto"/>
              </w:rPr>
            </w:pPr>
          </w:p>
        </w:tc>
        <w:tc>
          <w:tcPr>
            <w:tcW w:w="6560" w:type="dxa"/>
            <w:vAlign w:val="bottom"/>
            <w:gridSpan w:val="3"/>
          </w:tcPr>
          <w:p>
            <w:pPr>
              <w:jc w:val="center"/>
              <w:ind w:right="4762"/>
              <w:spacing w:after="0"/>
              <w:rPr>
                <w:sz w:val="20"/>
                <w:szCs w:val="20"/>
                <w:color w:val="auto"/>
              </w:rPr>
            </w:pPr>
            <w:r>
              <w:rPr>
                <w:rFonts w:ascii="Times New Roman" w:cs="Times New Roman" w:eastAsia="Times New Roman" w:hAnsi="Times New Roman"/>
                <w:sz w:val="18"/>
                <w:szCs w:val="18"/>
                <w:color w:val="auto"/>
                <w:w w:val="99"/>
              </w:rPr>
              <w:t>(Title of Class)</w:t>
            </w:r>
          </w:p>
        </w:tc>
      </w:tr>
      <w:tr>
        <w:trPr>
          <w:trHeight w:val="189"/>
        </w:trPr>
        <w:tc>
          <w:tcPr>
            <w:tcW w:w="48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spacing w:after="0"/>
              <w:rPr>
                <w:sz w:val="16"/>
                <w:szCs w:val="16"/>
                <w:color w:val="auto"/>
              </w:rPr>
            </w:pPr>
          </w:p>
        </w:tc>
      </w:tr>
      <w:tr>
        <w:trPr>
          <w:trHeight w:val="28"/>
        </w:trPr>
        <w:tc>
          <w:tcPr>
            <w:tcW w:w="4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618"/>
        </w:trPr>
        <w:tc>
          <w:tcPr>
            <w:tcW w:w="48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p>
      <w:pPr>
        <w:ind w:left="398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pacing w:after="0" w:line="222" w:lineRule="exact"/>
        <w:rPr>
          <w:sz w:val="20"/>
          <w:szCs w:val="20"/>
          <w:color w:val="auto"/>
        </w:rPr>
      </w:pPr>
    </w:p>
    <w:p>
      <w:pPr>
        <w:ind w:left="320" w:right="3959"/>
        <w:spacing w:after="0" w:line="242" w:lineRule="auto"/>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 Description of Registrant’s Securities to be Registered</w:t>
        </w:r>
      </w:hyperlink>
      <w:r>
        <w:rPr>
          <w:rFonts w:ascii="Times New Roman" w:cs="Times New Roman" w:eastAsia="Times New Roman" w:hAnsi="Times New Roman"/>
          <w:sz w:val="22"/>
          <w:szCs w:val="22"/>
          <w:u w:val="single" w:color="auto"/>
          <w:color w:val="0000EE"/>
        </w:rPr>
        <w:t xml:space="preserve"> </w:t>
      </w:r>
      <w:hyperlink w:anchor="page4">
        <w:r>
          <w:rPr>
            <w:rFonts w:ascii="Times New Roman" w:cs="Times New Roman" w:eastAsia="Times New Roman" w:hAnsi="Times New Roman"/>
            <w:sz w:val="22"/>
            <w:szCs w:val="22"/>
            <w:u w:val="single" w:color="auto"/>
            <w:color w:val="0000EE"/>
          </w:rPr>
          <w:t>Item 2. Exhibits</w:t>
        </w:r>
      </w:hyperlink>
    </w:p>
    <w:p>
      <w:pPr>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Form of Officers'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i w:val="1"/>
          <w:iCs w:val="1"/>
          <w:color w:val="auto"/>
        </w:rPr>
        <w:t>Description of Registrant’s Securities to be Registered</w:t>
      </w:r>
    </w:p>
    <w:p>
      <w:pPr>
        <w:spacing w:after="0" w:line="119" w:lineRule="exact"/>
        <w:rPr>
          <w:sz w:val="20"/>
          <w:szCs w:val="20"/>
          <w:color w:val="auto"/>
        </w:rPr>
      </w:pPr>
    </w:p>
    <w:p>
      <w:pPr>
        <w:ind w:right="20" w:firstLine="222"/>
        <w:spacing w:after="0" w:line="261" w:lineRule="auto"/>
        <w:rPr>
          <w:sz w:val="20"/>
          <w:szCs w:val="20"/>
          <w:color w:val="auto"/>
        </w:rPr>
      </w:pPr>
      <w:r>
        <w:rPr>
          <w:rFonts w:ascii="Times New Roman" w:cs="Times New Roman" w:eastAsia="Times New Roman" w:hAnsi="Times New Roman"/>
          <w:sz w:val="18"/>
          <w:szCs w:val="18"/>
          <w:color w:val="auto"/>
        </w:rPr>
        <w:t>The description of the 6.625% Notes Due 2056, and the guarantees thereof presented under the caption “Description of the Notes” in the Prospectus Supplement dated May 3, 2007 and filed with the Securities and Exchange Commission on May 4, 2007 and under the caption “Description of Debt Securities and Cable Guarantees” in the Prospectus contained in the Registrants’ effective Registration Statement on Form S-3 (Registration No. 333-132750) as amended, which Registration Statement was filed with the Securities and Exchange Commission on March 27, 2006, is incorporated herein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10260" w:type="dxa"/>
            <w:vAlign w:val="bottom"/>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0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as of January 7, 2003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Comcast Cable Communications, LLC (formerly</w:t>
            </w: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known as Comcast Cable Communications, Inc.), Comcast Cable Communications Holdings, Inc., Comcast Cable Holdings, LLC, Comcast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MO Group, Inc. (collectively with Comcast MO of Delaware, LLC (formerly known as Comcast MO of Delaware, Inc.), the “</w:t>
            </w:r>
            <w:r>
              <w:rPr>
                <w:rFonts w:ascii="Times New Roman" w:cs="Times New Roman" w:eastAsia="Times New Roman" w:hAnsi="Times New Roman"/>
                <w:sz w:val="18"/>
                <w:szCs w:val="18"/>
                <w:b w:val="1"/>
                <w:bCs w:val="1"/>
                <w:color w:val="auto"/>
              </w:rPr>
              <w:t>Cable</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Guarantors</w:t>
            </w:r>
            <w:r>
              <w:rPr>
                <w:rFonts w:ascii="Times New Roman" w:cs="Times New Roman" w:eastAsia="Times New Roman" w:hAnsi="Times New Roman"/>
                <w:sz w:val="18"/>
                <w:szCs w:val="18"/>
                <w:color w:val="auto"/>
                <w:w w:val="99"/>
              </w:rPr>
              <w:t>”) and The Bank of New York, as trustee (the “</w:t>
            </w:r>
            <w:r>
              <w:rPr>
                <w:rFonts w:ascii="Times New Roman" w:cs="Times New Roman" w:eastAsia="Times New Roman" w:hAnsi="Times New Roman"/>
                <w:sz w:val="18"/>
                <w:szCs w:val="18"/>
                <w:b w:val="1"/>
                <w:bCs w:val="1"/>
                <w:color w:val="auto"/>
                <w:w w:val="99"/>
              </w:rPr>
              <w:t>Trustee</w:t>
            </w:r>
            <w:r>
              <w:rPr>
                <w:rFonts w:ascii="Times New Roman" w:cs="Times New Roman" w:eastAsia="Times New Roman" w:hAnsi="Times New Roman"/>
                <w:sz w:val="18"/>
                <w:szCs w:val="18"/>
                <w:color w:val="auto"/>
                <w:w w:val="99"/>
              </w:rPr>
              <w:t>”), relating to the Registrant’s debt securities (Incorporated by reference to</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Registration Statement on Form S-3, File No. 333-101861, filed with the Securities and Exchange Commission on December 16, 2002).</w:t>
            </w:r>
          </w:p>
        </w:tc>
        <w:tc>
          <w:tcPr>
            <w:tcW w:w="0" w:type="dxa"/>
            <w:vAlign w:val="bottom"/>
          </w:tcPr>
          <w:p>
            <w:pPr>
              <w:spacing w:after="0"/>
              <w:rPr>
                <w:sz w:val="1"/>
                <w:szCs w:val="1"/>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Supplemental Indenture dated as of March 25, 2003 by and among the Company, the Cable Guarantors and the Trustee (incorporated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the Registration Statement on Form S-3, File No. 333-104034, filed with the Securities and Exchange Commission on March 26,</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Form of Officers’ Certificate setting forth the terms of the Notes.</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7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6"/>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Registrants have duly caused this registration statement to be signed on its behalf by the undersigned, thereto duly authorized.</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Comcast Cable Communications, LLC</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Comcast Cable Communications Holdings, Inc.</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Comcast Cable Holdings, LLC</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Comcast MO Group, Inc.</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Comcast MO of Delaware, LLC</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 /s/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R. B</w:t>
      </w:r>
      <w:r>
        <w:rPr>
          <w:rFonts w:ascii="Times New Roman" w:cs="Times New Roman" w:eastAsia="Times New Roman" w:hAnsi="Times New Roman"/>
          <w:sz w:val="12"/>
          <w:szCs w:val="12"/>
          <w:color w:val="auto"/>
        </w:rPr>
        <w:t>LOCK</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2007</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15"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4.3</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Officers’ Certificate</w:t>
      </w:r>
    </w:p>
    <w:p>
      <w:pPr>
        <w:spacing w:after="0" w:line="117"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Pursuant to Section 2.03 of the Indenture dated as of January 7, 2003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Cable Guarantors (as defined below) (other than Comcast MO of Delaware, LLC) and The Bank of New York,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March 25, 2003 by and among the Company, the Cable Guarantors and the Trustee, and guaranteed on an unsecured and unsubordinated basis by Comcast Cable Communications, LLC (formerly known as Comcast Cable Communications, Inc.), Comcast Cable Communications Holdings, Inc., Comcast Cable Holdings, LLC, Comcast MO Group, Inc., and Comcast MO of Delaware, LLC (formerly known as Comcast MO of Delaware, Inc.) (the “</w:t>
      </w:r>
      <w:r>
        <w:rPr>
          <w:rFonts w:ascii="Times New Roman" w:cs="Times New Roman" w:eastAsia="Times New Roman" w:hAnsi="Times New Roman"/>
          <w:sz w:val="18"/>
          <w:szCs w:val="18"/>
          <w:b w:val="1"/>
          <w:bCs w:val="1"/>
          <w:color w:val="auto"/>
        </w:rPr>
        <w:t>Cable Guarantors</w:t>
      </w:r>
      <w:r>
        <w:rPr>
          <w:rFonts w:ascii="Times New Roman" w:cs="Times New Roman" w:eastAsia="Times New Roman" w:hAnsi="Times New Roman"/>
          <w:sz w:val="18"/>
          <w:szCs w:val="18"/>
          <w:color w:val="auto"/>
        </w:rPr>
        <w:t>”), the undersigned officers of the Company do hereby certify, in connection with the issuance of the Company’s $550,000,000 aggregate principal amount of 6.625% Notes Due 2056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the terms of the Notes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6.625% Notes Due 2056</w:t>
            </w:r>
          </w:p>
        </w:tc>
      </w:tr>
      <w:tr>
        <w:trPr>
          <w:trHeight w:val="412"/>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w:t>
            </w: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$550,000,000 (or $632,500,000 if the</w:t>
            </w:r>
          </w:p>
        </w:tc>
      </w:tr>
      <w:tr>
        <w:trPr>
          <w:trHeight w:val="218"/>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Maturity:</w:t>
            </w: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underwriters exercise their</w:t>
            </w:r>
          </w:p>
        </w:tc>
      </w:tr>
      <w:tr>
        <w:trPr>
          <w:trHeight w:val="234"/>
        </w:trPr>
        <w:tc>
          <w:tcPr>
            <w:tcW w:w="3540" w:type="dxa"/>
            <w:vAlign w:val="bottom"/>
          </w:tcPr>
          <w:p>
            <w:pPr>
              <w:spacing w:after="0"/>
              <w:rPr>
                <w:sz w:val="20"/>
                <w:szCs w:val="20"/>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over-allotment option in full)</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May 15, 2056</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6.625%</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Company may at its option redeem the Notes in whole or in part, at any time or from</w:t>
            </w:r>
          </w:p>
        </w:tc>
      </w:tr>
      <w:tr>
        <w:trPr>
          <w:trHeight w:val="216"/>
        </w:trPr>
        <w:tc>
          <w:tcPr>
            <w:tcW w:w="3540" w:type="dxa"/>
            <w:vAlign w:val="bottom"/>
          </w:tcPr>
          <w:p>
            <w:pPr>
              <w:spacing w:after="0"/>
              <w:rPr>
                <w:sz w:val="18"/>
                <w:szCs w:val="18"/>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time to time on or after May 15, 2012 and prior to their maturity, on at least 30 days, but</w:t>
            </w:r>
          </w:p>
        </w:tc>
      </w:tr>
      <w:tr>
        <w:trPr>
          <w:trHeight w:val="216"/>
        </w:trPr>
        <w:tc>
          <w:tcPr>
            <w:tcW w:w="3540" w:type="dxa"/>
            <w:vAlign w:val="bottom"/>
          </w:tcPr>
          <w:p>
            <w:pPr>
              <w:spacing w:after="0"/>
              <w:rPr>
                <w:sz w:val="18"/>
                <w:szCs w:val="18"/>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not more than 60 days, prior notice mailed to the registered address of each holder of the</w:t>
            </w:r>
          </w:p>
        </w:tc>
      </w:tr>
      <w:tr>
        <w:trPr>
          <w:trHeight w:val="216"/>
        </w:trPr>
        <w:tc>
          <w:tcPr>
            <w:tcW w:w="3540" w:type="dxa"/>
            <w:vAlign w:val="bottom"/>
          </w:tcPr>
          <w:p>
            <w:pPr>
              <w:spacing w:after="0"/>
              <w:rPr>
                <w:sz w:val="18"/>
                <w:szCs w:val="18"/>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Notes, at a redemption price equal to 100% of the principal amount of the redeemed Notes</w:t>
            </w:r>
          </w:p>
        </w:tc>
      </w:tr>
      <w:tr>
        <w:trPr>
          <w:trHeight w:val="216"/>
        </w:trPr>
        <w:tc>
          <w:tcPr>
            <w:tcW w:w="3540" w:type="dxa"/>
            <w:vAlign w:val="bottom"/>
          </w:tcPr>
          <w:p>
            <w:pPr>
              <w:spacing w:after="0"/>
              <w:rPr>
                <w:sz w:val="18"/>
                <w:szCs w:val="18"/>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plus accrued and unpaid interest thereon to the date of redemption, and as further described</w:t>
            </w:r>
          </w:p>
        </w:tc>
      </w:tr>
      <w:tr>
        <w:trPr>
          <w:trHeight w:val="234"/>
        </w:trPr>
        <w:tc>
          <w:tcPr>
            <w:tcW w:w="3540" w:type="dxa"/>
            <w:vAlign w:val="bottom"/>
          </w:tcPr>
          <w:p>
            <w:pPr>
              <w:spacing w:after="0"/>
              <w:rPr>
                <w:sz w:val="20"/>
                <w:szCs w:val="20"/>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in the Prospectus Supplement dated May 3, 2007.</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Notes need not be issued at the same time and the series may be reopened for issuance</w:t>
            </w:r>
          </w:p>
        </w:tc>
      </w:tr>
      <w:tr>
        <w:trPr>
          <w:trHeight w:val="234"/>
        </w:trPr>
        <w:tc>
          <w:tcPr>
            <w:tcW w:w="3540" w:type="dxa"/>
            <w:vAlign w:val="bottom"/>
          </w:tcPr>
          <w:p>
            <w:pPr>
              <w:spacing w:after="0"/>
              <w:rPr>
                <w:sz w:val="20"/>
                <w:szCs w:val="20"/>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of</w:t>
            </w:r>
          </w:p>
        </w:tc>
      </w:tr>
      <w:tr>
        <w:trPr>
          <w:trHeight w:val="632"/>
        </w:trPr>
        <w:tc>
          <w:tcPr>
            <w:tcW w:w="354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an unlimited principal amount of additional Notes under this series. Additional Notes of</w:t>
            </w:r>
          </w:p>
        </w:tc>
      </w:tr>
      <w:tr>
        <w:trPr>
          <w:trHeight w:val="216"/>
        </w:trPr>
        <w:tc>
          <w:tcPr>
            <w:tcW w:w="2960" w:type="dxa"/>
            <w:vAlign w:val="bottom"/>
          </w:tcPr>
          <w:p>
            <w:pPr>
              <w:spacing w:after="0"/>
              <w:rPr>
                <w:sz w:val="18"/>
                <w:szCs w:val="18"/>
                <w:color w:val="auto"/>
              </w:rPr>
            </w:pP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w w:val="99"/>
              </w:rPr>
              <w:t>this series will be consolidated with, and form a single series with, Notes then outstanding,</w:t>
            </w:r>
          </w:p>
        </w:tc>
      </w:tr>
      <w:tr>
        <w:trPr>
          <w:trHeight w:val="216"/>
        </w:trPr>
        <w:tc>
          <w:tcPr>
            <w:tcW w:w="2960" w:type="dxa"/>
            <w:vAlign w:val="bottom"/>
          </w:tcPr>
          <w:p>
            <w:pPr>
              <w:spacing w:after="0"/>
              <w:rPr>
                <w:sz w:val="18"/>
                <w:szCs w:val="18"/>
                <w:color w:val="auto"/>
              </w:rPr>
            </w:pP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including for purposes of determining whether the required percentage of the holders of</w:t>
            </w:r>
          </w:p>
        </w:tc>
      </w:tr>
      <w:tr>
        <w:trPr>
          <w:trHeight w:val="216"/>
        </w:trPr>
        <w:tc>
          <w:tcPr>
            <w:tcW w:w="2960" w:type="dxa"/>
            <w:vAlign w:val="bottom"/>
          </w:tcPr>
          <w:p>
            <w:pPr>
              <w:spacing w:after="0"/>
              <w:rPr>
                <w:sz w:val="18"/>
                <w:szCs w:val="18"/>
                <w:color w:val="auto"/>
              </w:rPr>
            </w:pP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record has given approval or consent to an amendment or waiver or joined in directing the</w:t>
            </w:r>
          </w:p>
        </w:tc>
      </w:tr>
      <w:tr>
        <w:trPr>
          <w:trHeight w:val="234"/>
        </w:trPr>
        <w:tc>
          <w:tcPr>
            <w:tcW w:w="2960" w:type="dxa"/>
            <w:vAlign w:val="bottom"/>
          </w:tcPr>
          <w:p>
            <w:pPr>
              <w:spacing w:after="0"/>
              <w:rPr>
                <w:sz w:val="20"/>
                <w:szCs w:val="20"/>
                <w:color w:val="auto"/>
              </w:rPr>
            </w:pP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Trustee to take certain actions on behalf of all holders.</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None</w:t>
            </w:r>
          </w:p>
        </w:tc>
      </w:tr>
      <w:tr>
        <w:trPr>
          <w:trHeight w:val="410"/>
        </w:trPr>
        <w:tc>
          <w:tcPr>
            <w:tcW w:w="2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3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The terms of the Notes shall include such other terms as are set forth in the Form of Notes</w:t>
            </w:r>
          </w:p>
        </w:tc>
      </w:tr>
      <w:tr>
        <w:trPr>
          <w:trHeight w:val="198"/>
        </w:trPr>
        <w:tc>
          <w:tcPr>
            <w:tcW w:w="2960" w:type="dxa"/>
            <w:vAlign w:val="bottom"/>
          </w:tcPr>
          <w:p>
            <w:pPr>
              <w:spacing w:after="0"/>
              <w:rPr>
                <w:sz w:val="17"/>
                <w:szCs w:val="17"/>
                <w:color w:val="auto"/>
              </w:rPr>
            </w:pPr>
          </w:p>
        </w:tc>
        <w:tc>
          <w:tcPr>
            <w:tcW w:w="8380" w:type="dxa"/>
            <w:vAlign w:val="bottom"/>
            <w:gridSpan w:val="3"/>
          </w:tcPr>
          <w:p>
            <w:pPr>
              <w:ind w:left="1840"/>
              <w:spacing w:after="0" w:line="198" w:lineRule="exact"/>
              <w:rPr>
                <w:sz w:val="20"/>
                <w:szCs w:val="20"/>
                <w:color w:val="auto"/>
              </w:rPr>
            </w:pPr>
            <w:r>
              <w:rPr>
                <w:rFonts w:ascii="Times New Roman" w:cs="Times New Roman" w:eastAsia="Times New Roman" w:hAnsi="Times New Roman"/>
                <w:sz w:val="18"/>
                <w:szCs w:val="18"/>
                <w:color w:val="auto"/>
              </w:rPr>
              <w:t xml:space="preserve">Due 2056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tc>
      </w:tr>
      <w:tr>
        <w:trPr>
          <w:trHeight w:val="20"/>
        </w:trPr>
        <w:tc>
          <w:tcPr>
            <w:tcW w:w="2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117" w:lineRule="exact"/>
        <w:rPr>
          <w:sz w:val="20"/>
          <w:szCs w:val="20"/>
          <w:color w:val="auto"/>
        </w:rPr>
      </w:pPr>
    </w:p>
    <w:p>
      <w:pPr>
        <w:ind w:right="80" w:firstLine="225"/>
        <w:spacing w:after="0" w:line="258" w:lineRule="auto"/>
        <w:rPr>
          <w:sz w:val="20"/>
          <w:szCs w:val="20"/>
          <w:color w:val="auto"/>
        </w:rPr>
      </w:pPr>
      <w:r>
        <w:rPr>
          <w:rFonts w:ascii="Times New Roman" w:cs="Times New Roman" w:eastAsia="Times New Roman" w:hAnsi="Times New Roman"/>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4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the undersigned officers of the Company have duly executed this certificate as of May ___, 2007.</w:t>
      </w:r>
    </w:p>
    <w:p>
      <w:pPr>
        <w:spacing w:after="0" w:line="2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17145</wp:posOffset>
            </wp:positionV>
            <wp:extent cx="260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Kenneth Mikalauskas</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Vice President — Finance</w:t>
      </w:r>
    </w:p>
    <w:p>
      <w:pPr>
        <w:spacing w:after="0" w:line="20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17145</wp:posOffset>
            </wp:positionV>
            <wp:extent cx="260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Title: Senior Vice President, General Counsel and</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398145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480" w:top="931" w:right="7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6.625% Note Due 2056</w:t>
      </w:r>
    </w:p>
    <w:p>
      <w:pPr>
        <w:sectPr>
          <w:pgSz w:w="11900" w:h="16838" w:orient="portrait"/>
          <w:cols w:equalWidth="0" w:num="1">
            <w:col w:w="11420"/>
          </w:cols>
          <w:pgMar w:left="240" w:top="927" w:right="2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 ]</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CUSIP No.: 20030N 507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ISN No.: US20030N5077</w:t>
      </w:r>
    </w:p>
    <w:p>
      <w:pPr>
        <w:spacing w:after="0" w:line="106" w:lineRule="exact"/>
        <w:rPr>
          <w:sz w:val="20"/>
          <w:szCs w:val="20"/>
          <w:color w:val="auto"/>
        </w:rPr>
      </w:pPr>
    </w:p>
    <w:p>
      <w:pPr>
        <w:sectPr>
          <w:pgSz w:w="11900" w:h="16838" w:orient="portrait"/>
          <w:cols w:equalWidth="0" w:num="2">
            <w:col w:w="8840" w:space="720"/>
            <w:col w:w="1860"/>
          </w:cols>
          <w:pgMar w:left="240" w:top="927" w:right="2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COMCAST CORPORATION, a Pennsylvania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which term includes any successor corporation), for value received promises to</w:t>
      </w:r>
    </w:p>
    <w:p>
      <w:pPr>
        <w:spacing w:after="0" w:line="43" w:lineRule="exact"/>
        <w:rPr>
          <w:sz w:val="20"/>
          <w:szCs w:val="20"/>
          <w:color w:val="auto"/>
        </w:rPr>
      </w:pPr>
    </w:p>
    <w:p>
      <w:pPr>
        <w:spacing w:after="0"/>
        <w:tabs>
          <w:tab w:leader="none" w:pos="4940" w:val="left"/>
          <w:tab w:leader="none" w:pos="5560" w:val="left"/>
        </w:tabs>
        <w:rPr>
          <w:sz w:val="20"/>
          <w:szCs w:val="20"/>
          <w:color w:val="auto"/>
        </w:rPr>
      </w:pPr>
      <w:r>
        <w:rPr>
          <w:rFonts w:ascii="Times New Roman" w:cs="Times New Roman" w:eastAsia="Times New Roman" w:hAnsi="Times New Roman"/>
          <w:sz w:val="18"/>
          <w:szCs w:val="18"/>
          <w:color w:val="auto"/>
        </w:rPr>
        <w:t>pay to CEDE &amp; CO. or registered assigns, the principal sum of $[</w:t>
        <w:tab/>
        <w:t>] (</w:t>
      </w:r>
      <w:r>
        <w:rPr>
          <w:sz w:val="20"/>
          <w:szCs w:val="20"/>
          <w:color w:val="auto"/>
        </w:rPr>
        <w:tab/>
      </w:r>
      <w:r>
        <w:rPr>
          <w:rFonts w:ascii="Times New Roman" w:cs="Times New Roman" w:eastAsia="Times New Roman" w:hAnsi="Times New Roman"/>
          <w:sz w:val="17"/>
          <w:szCs w:val="17"/>
          <w:color w:val="auto"/>
        </w:rPr>
        <w:t>) on May 15, 2056.</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Payment Dates: May 15, August 15, November 15 and February 15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August 15, 2007.</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Record Dates: May 1, August 1, November 1 and February 1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Reference is made to the further provisions of this Security contained herein, which will for all purposes have the same effect as if set forth at this place.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9" w:name="page10"/>
    <w:bookmarkEnd w:id="9"/>
    <w:p>
      <w:pPr>
        <w:ind w:left="240"/>
        <w:spacing w:after="0"/>
        <w:rPr>
          <w:sz w:val="20"/>
          <w:szCs w:val="20"/>
          <w:color w:val="auto"/>
        </w:rPr>
      </w:pPr>
      <w:r>
        <w:rPr>
          <w:rFonts w:ascii="Times New Roman" w:cs="Times New Roman" w:eastAsia="Times New Roman" w:hAnsi="Times New Roman"/>
          <w:sz w:val="17"/>
          <w:szCs w:val="17"/>
          <w:color w:val="auto"/>
        </w:rPr>
        <w:t>IN WITNESS WHEREOF, the Issuer has caused this Security to be signed manually or by facsimile by its duly authorized officer under its corporate seal.</w:t>
      </w:r>
    </w:p>
    <w:p>
      <w:pPr>
        <w:spacing w:after="0" w:line="2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17145</wp:posOffset>
            </wp:positionV>
            <wp:extent cx="2160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Kenneth Mikalauskas</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Vice President — Finance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205"/>
        </w:trPr>
        <w:tc>
          <w:tcPr>
            <w:tcW w:w="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Arthur R. Block</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600" w:type="dxa"/>
            <w:vAlign w:val="bottom"/>
          </w:tcPr>
          <w:p>
            <w:pPr>
              <w:spacing w:after="0"/>
              <w:rPr>
                <w:sz w:val="20"/>
                <w:szCs w:val="20"/>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0" w:name="page11"/>
    <w:bookmarkEnd w:id="10"/>
    <w:p>
      <w:pPr>
        <w:ind w:left="220"/>
        <w:spacing w:after="0"/>
        <w:rPr>
          <w:sz w:val="20"/>
          <w:szCs w:val="20"/>
          <w:color w:val="auto"/>
        </w:rPr>
      </w:pPr>
      <w:r>
        <w:rPr>
          <w:rFonts w:ascii="Times New Roman" w:cs="Times New Roman" w:eastAsia="Times New Roman" w:hAnsi="Times New Roman"/>
          <w:sz w:val="18"/>
          <w:szCs w:val="18"/>
          <w:color w:val="auto"/>
        </w:rPr>
        <w:t>This is one of the series designated herein and referred to in the within-mentioned Indenture.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May___, 2007</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THE BANK OF NEW YORK,</w:t>
      </w:r>
    </w:p>
    <w:p>
      <w:pPr>
        <w:spacing w:after="0" w:line="3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17145</wp:posOffset>
            </wp:positionV>
            <wp:extent cx="2590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6.625% Note Due 2056</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 Interest.</w:t>
      </w:r>
    </w:p>
    <w:p>
      <w:pPr>
        <w:spacing w:after="0" w:line="113" w:lineRule="exact"/>
        <w:rPr>
          <w:sz w:val="20"/>
          <w:szCs w:val="20"/>
          <w:color w:val="auto"/>
        </w:rPr>
      </w:pPr>
    </w:p>
    <w:p>
      <w:pPr>
        <w:ind w:firstLine="225"/>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10, 2007. The Issuer will pay interest quarterly in arrears on each Interest Payment Date, commencing August 15, 2007. Interest will be computed on the basis of a 360-day year of twelve 30-day months.</w:t>
      </w:r>
    </w:p>
    <w:p>
      <w:pPr>
        <w:spacing w:after="0" w:line="73"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 Method of Payment.</w:t>
      </w:r>
    </w:p>
    <w:p>
      <w:pPr>
        <w:spacing w:after="0" w:line="117"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 Paying Agent.</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Initially, The Bank of New York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8"/>
          <w:szCs w:val="18"/>
          <w:color w:val="auto"/>
        </w:rPr>
        <w:t>4. Indenture.</w:t>
      </w:r>
    </w:p>
    <w:p>
      <w:pPr>
        <w:spacing w:after="0" w:line="113"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January 7, 2003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Issuer, the Cable Guarantors (other than Comcast MO of Delaware, LLC) and The Bank of New York,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March 25, 2003 by and among the Issuer, the Cable Guarantors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5. Cable Guarantees.</w:t>
      </w:r>
    </w:p>
    <w:p>
      <w:pPr>
        <w:spacing w:after="0" w:line="117" w:lineRule="exact"/>
        <w:rPr>
          <w:sz w:val="20"/>
          <w:szCs w:val="20"/>
          <w:color w:val="auto"/>
        </w:rPr>
      </w:pPr>
    </w:p>
    <w:p>
      <w:pPr>
        <w:jc w:val="both"/>
        <w:ind w:right="220" w:firstLine="225"/>
        <w:spacing w:after="0" w:line="266" w:lineRule="auto"/>
        <w:rPr>
          <w:sz w:val="20"/>
          <w:szCs w:val="20"/>
          <w:color w:val="auto"/>
        </w:rPr>
      </w:pPr>
      <w:r>
        <w:rPr>
          <w:rFonts w:ascii="Times New Roman" w:cs="Times New Roman" w:eastAsia="Times New Roman" w:hAnsi="Times New Roman"/>
          <w:sz w:val="18"/>
          <w:szCs w:val="18"/>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 Denominations; Transfer; Exchange.</w:t>
      </w:r>
    </w:p>
    <w:p>
      <w:pPr>
        <w:spacing w:after="0" w:line="117" w:lineRule="exact"/>
        <w:rPr>
          <w:sz w:val="20"/>
          <w:szCs w:val="20"/>
          <w:color w:val="auto"/>
        </w:rPr>
      </w:pPr>
    </w:p>
    <w:p>
      <w:pPr>
        <w:ind w:right="100" w:firstLine="222"/>
        <w:spacing w:after="0" w:line="258"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$25.00 and multiples of $25.00.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7. Persons Deemed Owners.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8. Unclaimed Funds.</w:t>
      </w:r>
    </w:p>
    <w:p>
      <w:pPr>
        <w:spacing w:after="0" w:line="117"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color w:val="auto"/>
        </w:rPr>
        <w:t>9. Legal Defeasance and Covenant Defeasance.</w:t>
      </w:r>
    </w:p>
    <w:p>
      <w:pPr>
        <w:spacing w:after="0" w:line="117" w:lineRule="exact"/>
        <w:rPr>
          <w:sz w:val="20"/>
          <w:szCs w:val="20"/>
          <w:color w:val="auto"/>
        </w:rPr>
      </w:pPr>
    </w:p>
    <w:p>
      <w:pPr>
        <w:jc w:val="both"/>
        <w:ind w:right="180" w:firstLine="222"/>
        <w:spacing w:after="0" w:line="266" w:lineRule="auto"/>
        <w:rPr>
          <w:sz w:val="20"/>
          <w:szCs w:val="20"/>
          <w:color w:val="auto"/>
        </w:rPr>
      </w:pPr>
      <w:r>
        <w:rPr>
          <w:rFonts w:ascii="Times New Roman" w:cs="Times New Roman" w:eastAsia="Times New Roman" w:hAnsi="Times New Roman"/>
          <w:sz w:val="18"/>
          <w:szCs w:val="18"/>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 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11. Restrictive Covenants.</w:t>
      </w:r>
    </w:p>
    <w:p>
      <w:pPr>
        <w:spacing w:after="0" w:line="117" w:lineRule="exact"/>
        <w:rPr>
          <w:sz w:val="20"/>
          <w:szCs w:val="20"/>
          <w:color w:val="auto"/>
        </w:rPr>
      </w:pPr>
    </w:p>
    <w:p>
      <w:pPr>
        <w:ind w:right="120" w:firstLine="222"/>
        <w:spacing w:after="0" w:line="266" w:lineRule="auto"/>
        <w:rPr>
          <w:sz w:val="20"/>
          <w:szCs w:val="20"/>
          <w:color w:val="auto"/>
        </w:rPr>
      </w:pPr>
      <w:r>
        <w:rPr>
          <w:rFonts w:ascii="Times New Roman" w:cs="Times New Roman" w:eastAsia="Times New Roman" w:hAnsi="Times New Roman"/>
          <w:sz w:val="18"/>
          <w:szCs w:val="18"/>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12. Redemption.</w:t>
      </w:r>
    </w:p>
    <w:p>
      <w:pPr>
        <w:spacing w:after="0" w:line="117" w:lineRule="exact"/>
        <w:rPr>
          <w:sz w:val="20"/>
          <w:szCs w:val="20"/>
          <w:color w:val="auto"/>
        </w:rPr>
      </w:pPr>
    </w:p>
    <w:p>
      <w:pPr>
        <w:jc w:val="both"/>
        <w:ind w:right="240" w:firstLine="222"/>
        <w:spacing w:after="0" w:line="266" w:lineRule="auto"/>
        <w:rPr>
          <w:sz w:val="20"/>
          <w:szCs w:val="20"/>
          <w:color w:val="auto"/>
        </w:rPr>
      </w:pPr>
      <w:r>
        <w:rPr>
          <w:rFonts w:ascii="Times New Roman" w:cs="Times New Roman" w:eastAsia="Times New Roman" w:hAnsi="Times New Roman"/>
          <w:sz w:val="18"/>
          <w:szCs w:val="18"/>
          <w:color w:val="auto"/>
        </w:rPr>
        <w:t>The Issuer will have the right at its option to redeem any of the Securities in whole or in part, at any time or from time to time on or after May 15, 2012 and prior to their maturity, on at least 30 days, but not more than 60 days, prior notice mailed to the registered address of each Holder of the Securities, at a redemption price equal to 100% of the principal amount of such Securities plus accrued and unpaid interest thereon to the date of redemption.</w:t>
      </w:r>
    </w:p>
    <w:p>
      <w:pPr>
        <w:spacing w:after="0" w:line="68"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ind w:left="240"/>
        <w:spacing w:after="0"/>
        <w:rPr>
          <w:sz w:val="20"/>
          <w:szCs w:val="20"/>
          <w:color w:val="auto"/>
        </w:rPr>
      </w:pPr>
      <w:r>
        <w:rPr>
          <w:rFonts w:ascii="Times New Roman" w:cs="Times New Roman" w:eastAsia="Times New Roman" w:hAnsi="Times New Roman"/>
          <w:sz w:val="18"/>
          <w:szCs w:val="18"/>
          <w:color w:val="auto"/>
        </w:rPr>
        <w:t>13. Defaults and Remedies.</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14. Trustee Dealings with Issuer.</w:t>
      </w:r>
    </w:p>
    <w:p>
      <w:pPr>
        <w:spacing w:after="0" w:line="117" w:lineRule="exact"/>
        <w:rPr>
          <w:sz w:val="20"/>
          <w:szCs w:val="20"/>
          <w:color w:val="auto"/>
        </w:rPr>
      </w:pPr>
    </w:p>
    <w:p>
      <w:pPr>
        <w:ind w:right="220" w:firstLine="222"/>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15. No Recourse Against Others.</w:t>
      </w:r>
    </w:p>
    <w:p>
      <w:pPr>
        <w:spacing w:after="0" w:line="117" w:lineRule="exact"/>
        <w:rPr>
          <w:sz w:val="20"/>
          <w:szCs w:val="20"/>
          <w:color w:val="auto"/>
        </w:rPr>
      </w:pPr>
    </w:p>
    <w:p>
      <w:pPr>
        <w:ind w:right="260" w:firstLine="225"/>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16. Authentication.</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17. Abbreviations and Defined Terms.</w:t>
      </w:r>
    </w:p>
    <w:p>
      <w:pPr>
        <w:spacing w:after="0" w:line="117" w:lineRule="exact"/>
        <w:rPr>
          <w:sz w:val="20"/>
          <w:szCs w:val="20"/>
          <w:color w:val="auto"/>
        </w:rPr>
      </w:pPr>
    </w:p>
    <w:p>
      <w:pPr>
        <w:ind w:right="140" w:firstLine="225"/>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left="240"/>
        <w:spacing w:after="0"/>
        <w:rPr>
          <w:sz w:val="20"/>
          <w:szCs w:val="20"/>
          <w:color w:val="auto"/>
        </w:rPr>
      </w:pPr>
      <w:r>
        <w:rPr>
          <w:rFonts w:ascii="Times New Roman" w:cs="Times New Roman" w:eastAsia="Times New Roman" w:hAnsi="Times New Roman"/>
          <w:sz w:val="18"/>
          <w:szCs w:val="18"/>
          <w:color w:val="auto"/>
        </w:rPr>
        <w:t>18. CUSIP Numbers.</w:t>
      </w:r>
    </w:p>
    <w:p>
      <w:pPr>
        <w:spacing w:after="0" w:line="117"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19. Governing Law.</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580" w:type="dxa"/>
            <w:vAlign w:val="bottom"/>
            <w:gridSpan w:val="5"/>
          </w:tcPr>
          <w:p>
            <w:pPr>
              <w:jc w:val="center"/>
              <w:ind w:right="2730"/>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tc>
      </w:tr>
      <w:tr>
        <w:trPr>
          <w:trHeight w:val="284"/>
        </w:trPr>
        <w:tc>
          <w:tcPr>
            <w:tcW w:w="7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277"/>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80" w:type="dxa"/>
            <w:vAlign w:val="bottom"/>
            <w:gridSpan w:val="5"/>
          </w:tcPr>
          <w:p>
            <w:pPr>
              <w:jc w:val="center"/>
              <w:ind w:right="2750"/>
              <w:spacing w:after="0"/>
              <w:rPr>
                <w:sz w:val="20"/>
                <w:szCs w:val="20"/>
                <w:color w:val="auto"/>
              </w:rPr>
            </w:pPr>
            <w:r>
              <w:rPr>
                <w:rFonts w:ascii="Times New Roman" w:cs="Times New Roman" w:eastAsia="Times New Roman" w:hAnsi="Times New Roman"/>
                <w:sz w:val="18"/>
                <w:szCs w:val="18"/>
                <w:color w:val="auto"/>
                <w:w w:val="99"/>
              </w:rPr>
              <w:t>(Insert Social Security or other identifying number of assignee or transferee)</w:t>
            </w:r>
          </w:p>
        </w:tc>
      </w:tr>
      <w:tr>
        <w:trPr>
          <w:trHeight w:val="28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1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agent to transfer this Security on the books of the Issuer. The agent</w:t>
            </w:r>
          </w:p>
        </w:tc>
      </w:tr>
      <w:tr>
        <w:trPr>
          <w:trHeight w:val="23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substitute another to act for him.</w:t>
            </w: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32"/>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Signed:</w:t>
            </w:r>
          </w:p>
        </w:tc>
      </w:tr>
      <w:tr>
        <w:trPr>
          <w:trHeight w:val="205"/>
        </w:trPr>
        <w:tc>
          <w:tcPr>
            <w:tcW w:w="7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3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(Signed exactly as name appears on the other side of this</w:t>
            </w:r>
          </w:p>
        </w:tc>
      </w:tr>
      <w:tr>
        <w:trPr>
          <w:trHeight w:val="234"/>
        </w:trPr>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Security)</w:t>
            </w:r>
          </w:p>
        </w:tc>
      </w:tr>
      <w:tr>
        <w:trPr>
          <w:trHeight w:val="432"/>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205"/>
        </w:trPr>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Participant in a recognized Signature Guarantee Medallion Program (or other</w:t>
            </w:r>
          </w:p>
        </w:tc>
      </w:tr>
      <w:tr>
        <w:trPr>
          <w:trHeight w:val="234"/>
        </w:trPr>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guarantor program reasonably acceptable to the Trustee)</w:t>
            </w:r>
          </w:p>
        </w:tc>
      </w:tr>
      <w:tr>
        <w:trPr>
          <w:trHeight w:val="392"/>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3"/>
          </w:tcPr>
          <w:p>
            <w:pPr>
              <w:jc w:val="center"/>
              <w:ind w:right="5150"/>
              <w:spacing w:after="0"/>
              <w:rPr>
                <w:sz w:val="20"/>
                <w:szCs w:val="20"/>
                <w:color w:val="auto"/>
              </w:rPr>
            </w:pPr>
            <w:r>
              <w:rPr>
                <w:rFonts w:ascii="Times New Roman" w:cs="Times New Roman" w:eastAsia="Times New Roman" w:hAnsi="Times New Roman"/>
                <w:sz w:val="18"/>
                <w:szCs w:val="18"/>
                <w:color w:val="auto"/>
                <w:w w:val="99"/>
              </w:rPr>
              <w:t>A-9</w:t>
            </w: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2019-12-15T06:53:43Z</dcterms:created>
  <dcterms:modified xsi:type="dcterms:W3CDTF">2019-12-15T06:53:43Z</dcterms:modified>
</cp:coreProperties>
</file>